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0F435E8">
      <w:pPr>
        <w:jc w:val="both"/>
        <w:rPr>
          <w:rFonts w:hint="eastAsia" w:eastAsia="仿宋_GB2312"/>
          <w:color w:val="auto"/>
          <w:sz w:val="36"/>
          <w:szCs w:val="36"/>
          <w:highlight w:val="none"/>
          <w:lang w:val="en-US" w:eastAsia="zh-CN"/>
        </w:rPr>
      </w:pPr>
      <w:bookmarkStart w:id="4" w:name="_GoBack"/>
      <w:bookmarkEnd w:id="4"/>
    </w:p>
    <w:p w14:paraId="0F5ED690">
      <w:pPr>
        <w:adjustRightInd w:val="0"/>
        <w:snapToGrid w:val="0"/>
        <w:jc w:val="center"/>
        <w:outlineLvl w:val="0"/>
        <w:rPr>
          <w:rFonts w:hint="eastAsia" w:eastAsia="方正小标宋_GBK"/>
          <w:bCs/>
          <w:color w:val="auto"/>
          <w:sz w:val="72"/>
          <w:szCs w:val="72"/>
          <w:highlight w:val="none"/>
          <w:lang w:val="en-US" w:eastAsia="zh-CN"/>
        </w:rPr>
      </w:pPr>
      <w:r>
        <w:rPr>
          <w:rFonts w:eastAsia="方正小标宋_GBK"/>
          <w:bCs/>
          <w:color w:val="auto"/>
          <w:sz w:val="72"/>
          <w:szCs w:val="72"/>
          <w:highlight w:val="none"/>
        </w:rPr>
        <w:t>建设项目环境影响报告表</w:t>
      </w:r>
    </w:p>
    <w:p w14:paraId="05D43D50">
      <w:pPr>
        <w:adjustRightInd w:val="0"/>
        <w:snapToGrid w:val="0"/>
        <w:spacing w:before="192" w:beforeLines="80"/>
        <w:jc w:val="center"/>
        <w:rPr>
          <w:rFonts w:eastAsia="楷体_GB2312"/>
          <w:bCs/>
          <w:color w:val="auto"/>
          <w:sz w:val="48"/>
          <w:szCs w:val="48"/>
          <w:highlight w:val="none"/>
        </w:rPr>
      </w:pPr>
      <w:r>
        <w:rPr>
          <w:rFonts w:eastAsia="楷体_GB2312"/>
          <w:bCs/>
          <w:color w:val="auto"/>
          <w:sz w:val="48"/>
          <w:szCs w:val="48"/>
          <w:highlight w:val="none"/>
        </w:rPr>
        <w:t>（污染影响类）</w:t>
      </w:r>
    </w:p>
    <w:p w14:paraId="27F44CF7">
      <w:pPr>
        <w:pStyle w:val="39"/>
        <w:ind w:firstLine="960"/>
        <w:rPr>
          <w:rFonts w:eastAsia="楷体_GB2312"/>
          <w:bCs/>
          <w:color w:val="auto"/>
          <w:sz w:val="48"/>
          <w:szCs w:val="48"/>
          <w:highlight w:val="none"/>
        </w:rPr>
      </w:pPr>
    </w:p>
    <w:p w14:paraId="2E8444EF">
      <w:pPr>
        <w:rPr>
          <w:rFonts w:eastAsia="楷体_GB2312"/>
          <w:bCs/>
          <w:color w:val="auto"/>
          <w:sz w:val="48"/>
          <w:szCs w:val="48"/>
          <w:highlight w:val="none"/>
        </w:rPr>
      </w:pPr>
    </w:p>
    <w:p w14:paraId="1D382166">
      <w:pPr>
        <w:pStyle w:val="39"/>
        <w:rPr>
          <w:color w:val="auto"/>
          <w:highlight w:val="none"/>
        </w:rPr>
      </w:pPr>
    </w:p>
    <w:p w14:paraId="28AF5E6F">
      <w:pPr>
        <w:ind w:firstLine="1040"/>
        <w:rPr>
          <w:rFonts w:eastAsia="仿宋"/>
          <w:color w:val="auto"/>
          <w:sz w:val="44"/>
          <w:szCs w:val="44"/>
          <w:highlight w:val="none"/>
        </w:rPr>
      </w:pPr>
    </w:p>
    <w:p w14:paraId="1D987694">
      <w:pPr>
        <w:adjustRightInd w:val="0"/>
        <w:snapToGrid w:val="0"/>
        <w:ind w:firstLine="720" w:firstLineChars="200"/>
        <w:rPr>
          <w:rFonts w:eastAsia="仿宋_GB2312"/>
          <w:color w:val="auto"/>
          <w:sz w:val="36"/>
          <w:szCs w:val="36"/>
          <w:highlight w:val="none"/>
          <w:u w:val="single"/>
        </w:rPr>
      </w:pPr>
      <w:r>
        <w:rPr>
          <w:rFonts w:eastAsia="仿宋_GB2312"/>
          <w:color w:val="auto"/>
          <w:sz w:val="36"/>
          <w:szCs w:val="36"/>
          <w:highlight w:val="none"/>
        </w:rPr>
        <w:t>项目名称：</w:t>
      </w:r>
      <w:r>
        <w:rPr>
          <w:rFonts w:hint="eastAsia" w:eastAsia="仿宋_GB2312"/>
          <w:color w:val="auto"/>
          <w:sz w:val="36"/>
          <w:szCs w:val="36"/>
          <w:highlight w:val="none"/>
          <w:u w:val="single"/>
          <w:lang w:eastAsia="zh-CN"/>
        </w:rPr>
        <w:t>抚顺市连升体育运动地板厂</w:t>
      </w:r>
      <w:r>
        <w:rPr>
          <w:rFonts w:eastAsia="仿宋_GB2312"/>
          <w:color w:val="auto"/>
          <w:sz w:val="36"/>
          <w:szCs w:val="36"/>
          <w:highlight w:val="none"/>
          <w:u w:val="single"/>
        </w:rPr>
        <w:t>项目</w:t>
      </w:r>
    </w:p>
    <w:p w14:paraId="5B55880E">
      <w:pPr>
        <w:adjustRightInd w:val="0"/>
        <w:snapToGrid w:val="0"/>
        <w:ind w:firstLine="720" w:firstLineChars="200"/>
        <w:rPr>
          <w:rFonts w:eastAsia="仿宋_GB2312"/>
          <w:color w:val="auto"/>
          <w:sz w:val="36"/>
          <w:szCs w:val="36"/>
          <w:highlight w:val="none"/>
          <w:u w:val="single"/>
        </w:rPr>
      </w:pPr>
      <w:r>
        <w:rPr>
          <w:rFonts w:eastAsia="仿宋_GB2312"/>
          <w:color w:val="auto"/>
          <w:sz w:val="36"/>
          <w:szCs w:val="36"/>
          <w:highlight w:val="none"/>
        </w:rPr>
        <w:t>建设单位（盖章）：</w:t>
      </w:r>
      <w:r>
        <w:rPr>
          <w:rFonts w:hint="eastAsia" w:eastAsia="仿宋_GB2312"/>
          <w:color w:val="auto"/>
          <w:sz w:val="36"/>
          <w:szCs w:val="36"/>
          <w:highlight w:val="none"/>
          <w:u w:val="single"/>
          <w:lang w:eastAsia="zh-CN"/>
        </w:rPr>
        <w:t>抚顺市连升体育运动地板厂</w:t>
      </w:r>
    </w:p>
    <w:p w14:paraId="4C588061">
      <w:pPr>
        <w:adjustRightInd w:val="0"/>
        <w:snapToGrid w:val="0"/>
        <w:spacing w:before="120" w:beforeLines="50"/>
        <w:ind w:right="223" w:rightChars="106" w:firstLine="720" w:firstLineChars="200"/>
        <w:rPr>
          <w:rFonts w:eastAsia="仿宋_GB2312"/>
          <w:color w:val="auto"/>
          <w:sz w:val="36"/>
          <w:szCs w:val="36"/>
          <w:highlight w:val="none"/>
          <w:u w:val="single"/>
        </w:rPr>
      </w:pPr>
      <w:r>
        <w:rPr>
          <w:rFonts w:eastAsia="仿宋_GB2312"/>
          <w:color w:val="auto"/>
          <w:sz w:val="36"/>
          <w:szCs w:val="36"/>
          <w:highlight w:val="none"/>
        </w:rPr>
        <w:t>编制日期：</w:t>
      </w:r>
      <w:r>
        <w:rPr>
          <w:rFonts w:eastAsia="仿宋_GB2312"/>
          <w:color w:val="auto"/>
          <w:sz w:val="36"/>
          <w:szCs w:val="36"/>
          <w:highlight w:val="none"/>
          <w:u w:val="single"/>
        </w:rPr>
        <w:t xml:space="preserve">      </w:t>
      </w:r>
      <w:r>
        <w:rPr>
          <w:rFonts w:hint="eastAsia" w:eastAsia="仿宋_GB2312"/>
          <w:color w:val="auto"/>
          <w:sz w:val="36"/>
          <w:szCs w:val="36"/>
          <w:highlight w:val="none"/>
          <w:u w:val="single"/>
          <w:lang w:val="en-US" w:eastAsia="zh-CN"/>
        </w:rPr>
        <w:t xml:space="preserve">    </w:t>
      </w:r>
      <w:r>
        <w:rPr>
          <w:rFonts w:eastAsia="仿宋_GB2312"/>
          <w:color w:val="auto"/>
          <w:sz w:val="36"/>
          <w:szCs w:val="36"/>
          <w:highlight w:val="none"/>
          <w:u w:val="single"/>
        </w:rPr>
        <w:t>202</w:t>
      </w:r>
      <w:r>
        <w:rPr>
          <w:rFonts w:hint="eastAsia" w:eastAsia="仿宋_GB2312"/>
          <w:color w:val="auto"/>
          <w:sz w:val="36"/>
          <w:szCs w:val="36"/>
          <w:highlight w:val="none"/>
          <w:u w:val="single"/>
          <w:lang w:val="en-US" w:eastAsia="zh-CN"/>
        </w:rPr>
        <w:t>6</w:t>
      </w:r>
      <w:r>
        <w:rPr>
          <w:rFonts w:eastAsia="仿宋_GB2312"/>
          <w:color w:val="auto"/>
          <w:sz w:val="36"/>
          <w:szCs w:val="36"/>
          <w:highlight w:val="none"/>
          <w:u w:val="single"/>
        </w:rPr>
        <w:t>年</w:t>
      </w:r>
      <w:r>
        <w:rPr>
          <w:rFonts w:hint="eastAsia" w:eastAsia="仿宋_GB2312"/>
          <w:color w:val="auto"/>
          <w:sz w:val="36"/>
          <w:szCs w:val="36"/>
          <w:highlight w:val="none"/>
          <w:u w:val="single"/>
          <w:lang w:val="en-US" w:eastAsia="zh-CN"/>
        </w:rPr>
        <w:t>6</w:t>
      </w:r>
      <w:r>
        <w:rPr>
          <w:rFonts w:eastAsia="仿宋_GB2312"/>
          <w:color w:val="auto"/>
          <w:sz w:val="36"/>
          <w:szCs w:val="36"/>
          <w:highlight w:val="none"/>
          <w:u w:val="single"/>
        </w:rPr>
        <w:t xml:space="preserve">月  </w:t>
      </w:r>
      <w:r>
        <w:rPr>
          <w:rFonts w:hint="eastAsia" w:eastAsia="仿宋_GB2312"/>
          <w:color w:val="auto"/>
          <w:sz w:val="36"/>
          <w:szCs w:val="36"/>
          <w:highlight w:val="none"/>
          <w:u w:val="single"/>
        </w:rPr>
        <w:t xml:space="preserve">         </w:t>
      </w:r>
    </w:p>
    <w:p w14:paraId="155A79AF">
      <w:pPr>
        <w:adjustRightInd w:val="0"/>
        <w:snapToGrid w:val="0"/>
        <w:spacing w:line="288" w:lineRule="auto"/>
        <w:ind w:firstLine="1040"/>
        <w:rPr>
          <w:rFonts w:eastAsia="仿宋_GB2312"/>
          <w:color w:val="auto"/>
          <w:sz w:val="36"/>
          <w:szCs w:val="36"/>
          <w:highlight w:val="none"/>
          <w:u w:val="single"/>
        </w:rPr>
      </w:pPr>
    </w:p>
    <w:p w14:paraId="3E4873D6">
      <w:pPr>
        <w:adjustRightInd w:val="0"/>
        <w:snapToGrid w:val="0"/>
        <w:spacing w:line="288" w:lineRule="auto"/>
        <w:ind w:firstLine="1040"/>
        <w:rPr>
          <w:rFonts w:eastAsia="仿宋_GB2312"/>
          <w:color w:val="auto"/>
          <w:sz w:val="36"/>
          <w:szCs w:val="36"/>
          <w:highlight w:val="none"/>
          <w:u w:val="single"/>
        </w:rPr>
      </w:pPr>
      <w:bookmarkStart w:id="0" w:name="_Hlk57884087"/>
    </w:p>
    <w:p w14:paraId="0508EC03">
      <w:pPr>
        <w:adjustRightInd w:val="0"/>
        <w:snapToGrid w:val="0"/>
        <w:spacing w:line="288" w:lineRule="auto"/>
        <w:ind w:firstLine="1040"/>
        <w:rPr>
          <w:rFonts w:eastAsia="仿宋_GB2312"/>
          <w:color w:val="auto"/>
          <w:sz w:val="36"/>
          <w:szCs w:val="36"/>
          <w:highlight w:val="none"/>
        </w:rPr>
      </w:pPr>
    </w:p>
    <w:p w14:paraId="62C532D0">
      <w:pPr>
        <w:adjustRightInd w:val="0"/>
        <w:snapToGrid w:val="0"/>
        <w:spacing w:line="288" w:lineRule="auto"/>
        <w:rPr>
          <w:rFonts w:eastAsia="仿宋_GB2312"/>
          <w:color w:val="auto"/>
          <w:sz w:val="36"/>
          <w:szCs w:val="36"/>
          <w:highlight w:val="none"/>
        </w:rPr>
      </w:pPr>
    </w:p>
    <w:p w14:paraId="2CDA411A">
      <w:pPr>
        <w:pStyle w:val="39"/>
        <w:ind w:firstLine="720"/>
        <w:rPr>
          <w:rFonts w:eastAsia="仿宋_GB2312"/>
          <w:color w:val="auto"/>
          <w:sz w:val="36"/>
          <w:szCs w:val="36"/>
          <w:highlight w:val="none"/>
        </w:rPr>
      </w:pPr>
    </w:p>
    <w:p w14:paraId="1B5BD05E">
      <w:pPr>
        <w:pStyle w:val="39"/>
        <w:ind w:left="0" w:leftChars="0" w:firstLine="0" w:firstLineChars="0"/>
        <w:jc w:val="both"/>
        <w:rPr>
          <w:color w:val="auto"/>
          <w:highlight w:val="none"/>
        </w:rPr>
      </w:pPr>
    </w:p>
    <w:bookmarkEnd w:id="0"/>
    <w:p w14:paraId="25F5C539">
      <w:pPr>
        <w:adjustRightInd w:val="0"/>
        <w:snapToGrid w:val="0"/>
        <w:spacing w:line="288" w:lineRule="auto"/>
        <w:jc w:val="center"/>
        <w:rPr>
          <w:rFonts w:eastAsia="楷体_GB2312"/>
          <w:color w:val="auto"/>
          <w:sz w:val="36"/>
          <w:szCs w:val="36"/>
          <w:highlight w:val="none"/>
        </w:rPr>
      </w:pPr>
      <w:r>
        <w:rPr>
          <w:rFonts w:eastAsia="楷体_GB2312"/>
          <w:color w:val="auto"/>
          <w:sz w:val="36"/>
          <w:szCs w:val="36"/>
          <w:highlight w:val="none"/>
        </w:rPr>
        <w:t>中华人民共和国生态环境部制</w:t>
      </w:r>
    </w:p>
    <w:p w14:paraId="64CA816C">
      <w:pPr>
        <w:adjustRightInd w:val="0"/>
        <w:snapToGrid w:val="0"/>
        <w:spacing w:line="288" w:lineRule="auto"/>
        <w:ind w:firstLine="1040"/>
        <w:rPr>
          <w:rFonts w:eastAsia="仿宋_GB2312"/>
          <w:color w:val="auto"/>
          <w:sz w:val="36"/>
          <w:szCs w:val="36"/>
          <w:highlight w:val="none"/>
        </w:rPr>
        <w:sectPr>
          <w:footerReference r:id="rId5" w:type="default"/>
          <w:footerReference r:id="rId6" w:type="even"/>
          <w:pgSz w:w="11906" w:h="16838"/>
          <w:pgMar w:top="1701" w:right="1531" w:bottom="1701" w:left="1531" w:header="851" w:footer="1077" w:gutter="0"/>
          <w:pgNumType w:fmt="decimal" w:start="3"/>
          <w:cols w:space="720" w:num="1"/>
          <w:docGrid w:linePitch="312" w:charSpace="0"/>
        </w:sectPr>
      </w:pPr>
    </w:p>
    <w:p w14:paraId="7223E4AF">
      <w:pPr>
        <w:pStyle w:val="21"/>
        <w:jc w:val="center"/>
        <w:outlineLvl w:val="0"/>
        <w:rPr>
          <w:rFonts w:ascii="Times New Roman" w:hAnsi="Times New Roman" w:eastAsia="黑体"/>
          <w:snapToGrid w:val="0"/>
          <w:color w:val="auto"/>
          <w:sz w:val="30"/>
          <w:szCs w:val="30"/>
          <w:highlight w:val="none"/>
        </w:rPr>
      </w:pPr>
      <w:r>
        <w:rPr>
          <w:rFonts w:ascii="Times New Roman" w:hAnsi="Times New Roman" w:eastAsia="黑体"/>
          <w:snapToGrid w:val="0"/>
          <w:color w:val="auto"/>
          <w:sz w:val="30"/>
          <w:szCs w:val="30"/>
          <w:highlight w:val="none"/>
        </w:rPr>
        <w:t>一、建设项目基本情况</w:t>
      </w:r>
    </w:p>
    <w:tbl>
      <w:tblPr>
        <w:tblStyle w:val="25"/>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1728"/>
        <w:gridCol w:w="2110"/>
        <w:gridCol w:w="2195"/>
        <w:gridCol w:w="2837"/>
      </w:tblGrid>
      <w:tr w14:paraId="24C428B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728" w:type="dxa"/>
            <w:noWrap w:val="0"/>
            <w:tcMar>
              <w:top w:w="16" w:type="dxa"/>
              <w:left w:w="16" w:type="dxa"/>
              <w:right w:w="16" w:type="dxa"/>
            </w:tcMar>
            <w:vAlign w:val="center"/>
          </w:tcPr>
          <w:p w14:paraId="424AAE1B">
            <w:pPr>
              <w:adjustRightInd w:val="0"/>
              <w:snapToGrid w:val="0"/>
              <w:spacing w:line="240" w:lineRule="auto"/>
              <w:jc w:val="center"/>
              <w:rPr>
                <w:color w:val="auto"/>
                <w:sz w:val="24"/>
                <w:highlight w:val="none"/>
              </w:rPr>
            </w:pPr>
            <w:r>
              <w:rPr>
                <w:color w:val="auto"/>
                <w:sz w:val="24"/>
                <w:highlight w:val="none"/>
              </w:rPr>
              <w:t>建设项目名称</w:t>
            </w:r>
          </w:p>
        </w:tc>
        <w:tc>
          <w:tcPr>
            <w:tcW w:w="7142" w:type="dxa"/>
            <w:gridSpan w:val="3"/>
            <w:noWrap w:val="0"/>
            <w:vAlign w:val="center"/>
          </w:tcPr>
          <w:p w14:paraId="18D853E2">
            <w:pPr>
              <w:adjustRightInd w:val="0"/>
              <w:snapToGrid w:val="0"/>
              <w:spacing w:line="240" w:lineRule="auto"/>
              <w:jc w:val="center"/>
              <w:rPr>
                <w:color w:val="auto"/>
                <w:sz w:val="24"/>
                <w:highlight w:val="none"/>
              </w:rPr>
            </w:pPr>
            <w:r>
              <w:rPr>
                <w:rFonts w:hint="eastAsia" w:ascii="Times New Roman" w:hAnsi="Times New Roman" w:eastAsia="宋体" w:cs="Times New Roman"/>
                <w:color w:val="auto"/>
                <w:sz w:val="24"/>
                <w:highlight w:val="none"/>
                <w:lang w:eastAsia="zh-CN"/>
              </w:rPr>
              <w:t>抚顺市连升体育运动地板厂</w:t>
            </w:r>
            <w:r>
              <w:rPr>
                <w:rFonts w:hint="eastAsia" w:ascii="Times New Roman" w:hAnsi="Times New Roman" w:eastAsia="宋体" w:cs="Times New Roman"/>
                <w:color w:val="auto"/>
                <w:sz w:val="24"/>
                <w:highlight w:val="none"/>
              </w:rPr>
              <w:t>项目</w:t>
            </w:r>
          </w:p>
        </w:tc>
      </w:tr>
      <w:tr w14:paraId="2B877F1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09" w:hRule="atLeast"/>
          <w:jc w:val="center"/>
        </w:trPr>
        <w:tc>
          <w:tcPr>
            <w:tcW w:w="1728" w:type="dxa"/>
            <w:noWrap w:val="0"/>
            <w:tcMar>
              <w:top w:w="16" w:type="dxa"/>
              <w:left w:w="16" w:type="dxa"/>
              <w:right w:w="16" w:type="dxa"/>
            </w:tcMar>
            <w:vAlign w:val="center"/>
          </w:tcPr>
          <w:p w14:paraId="0D3433E7">
            <w:pPr>
              <w:adjustRightInd w:val="0"/>
              <w:snapToGrid w:val="0"/>
              <w:spacing w:line="240" w:lineRule="auto"/>
              <w:jc w:val="center"/>
              <w:rPr>
                <w:color w:val="auto"/>
                <w:sz w:val="24"/>
                <w:highlight w:val="none"/>
              </w:rPr>
            </w:pPr>
            <w:r>
              <w:rPr>
                <w:color w:val="auto"/>
                <w:sz w:val="24"/>
                <w:highlight w:val="none"/>
              </w:rPr>
              <w:t>项目代码</w:t>
            </w:r>
          </w:p>
        </w:tc>
        <w:tc>
          <w:tcPr>
            <w:tcW w:w="7142" w:type="dxa"/>
            <w:gridSpan w:val="3"/>
            <w:noWrap w:val="0"/>
            <w:vAlign w:val="center"/>
          </w:tcPr>
          <w:p w14:paraId="208EAF0F">
            <w:pPr>
              <w:adjustRightInd w:val="0"/>
              <w:snapToGrid w:val="0"/>
              <w:spacing w:line="240" w:lineRule="auto"/>
              <w:jc w:val="center"/>
              <w:rPr>
                <w:rFonts w:hint="default" w:eastAsia="宋体"/>
                <w:color w:val="auto"/>
                <w:sz w:val="24"/>
                <w:highlight w:val="none"/>
                <w:lang w:val="en-US" w:eastAsia="zh-CN"/>
              </w:rPr>
            </w:pPr>
            <w:r>
              <w:rPr>
                <w:rFonts w:hint="eastAsia"/>
                <w:color w:val="auto"/>
                <w:sz w:val="24"/>
                <w:highlight w:val="none"/>
              </w:rPr>
              <w:t>2</w:t>
            </w:r>
            <w:r>
              <w:rPr>
                <w:rFonts w:hint="eastAsia"/>
                <w:color w:val="auto"/>
                <w:sz w:val="24"/>
                <w:highlight w:val="none"/>
                <w:lang w:val="en-US" w:eastAsia="zh-CN"/>
              </w:rPr>
              <w:t>601</w:t>
            </w:r>
            <w:r>
              <w:rPr>
                <w:rFonts w:hint="eastAsia"/>
                <w:color w:val="auto"/>
                <w:sz w:val="24"/>
                <w:highlight w:val="none"/>
              </w:rPr>
              <w:t>-2104</w:t>
            </w:r>
            <w:r>
              <w:rPr>
                <w:rFonts w:hint="eastAsia"/>
                <w:color w:val="auto"/>
                <w:sz w:val="24"/>
                <w:highlight w:val="none"/>
                <w:lang w:val="en-US" w:eastAsia="zh-CN"/>
              </w:rPr>
              <w:t>21</w:t>
            </w:r>
            <w:r>
              <w:rPr>
                <w:rFonts w:hint="eastAsia"/>
                <w:color w:val="auto"/>
                <w:sz w:val="24"/>
                <w:highlight w:val="none"/>
              </w:rPr>
              <w:t>-04-0</w:t>
            </w:r>
            <w:r>
              <w:rPr>
                <w:rFonts w:hint="eastAsia"/>
                <w:color w:val="auto"/>
                <w:sz w:val="24"/>
                <w:highlight w:val="none"/>
                <w:lang w:val="en-US" w:eastAsia="zh-CN"/>
              </w:rPr>
              <w:t>1</w:t>
            </w:r>
            <w:r>
              <w:rPr>
                <w:rFonts w:hint="eastAsia"/>
                <w:color w:val="auto"/>
                <w:sz w:val="24"/>
                <w:highlight w:val="none"/>
              </w:rPr>
              <w:t>-</w:t>
            </w:r>
            <w:r>
              <w:rPr>
                <w:rFonts w:hint="eastAsia"/>
                <w:color w:val="auto"/>
                <w:sz w:val="24"/>
                <w:highlight w:val="none"/>
                <w:lang w:val="en-US" w:eastAsia="zh-CN"/>
              </w:rPr>
              <w:t>628561</w:t>
            </w:r>
          </w:p>
        </w:tc>
      </w:tr>
      <w:tr w14:paraId="4340469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11" w:hRule="atLeast"/>
          <w:jc w:val="center"/>
        </w:trPr>
        <w:tc>
          <w:tcPr>
            <w:tcW w:w="1728" w:type="dxa"/>
            <w:noWrap w:val="0"/>
            <w:tcMar>
              <w:top w:w="16" w:type="dxa"/>
              <w:left w:w="16" w:type="dxa"/>
              <w:right w:w="16" w:type="dxa"/>
            </w:tcMar>
            <w:vAlign w:val="center"/>
          </w:tcPr>
          <w:p w14:paraId="1BA80CA3">
            <w:pPr>
              <w:adjustRightInd w:val="0"/>
              <w:snapToGrid w:val="0"/>
              <w:spacing w:line="240" w:lineRule="auto"/>
              <w:jc w:val="center"/>
              <w:rPr>
                <w:color w:val="auto"/>
                <w:sz w:val="24"/>
                <w:highlight w:val="none"/>
              </w:rPr>
            </w:pPr>
            <w:r>
              <w:rPr>
                <w:color w:val="auto"/>
                <w:sz w:val="24"/>
                <w:highlight w:val="none"/>
              </w:rPr>
              <w:t>建设单位联系人</w:t>
            </w:r>
          </w:p>
        </w:tc>
        <w:tc>
          <w:tcPr>
            <w:tcW w:w="2110" w:type="dxa"/>
            <w:noWrap w:val="0"/>
            <w:vAlign w:val="center"/>
          </w:tcPr>
          <w:p w14:paraId="586CBBA7">
            <w:pPr>
              <w:adjustRightInd w:val="0"/>
              <w:snapToGrid w:val="0"/>
              <w:spacing w:line="240" w:lineRule="auto"/>
              <w:jc w:val="center"/>
              <w:rPr>
                <w:rFonts w:hint="eastAsia" w:eastAsia="宋体"/>
                <w:color w:val="auto"/>
                <w:sz w:val="24"/>
                <w:highlight w:val="none"/>
                <w:lang w:eastAsia="zh-CN"/>
              </w:rPr>
            </w:pPr>
            <w:r>
              <w:rPr>
                <w:rFonts w:hint="eastAsia"/>
                <w:color w:val="auto"/>
                <w:sz w:val="24"/>
                <w:highlight w:val="none"/>
                <w:lang w:eastAsia="zh-CN"/>
              </w:rPr>
              <w:t>韩总</w:t>
            </w:r>
          </w:p>
        </w:tc>
        <w:tc>
          <w:tcPr>
            <w:tcW w:w="2195" w:type="dxa"/>
            <w:noWrap w:val="0"/>
            <w:vAlign w:val="center"/>
          </w:tcPr>
          <w:p w14:paraId="4AB7809A">
            <w:pPr>
              <w:adjustRightInd w:val="0"/>
              <w:snapToGrid w:val="0"/>
              <w:spacing w:line="240" w:lineRule="auto"/>
              <w:jc w:val="center"/>
              <w:rPr>
                <w:color w:val="auto"/>
                <w:sz w:val="24"/>
                <w:highlight w:val="none"/>
              </w:rPr>
            </w:pPr>
            <w:r>
              <w:rPr>
                <w:color w:val="auto"/>
                <w:sz w:val="24"/>
                <w:highlight w:val="none"/>
              </w:rPr>
              <w:t>联系方式</w:t>
            </w:r>
          </w:p>
        </w:tc>
        <w:tc>
          <w:tcPr>
            <w:tcW w:w="2837" w:type="dxa"/>
            <w:noWrap w:val="0"/>
            <w:vAlign w:val="center"/>
          </w:tcPr>
          <w:p w14:paraId="61DDB0C8">
            <w:pPr>
              <w:adjustRightInd w:val="0"/>
              <w:snapToGrid w:val="0"/>
              <w:spacing w:line="240" w:lineRule="auto"/>
              <w:jc w:val="center"/>
              <w:rPr>
                <w:color w:val="auto"/>
                <w:sz w:val="24"/>
                <w:highlight w:val="none"/>
              </w:rPr>
            </w:pPr>
            <w:r>
              <w:rPr>
                <w:rFonts w:hint="eastAsia" w:ascii="Times New Roman" w:hAnsi="Times New Roman" w:eastAsia="宋体" w:cs="Times New Roman"/>
                <w:color w:val="auto"/>
                <w:sz w:val="24"/>
                <w:highlight w:val="none"/>
                <w:lang w:val="en-US" w:eastAsia="zh-CN"/>
              </w:rPr>
              <w:t>18698822347</w:t>
            </w:r>
          </w:p>
        </w:tc>
      </w:tr>
      <w:tr w14:paraId="03CDD4C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728" w:type="dxa"/>
            <w:noWrap w:val="0"/>
            <w:tcMar>
              <w:top w:w="16" w:type="dxa"/>
              <w:left w:w="16" w:type="dxa"/>
              <w:right w:w="16" w:type="dxa"/>
            </w:tcMar>
            <w:vAlign w:val="center"/>
          </w:tcPr>
          <w:p w14:paraId="09EA4B8C">
            <w:pPr>
              <w:adjustRightInd w:val="0"/>
              <w:snapToGrid w:val="0"/>
              <w:spacing w:line="240" w:lineRule="auto"/>
              <w:jc w:val="center"/>
              <w:rPr>
                <w:color w:val="auto"/>
                <w:sz w:val="24"/>
                <w:highlight w:val="none"/>
              </w:rPr>
            </w:pPr>
            <w:r>
              <w:rPr>
                <w:color w:val="auto"/>
                <w:sz w:val="24"/>
                <w:highlight w:val="none"/>
              </w:rPr>
              <w:t>建设地点</w:t>
            </w:r>
          </w:p>
        </w:tc>
        <w:tc>
          <w:tcPr>
            <w:tcW w:w="7142" w:type="dxa"/>
            <w:gridSpan w:val="3"/>
            <w:noWrap w:val="0"/>
            <w:vAlign w:val="center"/>
          </w:tcPr>
          <w:p w14:paraId="7B2E0E18">
            <w:pPr>
              <w:tabs>
                <w:tab w:val="left" w:pos="2730"/>
              </w:tabs>
              <w:adjustRightInd w:val="0"/>
              <w:snapToGrid w:val="0"/>
              <w:spacing w:line="240" w:lineRule="auto"/>
              <w:jc w:val="center"/>
              <w:rPr>
                <w:color w:val="auto"/>
                <w:sz w:val="24"/>
                <w:highlight w:val="none"/>
              </w:rPr>
            </w:pPr>
            <w:r>
              <w:rPr>
                <w:rFonts w:hint="eastAsia"/>
                <w:color w:val="auto"/>
                <w:sz w:val="24"/>
                <w:highlight w:val="none"/>
              </w:rPr>
              <w:t>辽宁省抚顺市抚顺县救兵镇</w:t>
            </w:r>
            <w:r>
              <w:rPr>
                <w:rFonts w:hint="eastAsia"/>
                <w:color w:val="auto"/>
                <w:sz w:val="24"/>
                <w:highlight w:val="none"/>
                <w:lang w:eastAsia="zh-CN"/>
              </w:rPr>
              <w:t>康西</w:t>
            </w:r>
            <w:r>
              <w:rPr>
                <w:rFonts w:hint="eastAsia"/>
                <w:color w:val="auto"/>
                <w:sz w:val="24"/>
                <w:highlight w:val="none"/>
              </w:rPr>
              <w:t>村救兵木业和新材料产业园区B区</w:t>
            </w:r>
          </w:p>
        </w:tc>
      </w:tr>
      <w:tr w14:paraId="4F958FB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728" w:type="dxa"/>
            <w:noWrap w:val="0"/>
            <w:tcMar>
              <w:top w:w="16" w:type="dxa"/>
              <w:left w:w="16" w:type="dxa"/>
              <w:right w:w="16" w:type="dxa"/>
            </w:tcMar>
            <w:vAlign w:val="center"/>
          </w:tcPr>
          <w:p w14:paraId="6AB2B801">
            <w:pPr>
              <w:adjustRightInd w:val="0"/>
              <w:snapToGrid w:val="0"/>
              <w:spacing w:line="240" w:lineRule="auto"/>
              <w:jc w:val="center"/>
              <w:rPr>
                <w:color w:val="auto"/>
                <w:sz w:val="24"/>
                <w:highlight w:val="none"/>
              </w:rPr>
            </w:pPr>
            <w:r>
              <w:rPr>
                <w:color w:val="auto"/>
                <w:sz w:val="24"/>
                <w:highlight w:val="none"/>
              </w:rPr>
              <w:t>地理坐标</w:t>
            </w:r>
          </w:p>
        </w:tc>
        <w:tc>
          <w:tcPr>
            <w:tcW w:w="7142" w:type="dxa"/>
            <w:gridSpan w:val="3"/>
            <w:noWrap w:val="0"/>
            <w:vAlign w:val="center"/>
          </w:tcPr>
          <w:p w14:paraId="7B885B32">
            <w:pPr>
              <w:spacing w:line="240" w:lineRule="auto"/>
              <w:jc w:val="center"/>
              <w:rPr>
                <w:color w:val="auto"/>
                <w:sz w:val="24"/>
                <w:highlight w:val="none"/>
              </w:rPr>
            </w:pPr>
            <w:r>
              <w:rPr>
                <w:color w:val="auto"/>
                <w:sz w:val="24"/>
                <w:highlight w:val="none"/>
                <w:u w:val="single"/>
              </w:rPr>
              <w:t>12</w:t>
            </w:r>
            <w:r>
              <w:rPr>
                <w:rFonts w:hint="eastAsia"/>
                <w:color w:val="auto"/>
                <w:sz w:val="24"/>
                <w:highlight w:val="none"/>
                <w:u w:val="single"/>
                <w:lang w:val="en-US" w:eastAsia="zh-CN"/>
              </w:rPr>
              <w:t>4</w:t>
            </w:r>
            <w:r>
              <w:rPr>
                <w:color w:val="auto"/>
                <w:sz w:val="24"/>
                <w:highlight w:val="none"/>
              </w:rPr>
              <w:t>度</w:t>
            </w:r>
            <w:r>
              <w:rPr>
                <w:rFonts w:hint="eastAsia"/>
                <w:color w:val="auto"/>
                <w:sz w:val="24"/>
                <w:highlight w:val="none"/>
                <w:u w:val="single"/>
                <w:lang w:val="en-US" w:eastAsia="zh-CN"/>
              </w:rPr>
              <w:t>0</w:t>
            </w:r>
            <w:r>
              <w:rPr>
                <w:color w:val="auto"/>
                <w:sz w:val="24"/>
                <w:highlight w:val="none"/>
              </w:rPr>
              <w:t>分</w:t>
            </w:r>
            <w:r>
              <w:rPr>
                <w:rFonts w:hint="eastAsia"/>
                <w:color w:val="auto"/>
                <w:sz w:val="24"/>
                <w:highlight w:val="none"/>
                <w:u w:val="single"/>
                <w:lang w:val="en-US" w:eastAsia="zh-CN"/>
              </w:rPr>
              <w:t>53.559</w:t>
            </w:r>
            <w:r>
              <w:rPr>
                <w:color w:val="auto"/>
                <w:sz w:val="24"/>
                <w:highlight w:val="none"/>
              </w:rPr>
              <w:t>秒，</w:t>
            </w:r>
            <w:r>
              <w:rPr>
                <w:color w:val="auto"/>
                <w:sz w:val="24"/>
                <w:highlight w:val="none"/>
                <w:u w:val="single"/>
              </w:rPr>
              <w:t>41</w:t>
            </w:r>
            <w:r>
              <w:rPr>
                <w:color w:val="auto"/>
                <w:sz w:val="24"/>
                <w:highlight w:val="none"/>
              </w:rPr>
              <w:t>度</w:t>
            </w:r>
            <w:r>
              <w:rPr>
                <w:rFonts w:hint="eastAsia"/>
                <w:color w:val="auto"/>
                <w:sz w:val="24"/>
                <w:highlight w:val="none"/>
                <w:u w:val="single"/>
                <w:lang w:val="en-US" w:eastAsia="zh-CN"/>
              </w:rPr>
              <w:t>43</w:t>
            </w:r>
            <w:r>
              <w:rPr>
                <w:color w:val="auto"/>
                <w:sz w:val="24"/>
                <w:highlight w:val="none"/>
              </w:rPr>
              <w:t>分</w:t>
            </w:r>
            <w:r>
              <w:rPr>
                <w:rFonts w:hint="eastAsia"/>
                <w:color w:val="auto"/>
                <w:sz w:val="24"/>
                <w:highlight w:val="none"/>
                <w:u w:val="single"/>
                <w:lang w:val="en-US" w:eastAsia="zh-CN"/>
              </w:rPr>
              <w:t>23.779</w:t>
            </w:r>
            <w:r>
              <w:rPr>
                <w:color w:val="auto"/>
                <w:sz w:val="24"/>
                <w:highlight w:val="none"/>
              </w:rPr>
              <w:t>秒</w:t>
            </w:r>
          </w:p>
        </w:tc>
      </w:tr>
      <w:tr w14:paraId="2285B79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1728" w:type="dxa"/>
            <w:noWrap w:val="0"/>
            <w:tcMar>
              <w:top w:w="16" w:type="dxa"/>
              <w:left w:w="16" w:type="dxa"/>
              <w:right w:w="16" w:type="dxa"/>
            </w:tcMar>
            <w:vAlign w:val="center"/>
          </w:tcPr>
          <w:p w14:paraId="0602DCAB">
            <w:pPr>
              <w:adjustRightInd w:val="0"/>
              <w:snapToGrid w:val="0"/>
              <w:spacing w:line="240" w:lineRule="auto"/>
              <w:jc w:val="center"/>
              <w:rPr>
                <w:color w:val="auto"/>
                <w:sz w:val="24"/>
                <w:highlight w:val="none"/>
              </w:rPr>
            </w:pPr>
            <w:r>
              <w:rPr>
                <w:color w:val="auto"/>
                <w:sz w:val="24"/>
                <w:highlight w:val="none"/>
              </w:rPr>
              <w:t>国民经济</w:t>
            </w:r>
          </w:p>
          <w:p w14:paraId="4659F8E6">
            <w:pPr>
              <w:adjustRightInd w:val="0"/>
              <w:snapToGrid w:val="0"/>
              <w:spacing w:line="240" w:lineRule="auto"/>
              <w:jc w:val="center"/>
              <w:rPr>
                <w:color w:val="auto"/>
                <w:sz w:val="24"/>
                <w:highlight w:val="none"/>
              </w:rPr>
            </w:pPr>
            <w:r>
              <w:rPr>
                <w:color w:val="auto"/>
                <w:sz w:val="24"/>
                <w:highlight w:val="none"/>
              </w:rPr>
              <w:t>行业类别</w:t>
            </w:r>
          </w:p>
        </w:tc>
        <w:tc>
          <w:tcPr>
            <w:tcW w:w="2110" w:type="dxa"/>
            <w:noWrap w:val="0"/>
            <w:vAlign w:val="center"/>
          </w:tcPr>
          <w:p w14:paraId="73A91A77">
            <w:pPr>
              <w:adjustRightInd w:val="0"/>
              <w:snapToGrid w:val="0"/>
              <w:spacing w:line="240" w:lineRule="auto"/>
              <w:jc w:val="center"/>
              <w:rPr>
                <w:rFonts w:hint="default" w:eastAsia="宋体"/>
                <w:color w:val="auto"/>
                <w:sz w:val="24"/>
                <w:highlight w:val="none"/>
                <w:lang w:val="en-US" w:eastAsia="zh-CN"/>
              </w:rPr>
            </w:pPr>
            <w:r>
              <w:rPr>
                <w:rFonts w:hint="eastAsia"/>
                <w:color w:val="auto"/>
                <w:sz w:val="24"/>
                <w:highlight w:val="none"/>
                <w:lang w:val="en-US" w:eastAsia="zh-CN"/>
              </w:rPr>
              <w:t>2034</w:t>
            </w:r>
            <w:r>
              <w:rPr>
                <w:rFonts w:hint="eastAsia"/>
                <w:color w:val="auto"/>
                <w:sz w:val="24"/>
                <w:highlight w:val="none"/>
                <w:lang w:eastAsia="zh-CN"/>
              </w:rPr>
              <w:t>木地板</w:t>
            </w:r>
            <w:r>
              <w:rPr>
                <w:rFonts w:hint="eastAsia"/>
                <w:color w:val="auto"/>
                <w:sz w:val="24"/>
                <w:highlight w:val="none"/>
                <w:lang w:val="en-US" w:eastAsia="zh-CN"/>
              </w:rPr>
              <w:t>制造</w:t>
            </w:r>
          </w:p>
        </w:tc>
        <w:tc>
          <w:tcPr>
            <w:tcW w:w="2195" w:type="dxa"/>
            <w:noWrap w:val="0"/>
            <w:vAlign w:val="center"/>
          </w:tcPr>
          <w:p w14:paraId="15DFFFFC">
            <w:pPr>
              <w:adjustRightInd w:val="0"/>
              <w:snapToGrid w:val="0"/>
              <w:spacing w:line="240" w:lineRule="auto"/>
              <w:jc w:val="center"/>
              <w:rPr>
                <w:color w:val="auto"/>
                <w:sz w:val="24"/>
                <w:highlight w:val="none"/>
              </w:rPr>
            </w:pPr>
            <w:bookmarkStart w:id="1" w:name="_Hlk49843745"/>
            <w:r>
              <w:rPr>
                <w:color w:val="auto"/>
                <w:sz w:val="24"/>
                <w:highlight w:val="none"/>
              </w:rPr>
              <w:t>建设项目</w:t>
            </w:r>
          </w:p>
          <w:p w14:paraId="24DB2715">
            <w:pPr>
              <w:adjustRightInd w:val="0"/>
              <w:snapToGrid w:val="0"/>
              <w:spacing w:line="240" w:lineRule="auto"/>
              <w:jc w:val="center"/>
              <w:rPr>
                <w:color w:val="auto"/>
                <w:sz w:val="24"/>
                <w:highlight w:val="none"/>
              </w:rPr>
            </w:pPr>
            <w:r>
              <w:rPr>
                <w:color w:val="auto"/>
                <w:sz w:val="24"/>
                <w:highlight w:val="none"/>
              </w:rPr>
              <w:t>行业类别</w:t>
            </w:r>
            <w:bookmarkEnd w:id="1"/>
          </w:p>
        </w:tc>
        <w:tc>
          <w:tcPr>
            <w:tcW w:w="2837" w:type="dxa"/>
            <w:noWrap w:val="0"/>
            <w:vAlign w:val="center"/>
          </w:tcPr>
          <w:p w14:paraId="05529B0D">
            <w:pPr>
              <w:adjustRightInd w:val="0"/>
              <w:snapToGrid w:val="0"/>
              <w:spacing w:line="240" w:lineRule="auto"/>
              <w:jc w:val="center"/>
              <w:rPr>
                <w:rFonts w:hint="eastAsia" w:eastAsia="宋体"/>
                <w:color w:val="auto"/>
                <w:sz w:val="24"/>
                <w:highlight w:val="none"/>
                <w:lang w:eastAsia="zh-CN"/>
              </w:rPr>
            </w:pPr>
            <w:r>
              <w:rPr>
                <w:rFonts w:hint="eastAsia"/>
                <w:color w:val="auto"/>
                <w:sz w:val="24"/>
                <w:highlight w:val="none"/>
                <w:lang w:eastAsia="zh-CN"/>
              </w:rPr>
              <w:t>十七</w:t>
            </w:r>
            <w:r>
              <w:rPr>
                <w:color w:val="auto"/>
                <w:sz w:val="24"/>
                <w:highlight w:val="none"/>
              </w:rPr>
              <w:t>、</w:t>
            </w:r>
            <w:r>
              <w:rPr>
                <w:rFonts w:hint="eastAsia"/>
                <w:color w:val="auto"/>
                <w:sz w:val="24"/>
                <w:highlight w:val="none"/>
              </w:rPr>
              <w:t>木材加工和木、竹、藤、棕、草制品业</w:t>
            </w:r>
            <w:r>
              <w:rPr>
                <w:color w:val="auto"/>
                <w:sz w:val="24"/>
                <w:highlight w:val="none"/>
              </w:rPr>
              <w:t xml:space="preserve"> </w:t>
            </w:r>
            <w:r>
              <w:rPr>
                <w:rFonts w:hint="eastAsia"/>
                <w:color w:val="auto"/>
                <w:sz w:val="24"/>
                <w:highlight w:val="none"/>
                <w:lang w:val="en-US" w:eastAsia="zh-CN"/>
              </w:rPr>
              <w:t>33</w:t>
            </w:r>
            <w:r>
              <w:rPr>
                <w:color w:val="auto"/>
                <w:sz w:val="24"/>
                <w:szCs w:val="24"/>
                <w:lang w:eastAsia="zh-CN"/>
              </w:rPr>
              <w:t>木质制品制造 203</w:t>
            </w:r>
          </w:p>
        </w:tc>
      </w:tr>
      <w:tr w14:paraId="7223BFE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728" w:type="dxa"/>
            <w:noWrap w:val="0"/>
            <w:tcMar>
              <w:top w:w="16" w:type="dxa"/>
              <w:left w:w="16" w:type="dxa"/>
              <w:right w:w="16" w:type="dxa"/>
            </w:tcMar>
            <w:vAlign w:val="center"/>
          </w:tcPr>
          <w:p w14:paraId="1AA8D035">
            <w:pPr>
              <w:adjustRightInd w:val="0"/>
              <w:snapToGrid w:val="0"/>
              <w:spacing w:line="240" w:lineRule="auto"/>
              <w:jc w:val="center"/>
              <w:rPr>
                <w:color w:val="auto"/>
                <w:sz w:val="24"/>
                <w:highlight w:val="none"/>
              </w:rPr>
            </w:pPr>
            <w:r>
              <w:rPr>
                <w:color w:val="auto"/>
                <w:sz w:val="24"/>
                <w:highlight w:val="none"/>
              </w:rPr>
              <w:t>建设性质</w:t>
            </w:r>
          </w:p>
        </w:tc>
        <w:tc>
          <w:tcPr>
            <w:tcW w:w="2110" w:type="dxa"/>
            <w:noWrap w:val="0"/>
            <w:vAlign w:val="center"/>
          </w:tcPr>
          <w:p w14:paraId="0D864404">
            <w:pPr>
              <w:spacing w:line="240" w:lineRule="auto"/>
              <w:rPr>
                <w:color w:val="auto"/>
                <w:sz w:val="24"/>
                <w:highlight w:val="none"/>
              </w:rPr>
            </w:pPr>
            <w:r>
              <w:rPr>
                <w:rFonts w:hint="eastAsia"/>
                <w:color w:val="auto"/>
                <w:sz w:val="24"/>
                <w:highlight w:val="none"/>
                <w:lang w:eastAsia="zh-CN"/>
              </w:rPr>
              <w:t>☑</w:t>
            </w:r>
            <w:r>
              <w:rPr>
                <w:color w:val="auto"/>
                <w:sz w:val="24"/>
                <w:highlight w:val="none"/>
              </w:rPr>
              <w:t>新建（迁建）</w:t>
            </w:r>
          </w:p>
          <w:p w14:paraId="620F40B1">
            <w:pPr>
              <w:spacing w:line="240" w:lineRule="auto"/>
              <w:rPr>
                <w:color w:val="auto"/>
                <w:sz w:val="24"/>
                <w:highlight w:val="none"/>
              </w:rPr>
            </w:pPr>
            <w:r>
              <w:rPr>
                <w:rFonts w:hint="eastAsia"/>
                <w:color w:val="auto"/>
                <w:sz w:val="24"/>
                <w:highlight w:val="none"/>
              </w:rPr>
              <w:t>□</w:t>
            </w:r>
            <w:r>
              <w:rPr>
                <w:color w:val="auto"/>
                <w:sz w:val="24"/>
                <w:highlight w:val="none"/>
              </w:rPr>
              <w:t>改建</w:t>
            </w:r>
          </w:p>
          <w:p w14:paraId="40284651">
            <w:pPr>
              <w:spacing w:line="240" w:lineRule="auto"/>
              <w:rPr>
                <w:color w:val="auto"/>
                <w:sz w:val="24"/>
                <w:highlight w:val="none"/>
              </w:rPr>
            </w:pPr>
            <w:r>
              <w:rPr>
                <w:color w:val="auto"/>
                <w:sz w:val="24"/>
                <w:highlight w:val="none"/>
              </w:rPr>
              <w:sym w:font="Wingdings 2" w:char="00A3"/>
            </w:r>
            <w:r>
              <w:rPr>
                <w:color w:val="auto"/>
                <w:sz w:val="24"/>
                <w:highlight w:val="none"/>
              </w:rPr>
              <w:t>扩建</w:t>
            </w:r>
          </w:p>
          <w:p w14:paraId="66F3D732">
            <w:pPr>
              <w:spacing w:line="240" w:lineRule="auto"/>
              <w:rPr>
                <w:color w:val="auto"/>
                <w:sz w:val="24"/>
                <w:highlight w:val="none"/>
              </w:rPr>
            </w:pPr>
            <w:r>
              <w:rPr>
                <w:rFonts w:hint="eastAsia"/>
                <w:color w:val="auto"/>
                <w:sz w:val="24"/>
                <w:highlight w:val="none"/>
                <w:lang w:eastAsia="zh-CN"/>
              </w:rPr>
              <w:t>□</w:t>
            </w:r>
            <w:r>
              <w:rPr>
                <w:color w:val="auto"/>
                <w:sz w:val="24"/>
                <w:highlight w:val="none"/>
              </w:rPr>
              <w:t>技术改造</w:t>
            </w:r>
          </w:p>
        </w:tc>
        <w:tc>
          <w:tcPr>
            <w:tcW w:w="2195" w:type="dxa"/>
            <w:noWrap w:val="0"/>
            <w:vAlign w:val="center"/>
          </w:tcPr>
          <w:p w14:paraId="138E59EC">
            <w:pPr>
              <w:adjustRightInd w:val="0"/>
              <w:snapToGrid w:val="0"/>
              <w:spacing w:line="240" w:lineRule="auto"/>
              <w:jc w:val="center"/>
              <w:rPr>
                <w:color w:val="auto"/>
                <w:sz w:val="24"/>
                <w:highlight w:val="none"/>
              </w:rPr>
            </w:pPr>
            <w:r>
              <w:rPr>
                <w:color w:val="auto"/>
                <w:sz w:val="24"/>
                <w:highlight w:val="none"/>
              </w:rPr>
              <w:t>建设项目</w:t>
            </w:r>
          </w:p>
          <w:p w14:paraId="433F57B9">
            <w:pPr>
              <w:adjustRightInd w:val="0"/>
              <w:snapToGrid w:val="0"/>
              <w:spacing w:line="240" w:lineRule="auto"/>
              <w:jc w:val="center"/>
              <w:rPr>
                <w:color w:val="auto"/>
                <w:sz w:val="24"/>
                <w:highlight w:val="none"/>
              </w:rPr>
            </w:pPr>
            <w:r>
              <w:rPr>
                <w:color w:val="auto"/>
                <w:sz w:val="24"/>
                <w:highlight w:val="none"/>
              </w:rPr>
              <w:t>申报情形</w:t>
            </w:r>
          </w:p>
        </w:tc>
        <w:tc>
          <w:tcPr>
            <w:tcW w:w="2837" w:type="dxa"/>
            <w:noWrap w:val="0"/>
            <w:vAlign w:val="center"/>
          </w:tcPr>
          <w:p w14:paraId="08C4E099">
            <w:pPr>
              <w:spacing w:line="240" w:lineRule="auto"/>
              <w:rPr>
                <w:color w:val="auto"/>
                <w:sz w:val="24"/>
                <w:highlight w:val="none"/>
              </w:rPr>
            </w:pPr>
            <w:r>
              <w:rPr>
                <w:color w:val="auto"/>
                <w:sz w:val="24"/>
                <w:highlight w:val="none"/>
              </w:rPr>
              <w:sym w:font="Wingdings 2" w:char="0052"/>
            </w:r>
            <w:r>
              <w:rPr>
                <w:color w:val="auto"/>
                <w:sz w:val="24"/>
                <w:highlight w:val="none"/>
              </w:rPr>
              <w:t>首次申报项目</w:t>
            </w:r>
          </w:p>
          <w:p w14:paraId="54D96B9C">
            <w:pPr>
              <w:spacing w:line="240" w:lineRule="auto"/>
              <w:rPr>
                <w:color w:val="auto"/>
                <w:sz w:val="24"/>
                <w:highlight w:val="none"/>
              </w:rPr>
            </w:pPr>
            <w:r>
              <w:rPr>
                <w:rFonts w:hint="eastAsia"/>
                <w:color w:val="auto"/>
                <w:sz w:val="24"/>
                <w:highlight w:val="none"/>
              </w:rPr>
              <w:t>□</w:t>
            </w:r>
            <w:r>
              <w:rPr>
                <w:color w:val="auto"/>
                <w:sz w:val="24"/>
                <w:highlight w:val="none"/>
              </w:rPr>
              <w:t>不予批准后再次申报项目</w:t>
            </w:r>
          </w:p>
          <w:p w14:paraId="2FAF0F6E">
            <w:pPr>
              <w:spacing w:line="240" w:lineRule="auto"/>
              <w:rPr>
                <w:color w:val="auto"/>
                <w:sz w:val="24"/>
                <w:highlight w:val="none"/>
              </w:rPr>
            </w:pPr>
            <w:r>
              <w:rPr>
                <w:color w:val="auto"/>
                <w:sz w:val="24"/>
                <w:highlight w:val="none"/>
              </w:rPr>
              <w:sym w:font="Wingdings 2" w:char="00A3"/>
            </w:r>
            <w:r>
              <w:rPr>
                <w:color w:val="auto"/>
                <w:sz w:val="24"/>
                <w:highlight w:val="none"/>
              </w:rPr>
              <w:t>超五年重新审核项目</w:t>
            </w:r>
          </w:p>
          <w:p w14:paraId="601E97FD">
            <w:pPr>
              <w:spacing w:line="240" w:lineRule="auto"/>
              <w:rPr>
                <w:color w:val="auto"/>
                <w:sz w:val="24"/>
                <w:highlight w:val="none"/>
              </w:rPr>
            </w:pPr>
            <w:r>
              <w:rPr>
                <w:rFonts w:hint="eastAsia"/>
                <w:color w:val="auto"/>
                <w:sz w:val="24"/>
                <w:highlight w:val="none"/>
              </w:rPr>
              <w:t>□</w:t>
            </w:r>
            <w:r>
              <w:rPr>
                <w:color w:val="auto"/>
                <w:sz w:val="24"/>
                <w:highlight w:val="none"/>
              </w:rPr>
              <w:t>重大变动重新报批项目</w:t>
            </w:r>
          </w:p>
        </w:tc>
      </w:tr>
      <w:tr w14:paraId="7CFF0F1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1728" w:type="dxa"/>
            <w:noWrap w:val="0"/>
            <w:tcMar>
              <w:top w:w="16" w:type="dxa"/>
              <w:left w:w="16" w:type="dxa"/>
              <w:right w:w="16" w:type="dxa"/>
            </w:tcMar>
            <w:vAlign w:val="center"/>
          </w:tcPr>
          <w:p w14:paraId="73EC32AF">
            <w:pPr>
              <w:adjustRightInd w:val="0"/>
              <w:snapToGrid w:val="0"/>
              <w:spacing w:line="240" w:lineRule="auto"/>
              <w:jc w:val="center"/>
              <w:rPr>
                <w:color w:val="auto"/>
                <w:sz w:val="24"/>
                <w:highlight w:val="none"/>
              </w:rPr>
            </w:pPr>
            <w:r>
              <w:rPr>
                <w:color w:val="auto"/>
                <w:sz w:val="24"/>
                <w:highlight w:val="none"/>
              </w:rPr>
              <w:t>项目审批（核准/</w:t>
            </w:r>
          </w:p>
          <w:p w14:paraId="26579E2C">
            <w:pPr>
              <w:adjustRightInd w:val="0"/>
              <w:snapToGrid w:val="0"/>
              <w:spacing w:line="240" w:lineRule="auto"/>
              <w:jc w:val="center"/>
              <w:rPr>
                <w:color w:val="auto"/>
                <w:sz w:val="24"/>
                <w:highlight w:val="none"/>
              </w:rPr>
            </w:pPr>
            <w:r>
              <w:rPr>
                <w:color w:val="auto"/>
                <w:sz w:val="24"/>
                <w:highlight w:val="none"/>
              </w:rPr>
              <w:t>备案）部门（选填）</w:t>
            </w:r>
          </w:p>
        </w:tc>
        <w:tc>
          <w:tcPr>
            <w:tcW w:w="2110" w:type="dxa"/>
            <w:noWrap w:val="0"/>
            <w:vAlign w:val="center"/>
          </w:tcPr>
          <w:p w14:paraId="731DC389">
            <w:pPr>
              <w:adjustRightInd w:val="0"/>
              <w:snapToGrid w:val="0"/>
              <w:spacing w:line="240" w:lineRule="auto"/>
              <w:jc w:val="center"/>
              <w:rPr>
                <w:color w:val="auto"/>
                <w:sz w:val="24"/>
                <w:highlight w:val="none"/>
              </w:rPr>
            </w:pPr>
            <w:r>
              <w:rPr>
                <w:rFonts w:hint="eastAsia"/>
                <w:color w:val="auto"/>
                <w:sz w:val="24"/>
                <w:highlight w:val="none"/>
                <w:lang w:eastAsia="zh-CN"/>
              </w:rPr>
              <w:t>抚顺县发展和改革</w:t>
            </w:r>
            <w:r>
              <w:rPr>
                <w:rFonts w:hint="eastAsia"/>
                <w:color w:val="auto"/>
                <w:sz w:val="24"/>
                <w:highlight w:val="none"/>
              </w:rPr>
              <w:t>局</w:t>
            </w:r>
          </w:p>
        </w:tc>
        <w:tc>
          <w:tcPr>
            <w:tcW w:w="2195" w:type="dxa"/>
            <w:noWrap w:val="0"/>
            <w:vAlign w:val="center"/>
          </w:tcPr>
          <w:p w14:paraId="0A2D4109">
            <w:pPr>
              <w:adjustRightInd w:val="0"/>
              <w:snapToGrid w:val="0"/>
              <w:spacing w:line="240" w:lineRule="auto"/>
              <w:jc w:val="center"/>
              <w:rPr>
                <w:color w:val="auto"/>
                <w:sz w:val="24"/>
                <w:highlight w:val="none"/>
              </w:rPr>
            </w:pPr>
            <w:r>
              <w:rPr>
                <w:color w:val="auto"/>
                <w:sz w:val="24"/>
                <w:highlight w:val="none"/>
              </w:rPr>
              <w:t>项目审批（核准/</w:t>
            </w:r>
          </w:p>
          <w:p w14:paraId="35499CE7">
            <w:pPr>
              <w:adjustRightInd w:val="0"/>
              <w:snapToGrid w:val="0"/>
              <w:spacing w:line="240" w:lineRule="auto"/>
              <w:jc w:val="center"/>
              <w:rPr>
                <w:color w:val="auto"/>
                <w:sz w:val="24"/>
                <w:highlight w:val="none"/>
              </w:rPr>
            </w:pPr>
            <w:r>
              <w:rPr>
                <w:color w:val="auto"/>
                <w:sz w:val="24"/>
                <w:highlight w:val="none"/>
              </w:rPr>
              <w:t>备案）文号（选填）</w:t>
            </w:r>
          </w:p>
        </w:tc>
        <w:tc>
          <w:tcPr>
            <w:tcW w:w="2837" w:type="dxa"/>
            <w:noWrap w:val="0"/>
            <w:vAlign w:val="center"/>
          </w:tcPr>
          <w:p w14:paraId="65E8321E">
            <w:pPr>
              <w:adjustRightInd w:val="0"/>
              <w:snapToGrid w:val="0"/>
              <w:spacing w:line="240" w:lineRule="auto"/>
              <w:jc w:val="center"/>
              <w:rPr>
                <w:color w:val="auto"/>
                <w:sz w:val="24"/>
                <w:highlight w:val="none"/>
              </w:rPr>
            </w:pPr>
            <w:r>
              <w:rPr>
                <w:rFonts w:hint="eastAsia"/>
                <w:color w:val="auto"/>
                <w:sz w:val="24"/>
                <w:highlight w:val="none"/>
                <w:lang w:eastAsia="zh-CN"/>
              </w:rPr>
              <w:t>抚县发改备〔202</w:t>
            </w:r>
            <w:r>
              <w:rPr>
                <w:rFonts w:hint="eastAsia"/>
                <w:color w:val="auto"/>
                <w:sz w:val="24"/>
                <w:highlight w:val="none"/>
                <w:lang w:val="en-US" w:eastAsia="zh-CN"/>
              </w:rPr>
              <w:t>6</w:t>
            </w:r>
            <w:r>
              <w:rPr>
                <w:rFonts w:hint="eastAsia"/>
                <w:color w:val="auto"/>
                <w:sz w:val="24"/>
                <w:highlight w:val="none"/>
                <w:lang w:eastAsia="zh-CN"/>
              </w:rPr>
              <w:t>〕</w:t>
            </w:r>
            <w:r>
              <w:rPr>
                <w:rFonts w:hint="eastAsia"/>
                <w:color w:val="auto"/>
                <w:sz w:val="24"/>
                <w:highlight w:val="none"/>
                <w:lang w:val="en-US" w:eastAsia="zh-CN"/>
              </w:rPr>
              <w:t>4</w:t>
            </w:r>
            <w:r>
              <w:rPr>
                <w:color w:val="auto"/>
                <w:sz w:val="24"/>
                <w:highlight w:val="none"/>
              </w:rPr>
              <w:t>号</w:t>
            </w:r>
          </w:p>
        </w:tc>
      </w:tr>
      <w:tr w14:paraId="46E0A39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728" w:type="dxa"/>
            <w:noWrap w:val="0"/>
            <w:tcMar>
              <w:top w:w="16" w:type="dxa"/>
              <w:left w:w="16" w:type="dxa"/>
              <w:right w:w="16" w:type="dxa"/>
            </w:tcMar>
            <w:vAlign w:val="center"/>
          </w:tcPr>
          <w:p w14:paraId="354F3E72">
            <w:pPr>
              <w:adjustRightInd w:val="0"/>
              <w:snapToGrid w:val="0"/>
              <w:spacing w:line="240" w:lineRule="auto"/>
              <w:jc w:val="center"/>
              <w:rPr>
                <w:color w:val="auto"/>
                <w:sz w:val="24"/>
                <w:highlight w:val="none"/>
              </w:rPr>
            </w:pPr>
            <w:r>
              <w:rPr>
                <w:color w:val="auto"/>
                <w:sz w:val="24"/>
                <w:highlight w:val="none"/>
              </w:rPr>
              <w:t>总投资（万元）</w:t>
            </w:r>
          </w:p>
        </w:tc>
        <w:tc>
          <w:tcPr>
            <w:tcW w:w="2110" w:type="dxa"/>
            <w:noWrap w:val="0"/>
            <w:vAlign w:val="center"/>
          </w:tcPr>
          <w:p w14:paraId="29E3D2A6">
            <w:pPr>
              <w:adjustRightInd w:val="0"/>
              <w:snapToGrid w:val="0"/>
              <w:spacing w:line="240" w:lineRule="auto"/>
              <w:jc w:val="center"/>
              <w:rPr>
                <w:rFonts w:hint="default"/>
                <w:color w:val="auto"/>
                <w:sz w:val="24"/>
                <w:highlight w:val="none"/>
                <w:lang w:val="en-US"/>
              </w:rPr>
            </w:pPr>
            <w:r>
              <w:rPr>
                <w:rFonts w:hint="eastAsia"/>
                <w:color w:val="auto"/>
                <w:sz w:val="24"/>
                <w:highlight w:val="none"/>
                <w:lang w:val="en-US" w:eastAsia="zh-CN"/>
              </w:rPr>
              <w:t>50</w:t>
            </w:r>
          </w:p>
        </w:tc>
        <w:tc>
          <w:tcPr>
            <w:tcW w:w="2195" w:type="dxa"/>
            <w:noWrap w:val="0"/>
            <w:tcMar>
              <w:top w:w="16" w:type="dxa"/>
              <w:left w:w="16" w:type="dxa"/>
              <w:right w:w="16" w:type="dxa"/>
            </w:tcMar>
            <w:vAlign w:val="center"/>
          </w:tcPr>
          <w:p w14:paraId="3DB01741">
            <w:pPr>
              <w:adjustRightInd w:val="0"/>
              <w:snapToGrid w:val="0"/>
              <w:spacing w:line="240" w:lineRule="auto"/>
              <w:jc w:val="center"/>
              <w:rPr>
                <w:color w:val="auto"/>
                <w:sz w:val="24"/>
                <w:highlight w:val="none"/>
              </w:rPr>
            </w:pPr>
            <w:r>
              <w:rPr>
                <w:color w:val="auto"/>
                <w:sz w:val="24"/>
                <w:highlight w:val="none"/>
              </w:rPr>
              <w:t>环保投资（万元）</w:t>
            </w:r>
          </w:p>
        </w:tc>
        <w:tc>
          <w:tcPr>
            <w:tcW w:w="2837" w:type="dxa"/>
            <w:noWrap w:val="0"/>
            <w:vAlign w:val="center"/>
          </w:tcPr>
          <w:p w14:paraId="6A4F8F48">
            <w:pPr>
              <w:adjustRightInd w:val="0"/>
              <w:snapToGrid w:val="0"/>
              <w:spacing w:line="240" w:lineRule="auto"/>
              <w:jc w:val="center"/>
              <w:rPr>
                <w:rFonts w:hint="default" w:eastAsia="宋体"/>
                <w:color w:val="auto"/>
                <w:sz w:val="24"/>
                <w:highlight w:val="none"/>
                <w:lang w:val="en-US" w:eastAsia="zh-CN"/>
              </w:rPr>
            </w:pPr>
            <w:r>
              <w:rPr>
                <w:rFonts w:hint="eastAsia"/>
                <w:color w:val="auto"/>
                <w:sz w:val="24"/>
                <w:highlight w:val="none"/>
                <w:lang w:val="en-US" w:eastAsia="zh-CN"/>
              </w:rPr>
              <w:t>18.4</w:t>
            </w:r>
          </w:p>
        </w:tc>
      </w:tr>
      <w:tr w14:paraId="0F55666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728" w:type="dxa"/>
            <w:noWrap w:val="0"/>
            <w:tcMar>
              <w:top w:w="16" w:type="dxa"/>
              <w:left w:w="16" w:type="dxa"/>
              <w:right w:w="16" w:type="dxa"/>
            </w:tcMar>
            <w:vAlign w:val="center"/>
          </w:tcPr>
          <w:p w14:paraId="33926DDE">
            <w:pPr>
              <w:adjustRightInd w:val="0"/>
              <w:snapToGrid w:val="0"/>
              <w:spacing w:line="240" w:lineRule="auto"/>
              <w:jc w:val="center"/>
              <w:rPr>
                <w:color w:val="auto"/>
                <w:sz w:val="24"/>
                <w:highlight w:val="none"/>
              </w:rPr>
            </w:pPr>
            <w:r>
              <w:rPr>
                <w:color w:val="auto"/>
                <w:sz w:val="24"/>
                <w:highlight w:val="none"/>
              </w:rPr>
              <w:t>环保投资占比（%）</w:t>
            </w:r>
          </w:p>
        </w:tc>
        <w:tc>
          <w:tcPr>
            <w:tcW w:w="2110" w:type="dxa"/>
            <w:noWrap w:val="0"/>
            <w:vAlign w:val="center"/>
          </w:tcPr>
          <w:p w14:paraId="136CFFA3">
            <w:pPr>
              <w:adjustRightInd w:val="0"/>
              <w:snapToGrid w:val="0"/>
              <w:spacing w:line="240" w:lineRule="auto"/>
              <w:jc w:val="center"/>
              <w:rPr>
                <w:rFonts w:hint="default" w:eastAsia="宋体"/>
                <w:color w:val="auto"/>
                <w:sz w:val="24"/>
                <w:highlight w:val="none"/>
                <w:lang w:val="en-US" w:eastAsia="zh-CN"/>
              </w:rPr>
            </w:pPr>
            <w:r>
              <w:rPr>
                <w:rFonts w:hint="eastAsia"/>
                <w:color w:val="auto"/>
                <w:sz w:val="24"/>
                <w:highlight w:val="none"/>
                <w:lang w:val="en-US" w:eastAsia="zh-CN"/>
              </w:rPr>
              <w:t>36.8</w:t>
            </w:r>
          </w:p>
        </w:tc>
        <w:tc>
          <w:tcPr>
            <w:tcW w:w="2195" w:type="dxa"/>
            <w:noWrap w:val="0"/>
            <w:tcMar>
              <w:top w:w="16" w:type="dxa"/>
              <w:left w:w="16" w:type="dxa"/>
              <w:right w:w="16" w:type="dxa"/>
            </w:tcMar>
            <w:vAlign w:val="center"/>
          </w:tcPr>
          <w:p w14:paraId="7DD8F6FD">
            <w:pPr>
              <w:adjustRightInd w:val="0"/>
              <w:snapToGrid w:val="0"/>
              <w:spacing w:line="240" w:lineRule="auto"/>
              <w:jc w:val="center"/>
              <w:rPr>
                <w:color w:val="auto"/>
                <w:sz w:val="24"/>
                <w:highlight w:val="none"/>
              </w:rPr>
            </w:pPr>
            <w:r>
              <w:rPr>
                <w:color w:val="auto"/>
                <w:sz w:val="24"/>
                <w:highlight w:val="none"/>
              </w:rPr>
              <w:t>施工工期</w:t>
            </w:r>
          </w:p>
        </w:tc>
        <w:tc>
          <w:tcPr>
            <w:tcW w:w="2837" w:type="dxa"/>
            <w:noWrap w:val="0"/>
            <w:vAlign w:val="center"/>
          </w:tcPr>
          <w:p w14:paraId="327D1A6E">
            <w:pPr>
              <w:adjustRightInd w:val="0"/>
              <w:snapToGrid w:val="0"/>
              <w:spacing w:line="240" w:lineRule="auto"/>
              <w:jc w:val="center"/>
              <w:rPr>
                <w:color w:val="auto"/>
                <w:sz w:val="24"/>
                <w:highlight w:val="none"/>
              </w:rPr>
            </w:pPr>
            <w:r>
              <w:rPr>
                <w:rFonts w:hint="eastAsia"/>
                <w:color w:val="auto"/>
                <w:sz w:val="24"/>
                <w:highlight w:val="none"/>
                <w:lang w:val="en-US" w:eastAsia="zh-CN"/>
              </w:rPr>
              <w:t>/</w:t>
            </w:r>
          </w:p>
        </w:tc>
      </w:tr>
      <w:tr w14:paraId="3705766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728" w:type="dxa"/>
            <w:noWrap w:val="0"/>
            <w:tcMar>
              <w:top w:w="16" w:type="dxa"/>
              <w:left w:w="16" w:type="dxa"/>
              <w:right w:w="16" w:type="dxa"/>
            </w:tcMar>
            <w:vAlign w:val="center"/>
          </w:tcPr>
          <w:p w14:paraId="63A2FF89">
            <w:pPr>
              <w:adjustRightInd w:val="0"/>
              <w:snapToGrid w:val="0"/>
              <w:spacing w:line="240" w:lineRule="auto"/>
              <w:jc w:val="center"/>
              <w:rPr>
                <w:color w:val="auto"/>
                <w:sz w:val="24"/>
                <w:highlight w:val="none"/>
              </w:rPr>
            </w:pPr>
            <w:r>
              <w:rPr>
                <w:color w:val="auto"/>
                <w:sz w:val="24"/>
                <w:highlight w:val="none"/>
              </w:rPr>
              <w:t>是否开工建设</w:t>
            </w:r>
          </w:p>
        </w:tc>
        <w:tc>
          <w:tcPr>
            <w:tcW w:w="2110" w:type="dxa"/>
            <w:noWrap w:val="0"/>
            <w:vAlign w:val="center"/>
          </w:tcPr>
          <w:p w14:paraId="13634E43">
            <w:pPr>
              <w:adjustRightInd w:val="0"/>
              <w:snapToGrid w:val="0"/>
              <w:spacing w:line="240" w:lineRule="auto"/>
              <w:jc w:val="center"/>
              <w:rPr>
                <w:color w:val="auto"/>
                <w:sz w:val="24"/>
                <w:highlight w:val="none"/>
              </w:rPr>
            </w:pPr>
            <w:r>
              <w:rPr>
                <w:color w:val="auto"/>
                <w:sz w:val="24"/>
                <w:highlight w:val="none"/>
              </w:rPr>
              <w:sym w:font="Wingdings 2" w:char="00A3"/>
            </w:r>
            <w:r>
              <w:rPr>
                <w:color w:val="auto"/>
                <w:sz w:val="24"/>
                <w:highlight w:val="none"/>
              </w:rPr>
              <w:t>否</w:t>
            </w:r>
          </w:p>
          <w:p w14:paraId="7E1ADEB5">
            <w:pPr>
              <w:adjustRightInd w:val="0"/>
              <w:snapToGrid w:val="0"/>
              <w:spacing w:line="240" w:lineRule="auto"/>
              <w:jc w:val="center"/>
              <w:rPr>
                <w:rFonts w:hint="eastAsia"/>
                <w:color w:val="auto"/>
                <w:sz w:val="24"/>
                <w:highlight w:val="none"/>
              </w:rPr>
            </w:pPr>
            <w:r>
              <w:rPr>
                <w:color w:val="auto"/>
                <w:sz w:val="24"/>
                <w:highlight w:val="none"/>
              </w:rPr>
              <w:sym w:font="Wingdings 2" w:char="0052"/>
            </w:r>
            <w:r>
              <w:rPr>
                <w:color w:val="auto"/>
                <w:sz w:val="24"/>
                <w:highlight w:val="none"/>
              </w:rPr>
              <w:t>是</w:t>
            </w:r>
          </w:p>
        </w:tc>
        <w:tc>
          <w:tcPr>
            <w:tcW w:w="2195" w:type="dxa"/>
            <w:noWrap w:val="0"/>
            <w:tcMar>
              <w:top w:w="16" w:type="dxa"/>
              <w:left w:w="16" w:type="dxa"/>
              <w:right w:w="16" w:type="dxa"/>
            </w:tcMar>
            <w:vAlign w:val="center"/>
          </w:tcPr>
          <w:p w14:paraId="304C0EC7">
            <w:pPr>
              <w:adjustRightInd w:val="0"/>
              <w:snapToGrid w:val="0"/>
              <w:spacing w:line="240" w:lineRule="auto"/>
              <w:jc w:val="center"/>
              <w:rPr>
                <w:color w:val="auto"/>
                <w:spacing w:val="-6"/>
                <w:sz w:val="24"/>
                <w:highlight w:val="none"/>
              </w:rPr>
            </w:pPr>
            <w:r>
              <w:rPr>
                <w:color w:val="auto"/>
                <w:spacing w:val="-6"/>
                <w:sz w:val="24"/>
                <w:highlight w:val="none"/>
              </w:rPr>
              <w:t>用地（用海）</w:t>
            </w:r>
          </w:p>
          <w:p w14:paraId="40102FDC">
            <w:pPr>
              <w:adjustRightInd w:val="0"/>
              <w:snapToGrid w:val="0"/>
              <w:spacing w:line="240" w:lineRule="auto"/>
              <w:jc w:val="center"/>
              <w:rPr>
                <w:color w:val="auto"/>
                <w:sz w:val="24"/>
                <w:highlight w:val="none"/>
              </w:rPr>
            </w:pPr>
            <w:r>
              <w:rPr>
                <w:color w:val="auto"/>
                <w:spacing w:val="-6"/>
                <w:sz w:val="24"/>
                <w:highlight w:val="none"/>
              </w:rPr>
              <w:t>面积（m</w:t>
            </w:r>
            <w:r>
              <w:rPr>
                <w:color w:val="auto"/>
                <w:spacing w:val="-6"/>
                <w:sz w:val="24"/>
                <w:highlight w:val="none"/>
                <w:vertAlign w:val="superscript"/>
              </w:rPr>
              <w:t>2</w:t>
            </w:r>
            <w:r>
              <w:rPr>
                <w:color w:val="auto"/>
                <w:spacing w:val="-6"/>
                <w:sz w:val="24"/>
                <w:highlight w:val="none"/>
              </w:rPr>
              <w:t>）</w:t>
            </w:r>
          </w:p>
        </w:tc>
        <w:tc>
          <w:tcPr>
            <w:tcW w:w="2837" w:type="dxa"/>
            <w:noWrap w:val="0"/>
            <w:vAlign w:val="center"/>
          </w:tcPr>
          <w:p w14:paraId="211A9847">
            <w:pPr>
              <w:adjustRightInd w:val="0"/>
              <w:snapToGrid w:val="0"/>
              <w:spacing w:line="240" w:lineRule="auto"/>
              <w:jc w:val="center"/>
              <w:rPr>
                <w:color w:val="auto"/>
                <w:sz w:val="24"/>
                <w:highlight w:val="none"/>
              </w:rPr>
            </w:pPr>
            <w:r>
              <w:rPr>
                <w:rFonts w:hint="eastAsia" w:eastAsia="宋体"/>
                <w:color w:val="auto"/>
                <w:sz w:val="24"/>
                <w:highlight w:val="none"/>
                <w:lang w:val="en-US" w:eastAsia="zh-CN"/>
              </w:rPr>
              <w:t>18186</w:t>
            </w:r>
          </w:p>
        </w:tc>
      </w:tr>
      <w:tr w14:paraId="7C158F0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728" w:type="dxa"/>
            <w:noWrap w:val="0"/>
            <w:vAlign w:val="center"/>
          </w:tcPr>
          <w:p w14:paraId="54BBF433">
            <w:pPr>
              <w:autoSpaceDE w:val="0"/>
              <w:autoSpaceDN w:val="0"/>
              <w:adjustRightInd w:val="0"/>
              <w:snapToGrid w:val="0"/>
              <w:spacing w:line="240" w:lineRule="auto"/>
              <w:jc w:val="center"/>
              <w:rPr>
                <w:color w:val="auto"/>
                <w:kern w:val="0"/>
                <w:sz w:val="24"/>
                <w:highlight w:val="none"/>
              </w:rPr>
            </w:pPr>
            <w:r>
              <w:rPr>
                <w:color w:val="auto"/>
                <w:kern w:val="0"/>
                <w:sz w:val="24"/>
                <w:highlight w:val="none"/>
              </w:rPr>
              <w:t>专项评价设置情况</w:t>
            </w:r>
          </w:p>
        </w:tc>
        <w:tc>
          <w:tcPr>
            <w:tcW w:w="7142" w:type="dxa"/>
            <w:gridSpan w:val="3"/>
            <w:noWrap w:val="0"/>
            <w:vAlign w:val="center"/>
          </w:tcPr>
          <w:p w14:paraId="51460F9D">
            <w:pPr>
              <w:tabs>
                <w:tab w:val="left" w:pos="0"/>
              </w:tabs>
              <w:spacing w:line="240" w:lineRule="auto"/>
              <w:jc w:val="both"/>
              <w:rPr>
                <w:rFonts w:hint="eastAsia"/>
                <w:color w:val="auto"/>
                <w:sz w:val="24"/>
                <w:highlight w:val="none"/>
              </w:rPr>
            </w:pPr>
          </w:p>
          <w:p w14:paraId="5D582DCC">
            <w:pPr>
              <w:pStyle w:val="75"/>
              <w:keepNext w:val="0"/>
              <w:keepLines w:val="0"/>
              <w:pageBreakBefore w:val="0"/>
              <w:widowControl w:val="0"/>
              <w:numPr>
                <w:ilvl w:val="0"/>
                <w:numId w:val="4"/>
              </w:numPr>
              <w:kinsoku/>
              <w:wordWrap/>
              <w:overflowPunct/>
              <w:topLinePunct w:val="0"/>
              <w:autoSpaceDE/>
              <w:autoSpaceDN/>
              <w:bidi w:val="0"/>
              <w:adjustRightInd/>
              <w:snapToGrid/>
              <w:spacing w:line="360" w:lineRule="auto"/>
              <w:ind w:left="0" w:leftChars="0" w:firstLine="0" w:firstLineChars="0"/>
              <w:jc w:val="center"/>
              <w:textAlignment w:val="auto"/>
              <w:rPr>
                <w:rFonts w:hint="eastAsia" w:ascii="Times New Roman" w:hAnsi="Times New Roman" w:eastAsia="宋体" w:cs="Times New Roman"/>
                <w:b/>
                <w:bCs/>
                <w:color w:val="auto"/>
                <w:sz w:val="21"/>
                <w:szCs w:val="21"/>
                <w:lang w:val="en-US" w:eastAsia="zh-CN"/>
              </w:rPr>
            </w:pPr>
            <w:r>
              <w:rPr>
                <w:rFonts w:hint="eastAsia" w:ascii="Times New Roman" w:hAnsi="Times New Roman" w:eastAsia="宋体" w:cs="Times New Roman"/>
                <w:b/>
                <w:bCs/>
                <w:color w:val="auto"/>
                <w:sz w:val="21"/>
                <w:szCs w:val="21"/>
                <w:lang w:val="en-US" w:eastAsia="zh-CN"/>
              </w:rPr>
              <w:t xml:space="preserve">  本项目专项评价设置原则表</w:t>
            </w:r>
          </w:p>
          <w:tbl>
            <w:tblPr>
              <w:tblStyle w:val="25"/>
              <w:tblW w:w="49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2"/>
              <w:gridCol w:w="2633"/>
              <w:gridCol w:w="2559"/>
              <w:gridCol w:w="753"/>
            </w:tblGrid>
            <w:tr w14:paraId="790359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6" w:type="dxa"/>
                  <w:noWrap w:val="0"/>
                  <w:vAlign w:val="center"/>
                </w:tcPr>
                <w:p w14:paraId="4CCA963C">
                  <w:pPr>
                    <w:widowControl/>
                    <w:spacing w:line="240" w:lineRule="auto"/>
                    <w:jc w:val="center"/>
                    <w:rPr>
                      <w:color w:val="auto"/>
                      <w:szCs w:val="21"/>
                      <w:highlight w:val="none"/>
                    </w:rPr>
                  </w:pPr>
                  <w:r>
                    <w:rPr>
                      <w:color w:val="auto"/>
                      <w:szCs w:val="21"/>
                      <w:highlight w:val="none"/>
                    </w:rPr>
                    <w:t>专项评价类别</w:t>
                  </w:r>
                </w:p>
              </w:tc>
              <w:tc>
                <w:tcPr>
                  <w:tcW w:w="2587" w:type="dxa"/>
                  <w:noWrap w:val="0"/>
                  <w:vAlign w:val="center"/>
                </w:tcPr>
                <w:p w14:paraId="2FBF2CE8">
                  <w:pPr>
                    <w:widowControl/>
                    <w:spacing w:line="240" w:lineRule="auto"/>
                    <w:jc w:val="center"/>
                    <w:rPr>
                      <w:color w:val="auto"/>
                      <w:szCs w:val="21"/>
                      <w:highlight w:val="none"/>
                    </w:rPr>
                  </w:pPr>
                  <w:r>
                    <w:rPr>
                      <w:color w:val="auto"/>
                      <w:szCs w:val="21"/>
                      <w:highlight w:val="none"/>
                    </w:rPr>
                    <w:t>设置原则</w:t>
                  </w:r>
                </w:p>
              </w:tc>
              <w:tc>
                <w:tcPr>
                  <w:tcW w:w="2514" w:type="dxa"/>
                  <w:noWrap w:val="0"/>
                  <w:vAlign w:val="center"/>
                </w:tcPr>
                <w:p w14:paraId="1EE76C5F">
                  <w:pPr>
                    <w:widowControl/>
                    <w:spacing w:line="240" w:lineRule="auto"/>
                    <w:jc w:val="center"/>
                    <w:rPr>
                      <w:color w:val="auto"/>
                      <w:szCs w:val="21"/>
                      <w:highlight w:val="none"/>
                    </w:rPr>
                  </w:pPr>
                  <w:r>
                    <w:rPr>
                      <w:color w:val="auto"/>
                      <w:szCs w:val="21"/>
                      <w:highlight w:val="none"/>
                    </w:rPr>
                    <w:t>本项目</w:t>
                  </w:r>
                </w:p>
              </w:tc>
              <w:tc>
                <w:tcPr>
                  <w:tcW w:w="740" w:type="dxa"/>
                  <w:noWrap w:val="0"/>
                  <w:vAlign w:val="center"/>
                </w:tcPr>
                <w:p w14:paraId="69B68125">
                  <w:pPr>
                    <w:widowControl/>
                    <w:spacing w:line="240" w:lineRule="auto"/>
                    <w:jc w:val="center"/>
                    <w:rPr>
                      <w:color w:val="auto"/>
                      <w:szCs w:val="21"/>
                      <w:highlight w:val="none"/>
                    </w:rPr>
                  </w:pPr>
                  <w:r>
                    <w:rPr>
                      <w:color w:val="auto"/>
                      <w:szCs w:val="21"/>
                      <w:highlight w:val="none"/>
                    </w:rPr>
                    <w:t>是否设置</w:t>
                  </w:r>
                </w:p>
              </w:tc>
            </w:tr>
            <w:tr w14:paraId="242923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86" w:type="dxa"/>
                  <w:noWrap w:val="0"/>
                  <w:vAlign w:val="center"/>
                </w:tcPr>
                <w:p w14:paraId="2112C485">
                  <w:pPr>
                    <w:widowControl/>
                    <w:spacing w:line="240" w:lineRule="auto"/>
                    <w:jc w:val="center"/>
                    <w:rPr>
                      <w:color w:val="auto"/>
                      <w:szCs w:val="21"/>
                      <w:highlight w:val="none"/>
                    </w:rPr>
                  </w:pPr>
                  <w:r>
                    <w:rPr>
                      <w:color w:val="auto"/>
                      <w:szCs w:val="21"/>
                      <w:highlight w:val="none"/>
                    </w:rPr>
                    <w:t>大气</w:t>
                  </w:r>
                </w:p>
              </w:tc>
              <w:tc>
                <w:tcPr>
                  <w:tcW w:w="2587" w:type="dxa"/>
                  <w:noWrap w:val="0"/>
                  <w:vAlign w:val="center"/>
                </w:tcPr>
                <w:p w14:paraId="5152FE55">
                  <w:pPr>
                    <w:widowControl/>
                    <w:spacing w:line="240" w:lineRule="auto"/>
                    <w:jc w:val="center"/>
                    <w:rPr>
                      <w:color w:val="auto"/>
                      <w:szCs w:val="21"/>
                      <w:highlight w:val="none"/>
                    </w:rPr>
                  </w:pPr>
                  <w:r>
                    <w:rPr>
                      <w:color w:val="auto"/>
                      <w:szCs w:val="21"/>
                      <w:highlight w:val="none"/>
                    </w:rPr>
                    <w:t>排放废气含有毒有害污染物、二噁英、苯并[a]芘、氰化物、氯气且厂界外500米范围内有环境空气保护目标的建设项目</w:t>
                  </w:r>
                </w:p>
              </w:tc>
              <w:tc>
                <w:tcPr>
                  <w:tcW w:w="2514" w:type="dxa"/>
                  <w:noWrap w:val="0"/>
                  <w:vAlign w:val="center"/>
                </w:tcPr>
                <w:p w14:paraId="1DBF6AAB">
                  <w:pPr>
                    <w:widowControl/>
                    <w:spacing w:line="240" w:lineRule="auto"/>
                    <w:jc w:val="center"/>
                    <w:rPr>
                      <w:color w:val="auto"/>
                      <w:szCs w:val="21"/>
                      <w:highlight w:val="none"/>
                    </w:rPr>
                  </w:pPr>
                  <w:r>
                    <w:rPr>
                      <w:color w:val="auto"/>
                      <w:szCs w:val="21"/>
                      <w:highlight w:val="none"/>
                    </w:rPr>
                    <w:t>本项目</w:t>
                  </w:r>
                  <w:r>
                    <w:rPr>
                      <w:rFonts w:hint="eastAsia"/>
                      <w:color w:val="auto"/>
                      <w:szCs w:val="21"/>
                      <w:highlight w:val="none"/>
                      <w:lang w:eastAsia="zh-CN"/>
                    </w:rPr>
                    <w:t>排放的废气中污染物为颗粒物、</w:t>
                  </w:r>
                  <w:r>
                    <w:rPr>
                      <w:rStyle w:val="91"/>
                      <w:rFonts w:hint="eastAsia" w:ascii="Times New Roman" w:hAnsi="Times New Roman" w:cs="Times New Roman"/>
                      <w:color w:val="auto"/>
                      <w:sz w:val="21"/>
                      <w:szCs w:val="21"/>
                      <w:lang w:eastAsia="zh-CN"/>
                    </w:rPr>
                    <w:t>VOC</w:t>
                  </w:r>
                  <w:r>
                    <w:rPr>
                      <w:rStyle w:val="91"/>
                      <w:rFonts w:hint="eastAsia" w:ascii="Times New Roman" w:hAnsi="Times New Roman" w:cs="Times New Roman"/>
                      <w:color w:val="auto"/>
                      <w:sz w:val="21"/>
                      <w:szCs w:val="21"/>
                      <w:vertAlign w:val="subscript"/>
                      <w:lang w:eastAsia="zh-CN"/>
                    </w:rPr>
                    <w:t>S</w:t>
                  </w:r>
                  <w:r>
                    <w:rPr>
                      <w:rStyle w:val="91"/>
                      <w:rFonts w:hint="eastAsia" w:ascii="Times New Roman" w:hAnsi="Times New Roman" w:cs="Times New Roman"/>
                      <w:color w:val="auto"/>
                      <w:sz w:val="21"/>
                      <w:szCs w:val="21"/>
                      <w:lang w:eastAsia="zh-CN"/>
                    </w:rPr>
                    <w:t>，</w:t>
                  </w:r>
                  <w:r>
                    <w:rPr>
                      <w:rStyle w:val="91"/>
                      <w:rFonts w:ascii="Times New Roman" w:hAnsi="Times New Roman" w:cs="Times New Roman"/>
                      <w:color w:val="auto"/>
                      <w:sz w:val="21"/>
                      <w:szCs w:val="21"/>
                      <w:lang w:eastAsia="zh-CN"/>
                    </w:rPr>
                    <w:t>不涉及有毒有害污染物，无需设置大气专项评价</w:t>
                  </w:r>
                </w:p>
              </w:tc>
              <w:tc>
                <w:tcPr>
                  <w:tcW w:w="740" w:type="dxa"/>
                  <w:noWrap w:val="0"/>
                  <w:vAlign w:val="center"/>
                </w:tcPr>
                <w:p w14:paraId="614B75CB">
                  <w:pPr>
                    <w:widowControl/>
                    <w:spacing w:line="240" w:lineRule="auto"/>
                    <w:jc w:val="center"/>
                    <w:rPr>
                      <w:rFonts w:hint="eastAsia" w:eastAsia="宋体"/>
                      <w:color w:val="auto"/>
                      <w:szCs w:val="21"/>
                      <w:highlight w:val="none"/>
                      <w:lang w:eastAsia="zh-CN"/>
                    </w:rPr>
                  </w:pPr>
                  <w:r>
                    <w:rPr>
                      <w:rFonts w:hint="eastAsia"/>
                      <w:color w:val="auto"/>
                      <w:szCs w:val="21"/>
                      <w:highlight w:val="none"/>
                      <w:lang w:eastAsia="zh-CN"/>
                    </w:rPr>
                    <w:t>否</w:t>
                  </w:r>
                </w:p>
              </w:tc>
            </w:tr>
            <w:tr w14:paraId="1627A6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6" w:type="dxa"/>
                  <w:noWrap w:val="0"/>
                  <w:vAlign w:val="center"/>
                </w:tcPr>
                <w:p w14:paraId="261AA5C7">
                  <w:pPr>
                    <w:widowControl/>
                    <w:spacing w:line="240" w:lineRule="auto"/>
                    <w:jc w:val="center"/>
                    <w:rPr>
                      <w:color w:val="auto"/>
                      <w:szCs w:val="21"/>
                      <w:highlight w:val="none"/>
                    </w:rPr>
                  </w:pPr>
                  <w:r>
                    <w:rPr>
                      <w:color w:val="auto"/>
                      <w:szCs w:val="21"/>
                      <w:highlight w:val="none"/>
                    </w:rPr>
                    <w:t>地表水</w:t>
                  </w:r>
                </w:p>
              </w:tc>
              <w:tc>
                <w:tcPr>
                  <w:tcW w:w="2587" w:type="dxa"/>
                  <w:noWrap w:val="0"/>
                  <w:vAlign w:val="center"/>
                </w:tcPr>
                <w:p w14:paraId="4D667255">
                  <w:pPr>
                    <w:widowControl/>
                    <w:spacing w:line="240" w:lineRule="auto"/>
                    <w:jc w:val="center"/>
                    <w:rPr>
                      <w:color w:val="auto"/>
                      <w:szCs w:val="21"/>
                      <w:highlight w:val="none"/>
                    </w:rPr>
                  </w:pPr>
                  <w:r>
                    <w:rPr>
                      <w:color w:val="auto"/>
                      <w:szCs w:val="21"/>
                      <w:highlight w:val="none"/>
                    </w:rPr>
                    <w:t>新增工业废水直排建设项目（槽罐车外送污水处理厂的除外）</w:t>
                  </w:r>
                  <w:r>
                    <w:rPr>
                      <w:rFonts w:hint="eastAsia"/>
                      <w:color w:val="auto"/>
                      <w:szCs w:val="21"/>
                      <w:highlight w:val="none"/>
                    </w:rPr>
                    <w:t>；</w:t>
                  </w:r>
                  <w:r>
                    <w:rPr>
                      <w:color w:val="auto"/>
                      <w:szCs w:val="21"/>
                      <w:highlight w:val="none"/>
                    </w:rPr>
                    <w:t>新增废水直排的污水集中处理厂</w:t>
                  </w:r>
                </w:p>
              </w:tc>
              <w:tc>
                <w:tcPr>
                  <w:tcW w:w="2514" w:type="dxa"/>
                  <w:noWrap w:val="0"/>
                  <w:vAlign w:val="center"/>
                </w:tcPr>
                <w:p w14:paraId="0A4F864A">
                  <w:pPr>
                    <w:widowControl/>
                    <w:spacing w:line="240" w:lineRule="auto"/>
                    <w:jc w:val="center"/>
                    <w:rPr>
                      <w:color w:val="auto"/>
                      <w:szCs w:val="21"/>
                      <w:highlight w:val="none"/>
                    </w:rPr>
                  </w:pPr>
                  <w:r>
                    <w:rPr>
                      <w:color w:val="auto"/>
                      <w:szCs w:val="21"/>
                      <w:highlight w:val="none"/>
                    </w:rPr>
                    <w:t>本项目</w:t>
                  </w:r>
                  <w:r>
                    <w:rPr>
                      <w:rFonts w:hint="eastAsia"/>
                      <w:color w:val="auto"/>
                      <w:szCs w:val="21"/>
                      <w:highlight w:val="none"/>
                    </w:rPr>
                    <w:t>无</w:t>
                  </w:r>
                  <w:r>
                    <w:rPr>
                      <w:rFonts w:hint="eastAsia"/>
                      <w:color w:val="auto"/>
                      <w:szCs w:val="21"/>
                      <w:highlight w:val="none"/>
                      <w:lang w:eastAsia="zh-CN"/>
                    </w:rPr>
                    <w:t>工业废水直排</w:t>
                  </w:r>
                  <w:r>
                    <w:rPr>
                      <w:color w:val="auto"/>
                      <w:szCs w:val="21"/>
                      <w:highlight w:val="none"/>
                    </w:rPr>
                    <w:t>，</w:t>
                  </w:r>
                  <w:r>
                    <w:rPr>
                      <w:rFonts w:hint="eastAsia"/>
                      <w:color w:val="auto"/>
                      <w:szCs w:val="21"/>
                      <w:highlight w:val="none"/>
                      <w:lang w:eastAsia="zh-CN"/>
                    </w:rPr>
                    <w:t>且</w:t>
                  </w:r>
                  <w:r>
                    <w:rPr>
                      <w:rFonts w:hint="eastAsia"/>
                      <w:color w:val="auto"/>
                      <w:szCs w:val="21"/>
                      <w:highlight w:val="none"/>
                    </w:rPr>
                    <w:t>不属于新增河道取水的污染影响类建设项目</w:t>
                  </w:r>
                </w:p>
              </w:tc>
              <w:tc>
                <w:tcPr>
                  <w:tcW w:w="740" w:type="dxa"/>
                  <w:noWrap w:val="0"/>
                  <w:vAlign w:val="center"/>
                </w:tcPr>
                <w:p w14:paraId="77FB5D2D">
                  <w:pPr>
                    <w:widowControl/>
                    <w:spacing w:line="240" w:lineRule="auto"/>
                    <w:jc w:val="center"/>
                    <w:rPr>
                      <w:color w:val="auto"/>
                      <w:szCs w:val="21"/>
                      <w:highlight w:val="none"/>
                    </w:rPr>
                  </w:pPr>
                  <w:r>
                    <w:rPr>
                      <w:color w:val="auto"/>
                      <w:szCs w:val="21"/>
                      <w:highlight w:val="none"/>
                    </w:rPr>
                    <w:t>否</w:t>
                  </w:r>
                </w:p>
              </w:tc>
            </w:tr>
            <w:tr w14:paraId="3120E3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6" w:type="dxa"/>
                  <w:noWrap w:val="0"/>
                  <w:vAlign w:val="center"/>
                </w:tcPr>
                <w:p w14:paraId="32AB0014">
                  <w:pPr>
                    <w:widowControl/>
                    <w:spacing w:line="240" w:lineRule="auto"/>
                    <w:jc w:val="center"/>
                    <w:rPr>
                      <w:color w:val="auto"/>
                      <w:szCs w:val="21"/>
                      <w:highlight w:val="none"/>
                    </w:rPr>
                  </w:pPr>
                  <w:r>
                    <w:rPr>
                      <w:color w:val="auto"/>
                      <w:szCs w:val="21"/>
                      <w:highlight w:val="none"/>
                    </w:rPr>
                    <w:t>环境</w:t>
                  </w:r>
                </w:p>
                <w:p w14:paraId="46894EBC">
                  <w:pPr>
                    <w:widowControl/>
                    <w:spacing w:line="240" w:lineRule="auto"/>
                    <w:jc w:val="center"/>
                    <w:rPr>
                      <w:color w:val="auto"/>
                      <w:szCs w:val="21"/>
                      <w:highlight w:val="none"/>
                    </w:rPr>
                  </w:pPr>
                  <w:r>
                    <w:rPr>
                      <w:color w:val="auto"/>
                      <w:szCs w:val="21"/>
                      <w:highlight w:val="none"/>
                    </w:rPr>
                    <w:t>风险</w:t>
                  </w:r>
                </w:p>
              </w:tc>
              <w:tc>
                <w:tcPr>
                  <w:tcW w:w="2587" w:type="dxa"/>
                  <w:noWrap w:val="0"/>
                  <w:vAlign w:val="center"/>
                </w:tcPr>
                <w:p w14:paraId="53EA5CB3">
                  <w:pPr>
                    <w:widowControl/>
                    <w:spacing w:line="240" w:lineRule="auto"/>
                    <w:jc w:val="center"/>
                    <w:rPr>
                      <w:color w:val="auto"/>
                      <w:szCs w:val="21"/>
                      <w:highlight w:val="none"/>
                    </w:rPr>
                  </w:pPr>
                  <w:r>
                    <w:rPr>
                      <w:color w:val="auto"/>
                      <w:szCs w:val="21"/>
                      <w:highlight w:val="none"/>
                    </w:rPr>
                    <w:t>有毒有害和易燃易爆危险物质存储量超过临界量的建设项目</w:t>
                  </w:r>
                </w:p>
              </w:tc>
              <w:tc>
                <w:tcPr>
                  <w:tcW w:w="2514" w:type="dxa"/>
                  <w:noWrap w:val="0"/>
                  <w:vAlign w:val="center"/>
                </w:tcPr>
                <w:p w14:paraId="32E04AC0">
                  <w:pPr>
                    <w:widowControl/>
                    <w:spacing w:line="240" w:lineRule="auto"/>
                    <w:jc w:val="center"/>
                    <w:rPr>
                      <w:color w:val="auto"/>
                      <w:szCs w:val="21"/>
                      <w:highlight w:val="none"/>
                    </w:rPr>
                  </w:pPr>
                  <w:r>
                    <w:rPr>
                      <w:rStyle w:val="91"/>
                      <w:rFonts w:ascii="Times New Roman" w:hAnsi="Times New Roman" w:cs="Times New Roman"/>
                      <w:color w:val="auto"/>
                      <w:sz w:val="21"/>
                      <w:szCs w:val="21"/>
                      <w:lang w:eastAsia="zh-CN"/>
                    </w:rPr>
                    <w:t>本项目风险物质存储量未超过临界量，</w:t>
                  </w:r>
                  <w:r>
                    <w:rPr>
                      <w:rStyle w:val="91"/>
                      <w:rFonts w:ascii="Times New Roman" w:hAnsi="Times New Roman" w:cs="Times New Roman"/>
                      <w:color w:val="auto"/>
                      <w:sz w:val="21"/>
                      <w:szCs w:val="21"/>
                      <w:lang w:eastAsia="zh-CN"/>
                    </w:rPr>
                    <w:t>无需</w:t>
                  </w:r>
                  <w:r>
                    <w:rPr>
                      <w:rStyle w:val="91"/>
                      <w:rFonts w:ascii="Times New Roman" w:hAnsi="Times New Roman" w:cs="Times New Roman"/>
                      <w:color w:val="auto"/>
                      <w:sz w:val="21"/>
                      <w:szCs w:val="21"/>
                      <w:lang w:eastAsia="zh-CN"/>
                    </w:rPr>
                    <w:t>设置环境风险专项评价</w:t>
                  </w:r>
                </w:p>
              </w:tc>
              <w:tc>
                <w:tcPr>
                  <w:tcW w:w="740" w:type="dxa"/>
                  <w:noWrap w:val="0"/>
                  <w:vAlign w:val="center"/>
                </w:tcPr>
                <w:p w14:paraId="00A955DC">
                  <w:pPr>
                    <w:widowControl/>
                    <w:spacing w:line="240" w:lineRule="auto"/>
                    <w:jc w:val="center"/>
                    <w:rPr>
                      <w:color w:val="auto"/>
                      <w:szCs w:val="21"/>
                      <w:highlight w:val="none"/>
                    </w:rPr>
                  </w:pPr>
                  <w:r>
                    <w:rPr>
                      <w:color w:val="auto"/>
                      <w:szCs w:val="21"/>
                      <w:highlight w:val="none"/>
                    </w:rPr>
                    <w:t>否</w:t>
                  </w:r>
                </w:p>
              </w:tc>
            </w:tr>
            <w:tr w14:paraId="240FCA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6" w:type="dxa"/>
                  <w:noWrap w:val="0"/>
                  <w:vAlign w:val="center"/>
                </w:tcPr>
                <w:p w14:paraId="01FAC5D3">
                  <w:pPr>
                    <w:widowControl/>
                    <w:spacing w:line="240" w:lineRule="auto"/>
                    <w:jc w:val="center"/>
                    <w:rPr>
                      <w:color w:val="auto"/>
                      <w:szCs w:val="21"/>
                      <w:highlight w:val="none"/>
                    </w:rPr>
                  </w:pPr>
                  <w:r>
                    <w:rPr>
                      <w:color w:val="auto"/>
                      <w:szCs w:val="21"/>
                      <w:highlight w:val="none"/>
                    </w:rPr>
                    <w:t>生态</w:t>
                  </w:r>
                </w:p>
              </w:tc>
              <w:tc>
                <w:tcPr>
                  <w:tcW w:w="2587" w:type="dxa"/>
                  <w:noWrap w:val="0"/>
                  <w:vAlign w:val="center"/>
                </w:tcPr>
                <w:p w14:paraId="3C114982">
                  <w:pPr>
                    <w:widowControl/>
                    <w:spacing w:line="240" w:lineRule="auto"/>
                    <w:jc w:val="center"/>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t>取水口下游500米范围内有重要水生生物的自然产卵场、索饵场、越冬场和洄游通道的新增河道取水的污染类建设项目</w:t>
                  </w:r>
                </w:p>
              </w:tc>
              <w:tc>
                <w:tcPr>
                  <w:tcW w:w="2514" w:type="dxa"/>
                  <w:noWrap w:val="0"/>
                  <w:vAlign w:val="center"/>
                </w:tcPr>
                <w:p w14:paraId="5344C7E6">
                  <w:pPr>
                    <w:widowControl/>
                    <w:spacing w:line="240" w:lineRule="auto"/>
                    <w:jc w:val="center"/>
                    <w:rPr>
                      <w:rFonts w:ascii="Times New Roman" w:hAnsi="Times New Roman" w:eastAsia="宋体" w:cs="Times New Roman"/>
                      <w:color w:val="auto"/>
                      <w:szCs w:val="21"/>
                      <w:highlight w:val="none"/>
                    </w:rPr>
                  </w:pPr>
                  <w:r>
                    <w:rPr>
                      <w:rStyle w:val="91"/>
                      <w:rFonts w:ascii="Times New Roman" w:hAnsi="Times New Roman" w:cs="Times New Roman"/>
                      <w:color w:val="auto"/>
                      <w:sz w:val="21"/>
                      <w:szCs w:val="21"/>
                      <w:lang w:eastAsia="zh-CN"/>
                    </w:rPr>
                    <w:t>本项目不涉及</w:t>
                  </w:r>
                </w:p>
              </w:tc>
              <w:tc>
                <w:tcPr>
                  <w:tcW w:w="740" w:type="dxa"/>
                  <w:noWrap w:val="0"/>
                  <w:vAlign w:val="center"/>
                </w:tcPr>
                <w:p w14:paraId="3A289F13">
                  <w:pPr>
                    <w:widowControl/>
                    <w:spacing w:line="240" w:lineRule="auto"/>
                    <w:jc w:val="center"/>
                    <w:rPr>
                      <w:color w:val="auto"/>
                      <w:szCs w:val="21"/>
                      <w:highlight w:val="none"/>
                    </w:rPr>
                  </w:pPr>
                  <w:r>
                    <w:rPr>
                      <w:color w:val="auto"/>
                      <w:szCs w:val="21"/>
                      <w:highlight w:val="none"/>
                    </w:rPr>
                    <w:t>否</w:t>
                  </w:r>
                </w:p>
              </w:tc>
            </w:tr>
          </w:tbl>
          <w:p w14:paraId="37F70CAA">
            <w:pPr>
              <w:autoSpaceDE w:val="0"/>
              <w:autoSpaceDN w:val="0"/>
              <w:adjustRightInd w:val="0"/>
              <w:snapToGrid w:val="0"/>
              <w:spacing w:line="240" w:lineRule="auto"/>
              <w:jc w:val="center"/>
              <w:rPr>
                <w:color w:val="auto"/>
                <w:kern w:val="0"/>
                <w:sz w:val="24"/>
                <w:highlight w:val="none"/>
              </w:rPr>
            </w:pPr>
          </w:p>
        </w:tc>
      </w:tr>
      <w:tr w14:paraId="1917D05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53" w:hRule="atLeast"/>
          <w:jc w:val="center"/>
        </w:trPr>
        <w:tc>
          <w:tcPr>
            <w:tcW w:w="1728" w:type="dxa"/>
            <w:noWrap w:val="0"/>
            <w:vAlign w:val="center"/>
          </w:tcPr>
          <w:p w14:paraId="54D4A7AC">
            <w:pPr>
              <w:autoSpaceDE w:val="0"/>
              <w:autoSpaceDN w:val="0"/>
              <w:adjustRightInd w:val="0"/>
              <w:snapToGrid w:val="0"/>
              <w:spacing w:line="240" w:lineRule="auto"/>
              <w:jc w:val="center"/>
              <w:rPr>
                <w:color w:val="auto"/>
                <w:kern w:val="0"/>
                <w:sz w:val="24"/>
                <w:highlight w:val="none"/>
              </w:rPr>
            </w:pPr>
            <w:r>
              <w:rPr>
                <w:color w:val="auto"/>
                <w:sz w:val="24"/>
                <w:highlight w:val="none"/>
              </w:rPr>
              <w:t>规划情况</w:t>
            </w:r>
          </w:p>
        </w:tc>
        <w:tc>
          <w:tcPr>
            <w:tcW w:w="7142" w:type="dxa"/>
            <w:gridSpan w:val="3"/>
            <w:noWrap w:val="0"/>
            <w:vAlign w:val="center"/>
          </w:tcPr>
          <w:p w14:paraId="5455FBCC">
            <w:pPr>
              <w:pStyle w:val="24"/>
              <w:keepNext w:val="0"/>
              <w:keepLines w:val="0"/>
              <w:pageBreakBefore w:val="0"/>
              <w:widowControl w:val="0"/>
              <w:kinsoku/>
              <w:wordWrap/>
              <w:overflowPunct/>
              <w:topLinePunct w:val="0"/>
              <w:autoSpaceDE/>
              <w:autoSpaceDN/>
              <w:bidi w:val="0"/>
              <w:adjustRightInd/>
              <w:snapToGrid/>
              <w:spacing w:after="0" w:line="240" w:lineRule="auto"/>
              <w:ind w:left="0" w:leftChars="0" w:firstLine="0"/>
              <w:jc w:val="center"/>
              <w:textAlignment w:val="auto"/>
              <w:rPr>
                <w:color w:val="auto"/>
                <w:szCs w:val="24"/>
                <w:highlight w:val="none"/>
                <w:lang w:val="en-US" w:eastAsia="zh-CN"/>
              </w:rPr>
            </w:pPr>
            <w:r>
              <w:rPr>
                <w:rFonts w:ascii="Times New Roman" w:hAnsi="Times New Roman" w:eastAsia="宋体" w:cs="Times New Roman"/>
                <w:color w:val="auto"/>
                <w:sz w:val="24"/>
                <w:szCs w:val="24"/>
                <w:lang w:eastAsia="zh-CN"/>
              </w:rPr>
              <w:t>《抚顺县产业园区总体规划》（抚县政</w:t>
            </w:r>
            <w:r>
              <w:rPr>
                <w:rFonts w:hint="eastAsia" w:ascii="Times New Roman" w:hAnsi="Times New Roman" w:eastAsia="宋体" w:cs="Times New Roman"/>
                <w:color w:val="auto"/>
                <w:sz w:val="24"/>
                <w:szCs w:val="24"/>
                <w:lang w:eastAsia="zh-CN"/>
              </w:rPr>
              <w:t>〔2024〕12号</w:t>
            </w:r>
            <w:r>
              <w:rPr>
                <w:rFonts w:ascii="Times New Roman" w:hAnsi="Times New Roman" w:eastAsia="宋体" w:cs="Times New Roman"/>
                <w:color w:val="auto"/>
                <w:sz w:val="24"/>
                <w:szCs w:val="24"/>
                <w:lang w:eastAsia="zh-CN"/>
              </w:rPr>
              <w:t>），抚顺县人民政府</w:t>
            </w:r>
          </w:p>
        </w:tc>
      </w:tr>
      <w:tr w14:paraId="731ABA7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79" w:hRule="atLeast"/>
          <w:jc w:val="center"/>
        </w:trPr>
        <w:tc>
          <w:tcPr>
            <w:tcW w:w="1728" w:type="dxa"/>
            <w:noWrap w:val="0"/>
            <w:vAlign w:val="center"/>
          </w:tcPr>
          <w:p w14:paraId="42447AFC">
            <w:pPr>
              <w:adjustRightInd w:val="0"/>
              <w:snapToGrid w:val="0"/>
              <w:spacing w:line="240" w:lineRule="auto"/>
              <w:jc w:val="center"/>
              <w:rPr>
                <w:color w:val="auto"/>
                <w:sz w:val="24"/>
                <w:highlight w:val="none"/>
              </w:rPr>
            </w:pPr>
            <w:r>
              <w:rPr>
                <w:color w:val="auto"/>
                <w:sz w:val="24"/>
                <w:highlight w:val="none"/>
              </w:rPr>
              <w:t>规划环境影响</w:t>
            </w:r>
          </w:p>
          <w:p w14:paraId="5753CF66">
            <w:pPr>
              <w:adjustRightInd w:val="0"/>
              <w:snapToGrid w:val="0"/>
              <w:spacing w:line="240" w:lineRule="auto"/>
              <w:jc w:val="center"/>
              <w:rPr>
                <w:color w:val="auto"/>
                <w:kern w:val="0"/>
                <w:sz w:val="24"/>
                <w:highlight w:val="none"/>
              </w:rPr>
            </w:pPr>
            <w:r>
              <w:rPr>
                <w:color w:val="auto"/>
                <w:sz w:val="24"/>
                <w:highlight w:val="none"/>
              </w:rPr>
              <w:t>评价情况</w:t>
            </w:r>
          </w:p>
        </w:tc>
        <w:tc>
          <w:tcPr>
            <w:tcW w:w="7142" w:type="dxa"/>
            <w:gridSpan w:val="3"/>
            <w:noWrap w:val="0"/>
            <w:vAlign w:val="center"/>
          </w:tcPr>
          <w:p w14:paraId="6FEF9EBA">
            <w:pPr>
              <w:pStyle w:val="24"/>
              <w:keepNext w:val="0"/>
              <w:keepLines w:val="0"/>
              <w:pageBreakBefore w:val="0"/>
              <w:widowControl w:val="0"/>
              <w:kinsoku/>
              <w:wordWrap/>
              <w:overflowPunct/>
              <w:topLinePunct w:val="0"/>
              <w:autoSpaceDE/>
              <w:autoSpaceDN/>
              <w:bidi w:val="0"/>
              <w:adjustRightInd/>
              <w:snapToGrid/>
              <w:spacing w:after="0" w:line="240" w:lineRule="auto"/>
              <w:ind w:left="0" w:leftChars="0" w:firstLine="0"/>
              <w:jc w:val="center"/>
              <w:textAlignment w:val="auto"/>
              <w:rPr>
                <w:color w:val="auto"/>
                <w:szCs w:val="24"/>
                <w:highlight w:val="none"/>
                <w:lang w:val="en-US" w:eastAsia="zh-CN"/>
              </w:rPr>
            </w:pPr>
            <w:r>
              <w:rPr>
                <w:rFonts w:hint="eastAsia" w:ascii="Times New Roman" w:hAnsi="Times New Roman" w:eastAsia="宋体" w:cs="Times New Roman"/>
                <w:color w:val="auto"/>
                <w:sz w:val="24"/>
                <w:szCs w:val="24"/>
                <w:lang w:eastAsia="zh-CN"/>
              </w:rPr>
              <w:t>《关于抚顺县产业园区总体规划（2020—2035）环境影响报告书审查意见的函》，抚环审〔2022〕6号</w:t>
            </w:r>
          </w:p>
        </w:tc>
      </w:tr>
      <w:tr w14:paraId="2CB00DE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2" w:hRule="atLeast"/>
          <w:jc w:val="center"/>
        </w:trPr>
        <w:tc>
          <w:tcPr>
            <w:tcW w:w="1728" w:type="dxa"/>
            <w:noWrap w:val="0"/>
            <w:vAlign w:val="center"/>
          </w:tcPr>
          <w:p w14:paraId="17E8E9B4">
            <w:pPr>
              <w:autoSpaceDE w:val="0"/>
              <w:autoSpaceDN w:val="0"/>
              <w:adjustRightInd w:val="0"/>
              <w:snapToGrid w:val="0"/>
              <w:spacing w:line="240" w:lineRule="auto"/>
              <w:jc w:val="center"/>
              <w:rPr>
                <w:color w:val="auto"/>
                <w:kern w:val="0"/>
                <w:sz w:val="24"/>
                <w:highlight w:val="none"/>
              </w:rPr>
            </w:pPr>
            <w:r>
              <w:rPr>
                <w:color w:val="auto"/>
                <w:kern w:val="0"/>
                <w:sz w:val="24"/>
                <w:highlight w:val="none"/>
              </w:rPr>
              <w:t>规划及规划环境影响评价符合性分析</w:t>
            </w:r>
          </w:p>
        </w:tc>
        <w:tc>
          <w:tcPr>
            <w:tcW w:w="7142" w:type="dxa"/>
            <w:gridSpan w:val="3"/>
            <w:noWrap w:val="0"/>
            <w:vAlign w:val="center"/>
          </w:tcPr>
          <w:p w14:paraId="4D280763">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ascii="Times New Roman" w:hAnsi="Times New Roman" w:eastAsia="宋体" w:cs="Times New Roman"/>
                <w:b/>
                <w:bCs/>
                <w:color w:val="auto"/>
                <w:sz w:val="24"/>
                <w:szCs w:val="24"/>
                <w:lang w:eastAsia="zh-CN"/>
              </w:rPr>
            </w:pPr>
            <w:r>
              <w:rPr>
                <w:rFonts w:hint="eastAsia" w:ascii="Times New Roman" w:hAnsi="Times New Roman" w:eastAsia="宋体" w:cs="Times New Roman"/>
                <w:b/>
                <w:bCs/>
                <w:color w:val="auto"/>
                <w:sz w:val="24"/>
                <w:szCs w:val="24"/>
                <w:lang w:eastAsia="zh-CN"/>
              </w:rPr>
              <w:t>1、与《抚顺县产业园区总体规划》（抚县政〔2024〕</w:t>
            </w:r>
            <w:r>
              <w:rPr>
                <w:rFonts w:ascii="Times New Roman" w:hAnsi="Times New Roman" w:eastAsia="宋体" w:cs="Times New Roman"/>
                <w:b/>
                <w:bCs/>
                <w:color w:val="auto"/>
                <w:sz w:val="24"/>
                <w:szCs w:val="24"/>
                <w:lang w:eastAsia="zh-CN"/>
              </w:rPr>
              <w:t>12</w:t>
            </w:r>
            <w:r>
              <w:rPr>
                <w:rFonts w:hint="eastAsia" w:ascii="Times New Roman" w:hAnsi="Times New Roman" w:eastAsia="宋体" w:cs="Times New Roman"/>
                <w:b/>
                <w:bCs/>
                <w:color w:val="auto"/>
                <w:sz w:val="24"/>
                <w:szCs w:val="24"/>
                <w:lang w:eastAsia="zh-CN"/>
              </w:rPr>
              <w:t>号）</w:t>
            </w:r>
            <w:r>
              <w:rPr>
                <w:rFonts w:hint="eastAsia" w:ascii="Times New Roman" w:hAnsi="Times New Roman" w:eastAsia="宋体" w:cs="Times New Roman"/>
                <w:b/>
                <w:bCs/>
                <w:color w:val="auto"/>
                <w:sz w:val="24"/>
                <w:szCs w:val="24"/>
                <w:lang w:val="en-US" w:eastAsia="zh-CN"/>
              </w:rPr>
              <w:t>符合性</w:t>
            </w:r>
            <w:r>
              <w:rPr>
                <w:rFonts w:hint="eastAsia" w:ascii="Times New Roman" w:hAnsi="Times New Roman" w:eastAsia="宋体" w:cs="Times New Roman"/>
                <w:b/>
                <w:bCs/>
                <w:color w:val="auto"/>
                <w:sz w:val="24"/>
                <w:szCs w:val="24"/>
                <w:lang w:eastAsia="zh-CN"/>
              </w:rPr>
              <w:t>分析</w:t>
            </w:r>
          </w:p>
          <w:p w14:paraId="64FCE74D">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color w:val="auto"/>
              </w:rPr>
            </w:pPr>
            <w:r>
              <w:rPr>
                <w:rFonts w:hint="eastAsia" w:ascii="Times New Roman" w:hAnsi="Times New Roman" w:eastAsia="宋体" w:cs="Times New Roman"/>
                <w:color w:val="auto"/>
                <w:sz w:val="24"/>
                <w:szCs w:val="24"/>
                <w:lang w:eastAsia="zh-CN"/>
              </w:rPr>
              <w:t>本项目与《抚顺县产业园区总体规划》（抚县政〔2024〕</w:t>
            </w:r>
            <w:r>
              <w:rPr>
                <w:rFonts w:ascii="Times New Roman" w:hAnsi="Times New Roman" w:eastAsia="宋体" w:cs="Times New Roman"/>
                <w:color w:val="auto"/>
                <w:sz w:val="24"/>
                <w:szCs w:val="24"/>
                <w:lang w:eastAsia="zh-CN"/>
              </w:rPr>
              <w:t>12</w:t>
            </w:r>
            <w:r>
              <w:rPr>
                <w:rFonts w:hint="eastAsia" w:ascii="Times New Roman" w:hAnsi="Times New Roman" w:eastAsia="宋体" w:cs="Times New Roman"/>
                <w:color w:val="auto"/>
                <w:sz w:val="24"/>
                <w:szCs w:val="24"/>
                <w:lang w:eastAsia="zh-CN"/>
              </w:rPr>
              <w:t>号）的符合性分析。</w:t>
            </w:r>
          </w:p>
          <w:p w14:paraId="59ABE09B">
            <w:pPr>
              <w:pStyle w:val="75"/>
              <w:keepNext w:val="0"/>
              <w:keepLines w:val="0"/>
              <w:pageBreakBefore w:val="0"/>
              <w:widowControl w:val="0"/>
              <w:numPr>
                <w:ilvl w:val="0"/>
                <w:numId w:val="4"/>
              </w:numPr>
              <w:kinsoku/>
              <w:wordWrap/>
              <w:overflowPunct/>
              <w:topLinePunct w:val="0"/>
              <w:autoSpaceDE/>
              <w:autoSpaceDN/>
              <w:bidi w:val="0"/>
              <w:adjustRightInd/>
              <w:snapToGrid/>
              <w:spacing w:line="360" w:lineRule="auto"/>
              <w:ind w:left="0" w:leftChars="0" w:firstLine="0" w:firstLineChars="0"/>
              <w:jc w:val="center"/>
              <w:textAlignment w:val="auto"/>
              <w:rPr>
                <w:rFonts w:ascii="Times New Roman" w:hAnsi="Times New Roman" w:cs="Times New Roman"/>
                <w:b/>
                <w:bCs/>
                <w:color w:val="auto"/>
                <w:sz w:val="21"/>
                <w:szCs w:val="21"/>
              </w:rPr>
            </w:pPr>
            <w:r>
              <w:rPr>
                <w:rFonts w:hint="eastAsia" w:ascii="Times New Roman" w:hAnsi="Times New Roman" w:cs="Times New Roman"/>
                <w:b/>
                <w:bCs/>
                <w:color w:val="auto"/>
                <w:sz w:val="21"/>
                <w:szCs w:val="21"/>
                <w:lang w:val="en-US" w:eastAsia="zh-CN"/>
              </w:rPr>
              <w:t xml:space="preserve">  </w:t>
            </w:r>
            <w:r>
              <w:rPr>
                <w:rFonts w:hint="eastAsia" w:ascii="Times New Roman" w:hAnsi="Times New Roman" w:cs="Times New Roman"/>
                <w:b/>
                <w:bCs/>
                <w:color w:val="auto"/>
                <w:sz w:val="21"/>
                <w:szCs w:val="21"/>
                <w:lang w:eastAsia="zh-CN"/>
              </w:rPr>
              <w:t>与《抚顺县产业园区总体规划》符合性分析</w:t>
            </w:r>
          </w:p>
          <w:tbl>
            <w:tblPr>
              <w:tblStyle w:val="25"/>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425"/>
              <w:gridCol w:w="2556"/>
              <w:gridCol w:w="934"/>
            </w:tblGrid>
            <w:tr w14:paraId="53C4DA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476" w:type="pct"/>
                  <w:tcBorders>
                    <w:tl2br w:val="nil"/>
                    <w:tr2bl w:val="nil"/>
                  </w:tcBorders>
                  <w:noWrap w:val="0"/>
                  <w:vAlign w:val="center"/>
                </w:tcPr>
                <w:p w14:paraId="2CFEEA3C">
                  <w:pPr>
                    <w:keepNext w:val="0"/>
                    <w:keepLines w:val="0"/>
                    <w:pageBreakBefore w:val="0"/>
                    <w:widowControl w:val="0"/>
                    <w:kinsoku/>
                    <w:wordWrap/>
                    <w:overflowPunct/>
                    <w:topLinePunct w:val="0"/>
                    <w:autoSpaceDE/>
                    <w:autoSpaceDN/>
                    <w:bidi w:val="0"/>
                    <w:adjustRightInd/>
                    <w:snapToGrid/>
                    <w:spacing w:line="240" w:lineRule="auto"/>
                    <w:jc w:val="center"/>
                    <w:rPr>
                      <w:rStyle w:val="91"/>
                      <w:rFonts w:ascii="Times New Roman" w:hAnsi="Times New Roman" w:cs="Times New Roman"/>
                      <w:b w:val="0"/>
                      <w:bCs w:val="0"/>
                      <w:color w:val="auto"/>
                      <w:sz w:val="21"/>
                      <w:szCs w:val="21"/>
                      <w:lang w:eastAsia="zh-CN"/>
                    </w:rPr>
                  </w:pPr>
                  <w:r>
                    <w:rPr>
                      <w:rStyle w:val="91"/>
                      <w:rFonts w:ascii="Times New Roman" w:hAnsi="Times New Roman" w:cs="Times New Roman"/>
                      <w:b w:val="0"/>
                      <w:bCs w:val="0"/>
                      <w:color w:val="auto"/>
                      <w:sz w:val="21"/>
                      <w:szCs w:val="21"/>
                      <w:lang w:eastAsia="zh-CN"/>
                    </w:rPr>
                    <w:t>抚顺县产业园区总体规划相关要求</w:t>
                  </w:r>
                </w:p>
              </w:tc>
              <w:tc>
                <w:tcPr>
                  <w:tcW w:w="1847" w:type="pct"/>
                  <w:tcBorders>
                    <w:tl2br w:val="nil"/>
                    <w:tr2bl w:val="nil"/>
                  </w:tcBorders>
                  <w:noWrap w:val="0"/>
                  <w:vAlign w:val="center"/>
                </w:tcPr>
                <w:p w14:paraId="7DD01630">
                  <w:pPr>
                    <w:keepNext w:val="0"/>
                    <w:keepLines w:val="0"/>
                    <w:pageBreakBefore w:val="0"/>
                    <w:widowControl w:val="0"/>
                    <w:kinsoku/>
                    <w:wordWrap/>
                    <w:overflowPunct/>
                    <w:topLinePunct w:val="0"/>
                    <w:autoSpaceDE/>
                    <w:autoSpaceDN/>
                    <w:bidi w:val="0"/>
                    <w:adjustRightInd/>
                    <w:snapToGrid/>
                    <w:spacing w:line="240" w:lineRule="auto"/>
                    <w:jc w:val="center"/>
                    <w:rPr>
                      <w:rStyle w:val="91"/>
                      <w:rFonts w:ascii="Times New Roman" w:hAnsi="Times New Roman" w:cs="Times New Roman"/>
                      <w:b w:val="0"/>
                      <w:bCs w:val="0"/>
                      <w:color w:val="auto"/>
                      <w:sz w:val="21"/>
                      <w:szCs w:val="21"/>
                      <w:lang w:eastAsia="zh-CN"/>
                    </w:rPr>
                  </w:pPr>
                  <w:r>
                    <w:rPr>
                      <w:rFonts w:hint="eastAsia" w:ascii="宋体" w:hAnsi="宋体" w:eastAsia="宋体" w:cs="宋体"/>
                      <w:b w:val="0"/>
                      <w:bCs w:val="0"/>
                      <w:color w:val="auto"/>
                      <w:sz w:val="21"/>
                      <w:szCs w:val="21"/>
                      <w:lang w:eastAsia="zh-CN"/>
                    </w:rPr>
                    <w:t>本项目情况</w:t>
                  </w:r>
                </w:p>
              </w:tc>
              <w:tc>
                <w:tcPr>
                  <w:tcW w:w="675" w:type="pct"/>
                  <w:tcBorders>
                    <w:tl2br w:val="nil"/>
                    <w:tr2bl w:val="nil"/>
                  </w:tcBorders>
                  <w:noWrap w:val="0"/>
                  <w:vAlign w:val="center"/>
                </w:tcPr>
                <w:p w14:paraId="6B55BDCA">
                  <w:pPr>
                    <w:keepNext w:val="0"/>
                    <w:keepLines w:val="0"/>
                    <w:pageBreakBefore w:val="0"/>
                    <w:widowControl w:val="0"/>
                    <w:kinsoku/>
                    <w:wordWrap/>
                    <w:overflowPunct/>
                    <w:topLinePunct w:val="0"/>
                    <w:autoSpaceDE/>
                    <w:autoSpaceDN/>
                    <w:bidi w:val="0"/>
                    <w:adjustRightInd/>
                    <w:snapToGrid/>
                    <w:spacing w:line="240" w:lineRule="auto"/>
                    <w:jc w:val="center"/>
                    <w:rPr>
                      <w:rStyle w:val="91"/>
                      <w:rFonts w:ascii="Times New Roman" w:hAnsi="Times New Roman" w:cs="Times New Roman"/>
                      <w:b w:val="0"/>
                      <w:bCs w:val="0"/>
                      <w:color w:val="auto"/>
                      <w:sz w:val="21"/>
                      <w:szCs w:val="21"/>
                      <w:lang w:eastAsia="zh-CN"/>
                    </w:rPr>
                  </w:pPr>
                  <w:r>
                    <w:rPr>
                      <w:rFonts w:hint="eastAsia" w:ascii="宋体" w:hAnsi="宋体" w:eastAsia="宋体" w:cs="宋体"/>
                      <w:b w:val="0"/>
                      <w:bCs w:val="0"/>
                      <w:color w:val="auto"/>
                      <w:sz w:val="21"/>
                      <w:szCs w:val="21"/>
                      <w:lang w:eastAsia="zh-CN"/>
                    </w:rPr>
                    <w:t>符合性</w:t>
                  </w:r>
                </w:p>
              </w:tc>
            </w:tr>
            <w:tr w14:paraId="65D6F6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8" w:hRule="atLeast"/>
                <w:jc w:val="center"/>
              </w:trPr>
              <w:tc>
                <w:tcPr>
                  <w:tcW w:w="2476" w:type="pct"/>
                  <w:tcBorders>
                    <w:tl2br w:val="nil"/>
                    <w:tr2bl w:val="nil"/>
                  </w:tcBorders>
                  <w:noWrap w:val="0"/>
                  <w:vAlign w:val="center"/>
                </w:tcPr>
                <w:p w14:paraId="7AA94FBB">
                  <w:pPr>
                    <w:keepNext w:val="0"/>
                    <w:keepLines w:val="0"/>
                    <w:pageBreakBefore w:val="0"/>
                    <w:widowControl w:val="0"/>
                    <w:kinsoku/>
                    <w:wordWrap/>
                    <w:overflowPunct/>
                    <w:topLinePunct w:val="0"/>
                    <w:autoSpaceDE/>
                    <w:autoSpaceDN/>
                    <w:bidi w:val="0"/>
                    <w:adjustRightInd/>
                    <w:snapToGrid/>
                    <w:spacing w:line="240" w:lineRule="auto"/>
                    <w:jc w:val="center"/>
                    <w:rPr>
                      <w:rStyle w:val="91"/>
                      <w:rFonts w:ascii="Times New Roman" w:hAnsi="Times New Roman" w:cs="Times New Roman"/>
                      <w:color w:val="auto"/>
                      <w:sz w:val="21"/>
                      <w:szCs w:val="21"/>
                      <w:lang w:eastAsia="zh-CN"/>
                    </w:rPr>
                  </w:pPr>
                  <w:r>
                    <w:rPr>
                      <w:rFonts w:hint="eastAsia" w:ascii="宋体" w:hAnsi="宋体" w:eastAsia="宋体" w:cs="宋体"/>
                      <w:color w:val="auto"/>
                      <w:sz w:val="21"/>
                      <w:szCs w:val="21"/>
                      <w:lang w:eastAsia="zh-CN"/>
                    </w:rPr>
                    <w:t>抚顺县产业园区分为抚顺县产业园区核心区、救兵木业和新材料产业园、海浪应急产业园。</w:t>
                  </w:r>
                </w:p>
              </w:tc>
              <w:tc>
                <w:tcPr>
                  <w:tcW w:w="1847" w:type="pct"/>
                  <w:tcBorders>
                    <w:tl2br w:val="nil"/>
                    <w:tr2bl w:val="nil"/>
                  </w:tcBorders>
                  <w:noWrap w:val="0"/>
                  <w:vAlign w:val="center"/>
                </w:tcPr>
                <w:p w14:paraId="2893B3FF">
                  <w:pPr>
                    <w:keepNext w:val="0"/>
                    <w:keepLines w:val="0"/>
                    <w:pageBreakBefore w:val="0"/>
                    <w:widowControl w:val="0"/>
                    <w:kinsoku/>
                    <w:wordWrap/>
                    <w:overflowPunct/>
                    <w:topLinePunct w:val="0"/>
                    <w:autoSpaceDE/>
                    <w:autoSpaceDN/>
                    <w:bidi w:val="0"/>
                    <w:adjustRightInd/>
                    <w:snapToGrid/>
                    <w:spacing w:line="240" w:lineRule="auto"/>
                    <w:jc w:val="center"/>
                    <w:rPr>
                      <w:rStyle w:val="91"/>
                      <w:rFonts w:ascii="Times New Roman" w:hAnsi="Times New Roman" w:cs="Times New Roman"/>
                      <w:color w:val="auto"/>
                      <w:sz w:val="21"/>
                      <w:szCs w:val="21"/>
                      <w:lang w:eastAsia="zh-CN"/>
                    </w:rPr>
                  </w:pPr>
                  <w:r>
                    <w:rPr>
                      <w:rFonts w:hint="eastAsia" w:ascii="宋体" w:hAnsi="宋体" w:eastAsia="宋体" w:cs="宋体"/>
                      <w:color w:val="auto"/>
                      <w:sz w:val="21"/>
                      <w:szCs w:val="21"/>
                      <w:lang w:eastAsia="zh-CN"/>
                    </w:rPr>
                    <w:t>本项目位于抚顺县救兵木业和新材料产业园区，租用园区厂房进行建设。</w:t>
                  </w:r>
                </w:p>
              </w:tc>
              <w:tc>
                <w:tcPr>
                  <w:tcW w:w="675" w:type="pct"/>
                  <w:tcBorders>
                    <w:tl2br w:val="nil"/>
                    <w:tr2bl w:val="nil"/>
                  </w:tcBorders>
                  <w:noWrap w:val="0"/>
                  <w:vAlign w:val="center"/>
                </w:tcPr>
                <w:p w14:paraId="325C17E7">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Style w:val="91"/>
                      <w:rFonts w:ascii="Times New Roman" w:hAnsi="Times New Roman" w:cs="Times New Roman"/>
                      <w:color w:val="auto"/>
                      <w:sz w:val="21"/>
                      <w:szCs w:val="21"/>
                      <w:lang w:eastAsia="zh-CN"/>
                    </w:rPr>
                  </w:pPr>
                  <w:r>
                    <w:rPr>
                      <w:rStyle w:val="91"/>
                      <w:rFonts w:hint="eastAsia" w:ascii="Times New Roman" w:hAnsi="Times New Roman" w:cs="Times New Roman"/>
                      <w:color w:val="auto"/>
                      <w:sz w:val="21"/>
                      <w:szCs w:val="21"/>
                      <w:lang w:eastAsia="zh-CN"/>
                    </w:rPr>
                    <w:t>符合</w:t>
                  </w:r>
                </w:p>
              </w:tc>
            </w:tr>
            <w:tr w14:paraId="2B8EA4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5" w:hRule="atLeast"/>
                <w:jc w:val="center"/>
              </w:trPr>
              <w:tc>
                <w:tcPr>
                  <w:tcW w:w="2476" w:type="pct"/>
                  <w:tcBorders>
                    <w:tl2br w:val="nil"/>
                    <w:tr2bl w:val="nil"/>
                  </w:tcBorders>
                  <w:noWrap w:val="0"/>
                  <w:vAlign w:val="center"/>
                </w:tcPr>
                <w:p w14:paraId="08F339C2">
                  <w:pPr>
                    <w:keepNext w:val="0"/>
                    <w:keepLines w:val="0"/>
                    <w:pageBreakBefore w:val="0"/>
                    <w:widowControl w:val="0"/>
                    <w:kinsoku/>
                    <w:wordWrap/>
                    <w:overflowPunct/>
                    <w:topLinePunct w:val="0"/>
                    <w:autoSpaceDE/>
                    <w:autoSpaceDN/>
                    <w:bidi w:val="0"/>
                    <w:adjustRightInd/>
                    <w:snapToGrid/>
                    <w:spacing w:line="240" w:lineRule="auto"/>
                    <w:jc w:val="center"/>
                    <w:rPr>
                      <w:rFonts w:ascii="Times New Roman" w:hAnsi="Times New Roman" w:eastAsia="宋体" w:cs="Times New Roman"/>
                      <w:color w:val="auto"/>
                      <w:sz w:val="21"/>
                      <w:szCs w:val="21"/>
                    </w:rPr>
                  </w:pPr>
                  <w:r>
                    <w:rPr>
                      <w:rFonts w:hint="eastAsia" w:ascii="宋体" w:hAnsi="宋体" w:eastAsia="宋体" w:cs="宋体"/>
                      <w:color w:val="auto"/>
                      <w:sz w:val="21"/>
                      <w:szCs w:val="21"/>
                      <w:lang w:eastAsia="zh-CN"/>
                    </w:rPr>
                    <w:t>救兵木业和新材料产业园以救兵木业小镇为基础，发展以私人定制为切入点的高端木业产业和以聚凝大砌块新材料为主的新材料产业。</w:t>
                  </w:r>
                </w:p>
              </w:tc>
              <w:tc>
                <w:tcPr>
                  <w:tcW w:w="1847" w:type="pct"/>
                  <w:tcBorders>
                    <w:tl2br w:val="nil"/>
                    <w:tr2bl w:val="nil"/>
                  </w:tcBorders>
                  <w:noWrap w:val="0"/>
                  <w:vAlign w:val="center"/>
                </w:tcPr>
                <w:p w14:paraId="760505A2">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lang w:eastAsia="zh-CN"/>
                    </w:rPr>
                    <w:t>本项目为</w:t>
                  </w:r>
                  <w:r>
                    <w:rPr>
                      <w:rFonts w:hint="eastAsia" w:ascii="Times New Roman" w:hAnsi="Times New Roman" w:eastAsia="宋体" w:cs="Times New Roman"/>
                      <w:color w:val="auto"/>
                      <w:sz w:val="21"/>
                      <w:szCs w:val="21"/>
                      <w:lang w:eastAsia="zh-CN"/>
                    </w:rPr>
                    <w:t>木地板制造</w:t>
                  </w:r>
                  <w:r>
                    <w:rPr>
                      <w:rFonts w:ascii="Times New Roman" w:hAnsi="Times New Roman" w:eastAsia="宋体" w:cs="Times New Roman"/>
                      <w:color w:val="auto"/>
                      <w:sz w:val="21"/>
                      <w:szCs w:val="21"/>
                      <w:lang w:eastAsia="zh-CN"/>
                    </w:rPr>
                    <w:t>项目，属于救兵木业和新材料产业园支持产业。</w:t>
                  </w:r>
                </w:p>
              </w:tc>
              <w:tc>
                <w:tcPr>
                  <w:tcW w:w="675" w:type="pct"/>
                  <w:tcBorders>
                    <w:tl2br w:val="nil"/>
                    <w:tr2bl w:val="nil"/>
                  </w:tcBorders>
                  <w:noWrap w:val="0"/>
                  <w:vAlign w:val="center"/>
                </w:tcPr>
                <w:p w14:paraId="4408E669">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符合</w:t>
                  </w:r>
                </w:p>
              </w:tc>
            </w:tr>
          </w:tbl>
          <w:p w14:paraId="18E7FA78">
            <w:pPr>
              <w:pStyle w:val="75"/>
              <w:numPr>
                <w:ilvl w:val="0"/>
                <w:numId w:val="0"/>
              </w:numPr>
              <w:tabs>
                <w:tab w:val="left" w:pos="0"/>
              </w:tabs>
              <w:spacing w:afterLines="50"/>
              <w:jc w:val="both"/>
              <w:rPr>
                <w:rFonts w:ascii="Times New Roman" w:hAnsi="Times New Roman" w:cs="Times New Roman"/>
                <w:b/>
                <w:bCs/>
                <w:color w:val="auto"/>
                <w:sz w:val="21"/>
                <w:szCs w:val="21"/>
              </w:rPr>
            </w:pPr>
          </w:p>
          <w:p w14:paraId="364C2595">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ascii="Times New Roman" w:hAnsi="Times New Roman" w:eastAsia="宋体" w:cs="Times New Roman"/>
                <w:b/>
                <w:bCs/>
                <w:color w:val="auto"/>
                <w:lang w:eastAsia="zh-CN"/>
              </w:rPr>
            </w:pPr>
            <w:r>
              <w:rPr>
                <w:rFonts w:hint="eastAsia" w:ascii="Times New Roman" w:hAnsi="Times New Roman" w:eastAsia="宋体" w:cs="Times New Roman"/>
                <w:b/>
                <w:bCs/>
                <w:color w:val="auto"/>
                <w:sz w:val="24"/>
                <w:szCs w:val="24"/>
                <w:lang w:eastAsia="zh-CN"/>
              </w:rPr>
              <w:t>2、与《抚顺县产业园区总体规划（2020-2035）环境影响报告书》符合性分析</w:t>
            </w:r>
          </w:p>
          <w:p w14:paraId="21A43076">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项目位于救兵木业产业园内（“救兵木业产业园</w:t>
            </w: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eastAsia="zh-CN"/>
              </w:rPr>
              <w:t>在</w:t>
            </w:r>
            <w:r>
              <w:rPr>
                <w:rFonts w:hint="eastAsia" w:ascii="Times New Roman" w:hAnsi="Times New Roman" w:eastAsia="宋体" w:cs="Times New Roman"/>
                <w:color w:val="auto"/>
                <w:sz w:val="24"/>
                <w:szCs w:val="24"/>
                <w:lang w:eastAsia="zh-CN"/>
              </w:rPr>
              <w:t>《抚顺县产业园区总体规划》（抚县政〔2024〕</w:t>
            </w:r>
            <w:r>
              <w:rPr>
                <w:rFonts w:ascii="Times New Roman" w:hAnsi="Times New Roman" w:eastAsia="宋体" w:cs="Times New Roman"/>
                <w:color w:val="auto"/>
                <w:sz w:val="24"/>
                <w:szCs w:val="24"/>
                <w:lang w:eastAsia="zh-CN"/>
              </w:rPr>
              <w:t>12</w:t>
            </w:r>
            <w:r>
              <w:rPr>
                <w:rFonts w:hint="eastAsia" w:ascii="Times New Roman" w:hAnsi="Times New Roman" w:eastAsia="宋体" w:cs="Times New Roman"/>
                <w:color w:val="auto"/>
                <w:sz w:val="24"/>
                <w:szCs w:val="24"/>
                <w:lang w:eastAsia="zh-CN"/>
              </w:rPr>
              <w:t>号）中</w:t>
            </w:r>
            <w:r>
              <w:rPr>
                <w:rFonts w:hint="eastAsia" w:ascii="Times New Roman" w:hAnsi="Times New Roman" w:eastAsia="宋体" w:cs="Times New Roman"/>
                <w:color w:val="auto"/>
                <w:sz w:val="24"/>
                <w:szCs w:val="24"/>
                <w:lang w:eastAsia="zh-CN"/>
              </w:rPr>
              <w:t>已更名为“抚顺县救兵木业和新材料产业园区</w:t>
            </w: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eastAsia="zh-CN"/>
              </w:rPr>
              <w:t>），本项目与《抚顺县产业园区总体规划（2020-2035）环境影响报告书》符合性分析如下。</w:t>
            </w:r>
          </w:p>
          <w:p w14:paraId="250B41E9">
            <w:pPr>
              <w:pStyle w:val="75"/>
              <w:keepNext w:val="0"/>
              <w:keepLines w:val="0"/>
              <w:pageBreakBefore w:val="0"/>
              <w:widowControl w:val="0"/>
              <w:numPr>
                <w:ilvl w:val="0"/>
                <w:numId w:val="4"/>
              </w:numPr>
              <w:kinsoku/>
              <w:wordWrap/>
              <w:overflowPunct/>
              <w:topLinePunct w:val="0"/>
              <w:autoSpaceDE/>
              <w:autoSpaceDN/>
              <w:bidi w:val="0"/>
              <w:adjustRightInd/>
              <w:snapToGrid/>
              <w:spacing w:line="360" w:lineRule="auto"/>
              <w:ind w:left="0" w:leftChars="0" w:firstLine="0" w:firstLineChars="0"/>
              <w:jc w:val="center"/>
              <w:textAlignment w:val="auto"/>
              <w:rPr>
                <w:rFonts w:hint="eastAsia" w:ascii="Times New Roman" w:hAnsi="Times New Roman" w:eastAsia="宋体" w:cs="Times New Roman"/>
                <w:b/>
                <w:bCs/>
                <w:color w:val="auto"/>
                <w:sz w:val="21"/>
                <w:szCs w:val="21"/>
                <w:lang w:val="en-US" w:eastAsia="zh-CN"/>
              </w:rPr>
            </w:pPr>
            <w:r>
              <w:rPr>
                <w:rFonts w:hint="eastAsia" w:ascii="Times New Roman" w:hAnsi="Times New Roman" w:eastAsia="宋体" w:cs="Times New Roman"/>
                <w:b/>
                <w:bCs/>
                <w:color w:val="auto"/>
                <w:sz w:val="21"/>
                <w:szCs w:val="21"/>
                <w:lang w:val="en-US" w:eastAsia="zh-CN"/>
              </w:rPr>
              <w:t xml:space="preserve"> 与《抚顺县产业园区总体规划（2020-2035）环境影响报告书》符合性分析</w:t>
            </w:r>
          </w:p>
          <w:tbl>
            <w:tblPr>
              <w:tblStyle w:val="25"/>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21"/>
              <w:gridCol w:w="1861"/>
              <w:gridCol w:w="833"/>
            </w:tblGrid>
            <w:tr w14:paraId="0F193A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071" w:type="pct"/>
                  <w:tcBorders>
                    <w:tl2br w:val="nil"/>
                    <w:tr2bl w:val="nil"/>
                  </w:tcBorders>
                  <w:noWrap w:val="0"/>
                  <w:vAlign w:val="center"/>
                </w:tcPr>
                <w:p w14:paraId="2E8E181D">
                  <w:pPr>
                    <w:pStyle w:val="49"/>
                    <w:keepNext w:val="0"/>
                    <w:keepLines w:val="0"/>
                    <w:pageBreakBefore w:val="0"/>
                    <w:widowControl w:val="0"/>
                    <w:kinsoku/>
                    <w:wordWrap/>
                    <w:overflowPunct/>
                    <w:topLinePunct w:val="0"/>
                    <w:autoSpaceDE/>
                    <w:autoSpaceDN/>
                    <w:bidi w:val="0"/>
                    <w:adjustRightInd w:val="0"/>
                    <w:snapToGrid w:val="0"/>
                    <w:spacing w:beforeLines="0" w:afterLines="0" w:line="240" w:lineRule="auto"/>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规划环境影响评价结论</w:t>
                  </w:r>
                </w:p>
              </w:tc>
              <w:tc>
                <w:tcPr>
                  <w:tcW w:w="1305" w:type="pct"/>
                  <w:tcBorders>
                    <w:tl2br w:val="nil"/>
                    <w:tr2bl w:val="nil"/>
                  </w:tcBorders>
                  <w:noWrap w:val="0"/>
                  <w:vAlign w:val="center"/>
                </w:tcPr>
                <w:p w14:paraId="067B147C">
                  <w:pPr>
                    <w:pStyle w:val="49"/>
                    <w:keepNext w:val="0"/>
                    <w:keepLines w:val="0"/>
                    <w:pageBreakBefore w:val="0"/>
                    <w:widowControl w:val="0"/>
                    <w:kinsoku/>
                    <w:wordWrap/>
                    <w:overflowPunct/>
                    <w:topLinePunct w:val="0"/>
                    <w:autoSpaceDE/>
                    <w:autoSpaceDN/>
                    <w:bidi w:val="0"/>
                    <w:adjustRightInd w:val="0"/>
                    <w:snapToGrid w:val="0"/>
                    <w:spacing w:beforeLines="0" w:afterLines="0" w:line="240" w:lineRule="auto"/>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项目具体情况</w:t>
                  </w:r>
                </w:p>
              </w:tc>
              <w:tc>
                <w:tcPr>
                  <w:tcW w:w="622" w:type="pct"/>
                  <w:tcBorders>
                    <w:tl2br w:val="nil"/>
                    <w:tr2bl w:val="nil"/>
                  </w:tcBorders>
                  <w:noWrap w:val="0"/>
                  <w:vAlign w:val="center"/>
                </w:tcPr>
                <w:p w14:paraId="62435CF3">
                  <w:pPr>
                    <w:pStyle w:val="49"/>
                    <w:keepNext w:val="0"/>
                    <w:keepLines w:val="0"/>
                    <w:pageBreakBefore w:val="0"/>
                    <w:widowControl w:val="0"/>
                    <w:kinsoku/>
                    <w:wordWrap/>
                    <w:overflowPunct/>
                    <w:topLinePunct w:val="0"/>
                    <w:autoSpaceDE/>
                    <w:autoSpaceDN/>
                    <w:bidi w:val="0"/>
                    <w:adjustRightInd w:val="0"/>
                    <w:snapToGrid w:val="0"/>
                    <w:spacing w:beforeLines="0" w:afterLines="0" w:line="240" w:lineRule="auto"/>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符合性</w:t>
                  </w:r>
                </w:p>
              </w:tc>
            </w:tr>
            <w:tr w14:paraId="2096BC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0" w:hRule="atLeast"/>
                <w:jc w:val="center"/>
              </w:trPr>
              <w:tc>
                <w:tcPr>
                  <w:tcW w:w="3071" w:type="pct"/>
                  <w:tcBorders>
                    <w:tl2br w:val="nil"/>
                    <w:tr2bl w:val="nil"/>
                  </w:tcBorders>
                  <w:noWrap w:val="0"/>
                  <w:vAlign w:val="center"/>
                </w:tcPr>
                <w:p w14:paraId="76FEA792">
                  <w:pPr>
                    <w:pStyle w:val="49"/>
                    <w:keepNext w:val="0"/>
                    <w:keepLines w:val="0"/>
                    <w:pageBreakBefore w:val="0"/>
                    <w:widowControl w:val="0"/>
                    <w:kinsoku/>
                    <w:wordWrap/>
                    <w:overflowPunct/>
                    <w:topLinePunct w:val="0"/>
                    <w:autoSpaceDE/>
                    <w:autoSpaceDN/>
                    <w:bidi w:val="0"/>
                    <w:adjustRightInd w:val="0"/>
                    <w:snapToGrid w:val="0"/>
                    <w:spacing w:beforeLines="0" w:afterLines="0" w:line="240" w:lineRule="auto"/>
                    <w:jc w:val="both"/>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根据近远期规划，并结合入区企业的数量和建设情况，由政府主管部门负责制定规划区域内的农用地转换为建设用地的具体方案和时间表，避免出现大量农用地土地闲置荒废现象。规划园区范围内的</w:t>
                  </w:r>
                  <w:r>
                    <w:rPr>
                      <w:rFonts w:hint="eastAsia" w:ascii="Times New Roman" w:hAnsi="Times New Roman" w:eastAsia="宋体" w:cs="Times New Roman"/>
                      <w:color w:val="auto"/>
                      <w:sz w:val="21"/>
                      <w:szCs w:val="21"/>
                      <w:lang w:eastAsia="zh-CN"/>
                    </w:rPr>
                    <w:t>村庄</w:t>
                  </w:r>
                  <w:r>
                    <w:rPr>
                      <w:rFonts w:hint="default" w:ascii="Times New Roman" w:hAnsi="Times New Roman" w:eastAsia="宋体" w:cs="Times New Roman"/>
                      <w:color w:val="auto"/>
                      <w:sz w:val="21"/>
                      <w:szCs w:val="21"/>
                    </w:rPr>
                    <w:t>由政府主管部门负责制定搬迁计划和实施细则并筹措资金。要坚持</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先建后拆、未拆先补、产权转换、差额找补</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的和谐拆迁办法，形成了公正、公开、公平的搬迁安置氛围，一方面满足进区项目的用地需求，一方面使人民群众的信任度和满意度不断提升。</w:t>
                  </w:r>
                </w:p>
              </w:tc>
              <w:tc>
                <w:tcPr>
                  <w:tcW w:w="1305" w:type="pct"/>
                  <w:tcBorders>
                    <w:tl2br w:val="nil"/>
                    <w:tr2bl w:val="nil"/>
                  </w:tcBorders>
                  <w:noWrap w:val="0"/>
                  <w:vAlign w:val="center"/>
                </w:tcPr>
                <w:p w14:paraId="628562B7">
                  <w:pPr>
                    <w:pStyle w:val="49"/>
                    <w:keepNext w:val="0"/>
                    <w:keepLines w:val="0"/>
                    <w:pageBreakBefore w:val="0"/>
                    <w:widowControl w:val="0"/>
                    <w:kinsoku/>
                    <w:wordWrap/>
                    <w:overflowPunct/>
                    <w:topLinePunct w:val="0"/>
                    <w:autoSpaceDE/>
                    <w:autoSpaceDN/>
                    <w:bidi w:val="0"/>
                    <w:adjustRightInd w:val="0"/>
                    <w:snapToGrid w:val="0"/>
                    <w:spacing w:beforeLines="0" w:afterLines="0" w:line="240" w:lineRule="auto"/>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本项目不涉及</w:t>
                  </w:r>
                </w:p>
              </w:tc>
              <w:tc>
                <w:tcPr>
                  <w:tcW w:w="622" w:type="pct"/>
                  <w:tcBorders>
                    <w:tl2br w:val="nil"/>
                    <w:tr2bl w:val="nil"/>
                  </w:tcBorders>
                  <w:noWrap w:val="0"/>
                  <w:vAlign w:val="center"/>
                </w:tcPr>
                <w:p w14:paraId="43049D9A">
                  <w:pPr>
                    <w:pStyle w:val="49"/>
                    <w:keepNext w:val="0"/>
                    <w:keepLines w:val="0"/>
                    <w:pageBreakBefore w:val="0"/>
                    <w:widowControl w:val="0"/>
                    <w:kinsoku/>
                    <w:wordWrap/>
                    <w:overflowPunct/>
                    <w:topLinePunct w:val="0"/>
                    <w:autoSpaceDE/>
                    <w:autoSpaceDN/>
                    <w:bidi w:val="0"/>
                    <w:adjustRightInd w:val="0"/>
                    <w:snapToGrid w:val="0"/>
                    <w:spacing w:beforeLines="0" w:afterLines="0" w:line="240" w:lineRule="auto"/>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3C9986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071" w:type="pct"/>
                  <w:tcBorders>
                    <w:tl2br w:val="nil"/>
                    <w:tr2bl w:val="nil"/>
                  </w:tcBorders>
                  <w:noWrap w:val="0"/>
                  <w:vAlign w:val="center"/>
                </w:tcPr>
                <w:p w14:paraId="0CB99C2E">
                  <w:pPr>
                    <w:pStyle w:val="49"/>
                    <w:keepNext w:val="0"/>
                    <w:keepLines w:val="0"/>
                    <w:pageBreakBefore w:val="0"/>
                    <w:widowControl w:val="0"/>
                    <w:kinsoku/>
                    <w:wordWrap/>
                    <w:overflowPunct/>
                    <w:topLinePunct w:val="0"/>
                    <w:autoSpaceDE/>
                    <w:autoSpaceDN/>
                    <w:bidi w:val="0"/>
                    <w:adjustRightInd w:val="0"/>
                    <w:snapToGrid w:val="0"/>
                    <w:spacing w:beforeLines="0" w:afterLines="0" w:line="240" w:lineRule="auto"/>
                    <w:jc w:val="both"/>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加强规划园区的环境管理工作，按照本次环评要求进行基础设施建设。严格入区项目审批管理，对于不符合环境准入的项目一律不得批准建设。深化入驻项目环境影响评价工作，入驻园区项目必须开展环境影响评价工作。园区企业应按要求编制建设项目环境影响评价文件，并提出有针对性的环保措施和环境风险防控措施。严格园区运行监管。园区内企业应严格执行国家或地方污染物排放标准，园区管理机构应严格按照国家或地方相关环境保护标准的规定对企业特征污染物实施监督管理，杜绝有毒有害污染物超标排放。</w:t>
                  </w:r>
                </w:p>
              </w:tc>
              <w:tc>
                <w:tcPr>
                  <w:tcW w:w="1305" w:type="pct"/>
                  <w:tcBorders>
                    <w:tl2br w:val="nil"/>
                    <w:tr2bl w:val="nil"/>
                  </w:tcBorders>
                  <w:noWrap w:val="0"/>
                  <w:vAlign w:val="center"/>
                </w:tcPr>
                <w:p w14:paraId="16E2B364">
                  <w:pPr>
                    <w:pStyle w:val="49"/>
                    <w:keepNext w:val="0"/>
                    <w:keepLines w:val="0"/>
                    <w:pageBreakBefore w:val="0"/>
                    <w:widowControl w:val="0"/>
                    <w:kinsoku/>
                    <w:wordWrap/>
                    <w:overflowPunct/>
                    <w:topLinePunct w:val="0"/>
                    <w:autoSpaceDE/>
                    <w:autoSpaceDN/>
                    <w:bidi w:val="0"/>
                    <w:adjustRightInd w:val="0"/>
                    <w:snapToGrid w:val="0"/>
                    <w:spacing w:beforeLines="0" w:afterLines="0" w:line="240" w:lineRule="auto"/>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本项目正在进行环境影响评价工作；本项目符合抚顺县生态环境总体准入要求及所在的重点管控单元（环境管控单元编码：ZH21042120003）的准入要求，污染物排放能够满足排放标准</w:t>
                  </w:r>
                </w:p>
              </w:tc>
              <w:tc>
                <w:tcPr>
                  <w:tcW w:w="622" w:type="pct"/>
                  <w:tcBorders>
                    <w:tl2br w:val="nil"/>
                    <w:tr2bl w:val="nil"/>
                  </w:tcBorders>
                  <w:noWrap w:val="0"/>
                  <w:vAlign w:val="center"/>
                </w:tcPr>
                <w:p w14:paraId="3C4BFD4D">
                  <w:pPr>
                    <w:pStyle w:val="49"/>
                    <w:keepNext w:val="0"/>
                    <w:keepLines w:val="0"/>
                    <w:pageBreakBefore w:val="0"/>
                    <w:widowControl w:val="0"/>
                    <w:kinsoku/>
                    <w:wordWrap/>
                    <w:overflowPunct/>
                    <w:topLinePunct w:val="0"/>
                    <w:autoSpaceDE/>
                    <w:autoSpaceDN/>
                    <w:bidi w:val="0"/>
                    <w:adjustRightInd w:val="0"/>
                    <w:snapToGrid w:val="0"/>
                    <w:spacing w:beforeLines="0" w:afterLines="0" w:line="240" w:lineRule="auto"/>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4507AB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071" w:type="pct"/>
                  <w:tcBorders>
                    <w:tl2br w:val="nil"/>
                    <w:tr2bl w:val="nil"/>
                  </w:tcBorders>
                  <w:noWrap w:val="0"/>
                  <w:vAlign w:val="center"/>
                </w:tcPr>
                <w:p w14:paraId="4C107951">
                  <w:pPr>
                    <w:pStyle w:val="49"/>
                    <w:keepNext w:val="0"/>
                    <w:keepLines w:val="0"/>
                    <w:pageBreakBefore w:val="0"/>
                    <w:widowControl w:val="0"/>
                    <w:kinsoku/>
                    <w:wordWrap/>
                    <w:overflowPunct/>
                    <w:topLinePunct w:val="0"/>
                    <w:autoSpaceDE/>
                    <w:autoSpaceDN/>
                    <w:bidi w:val="0"/>
                    <w:adjustRightInd w:val="0"/>
                    <w:snapToGrid w:val="0"/>
                    <w:spacing w:beforeLines="0" w:afterLines="0" w:line="240" w:lineRule="auto"/>
                    <w:jc w:val="both"/>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现状不符合规划区产业定位的高污染高耗能行业，该类企业应逐步迁出，对于基本符合的企业，规划要求企业加强环保管理工作，开展厂内环境监测、监督，确保污染物的达标排放的前提下可不搬迁。未来引进的企业应严格符合规划产业定位。同时建议重污染企业搬迁后应对地块的土壤进行现状评估和修复，符合相应的用地标准后方可在此地块上进行开发建设。</w:t>
                  </w:r>
                </w:p>
              </w:tc>
              <w:tc>
                <w:tcPr>
                  <w:tcW w:w="1305" w:type="pct"/>
                  <w:tcBorders>
                    <w:tl2br w:val="nil"/>
                    <w:tr2bl w:val="nil"/>
                  </w:tcBorders>
                  <w:noWrap w:val="0"/>
                  <w:vAlign w:val="center"/>
                </w:tcPr>
                <w:p w14:paraId="022883F6">
                  <w:pPr>
                    <w:pStyle w:val="49"/>
                    <w:keepNext w:val="0"/>
                    <w:keepLines w:val="0"/>
                    <w:pageBreakBefore w:val="0"/>
                    <w:widowControl w:val="0"/>
                    <w:kinsoku/>
                    <w:wordWrap/>
                    <w:overflowPunct/>
                    <w:topLinePunct w:val="0"/>
                    <w:autoSpaceDE/>
                    <w:autoSpaceDN/>
                    <w:bidi w:val="0"/>
                    <w:adjustRightInd w:val="0"/>
                    <w:snapToGrid w:val="0"/>
                    <w:spacing w:beforeLines="0" w:afterLines="0" w:line="240" w:lineRule="auto"/>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本项目不涉及</w:t>
                  </w:r>
                </w:p>
              </w:tc>
              <w:tc>
                <w:tcPr>
                  <w:tcW w:w="622" w:type="pct"/>
                  <w:tcBorders>
                    <w:tl2br w:val="nil"/>
                    <w:tr2bl w:val="nil"/>
                  </w:tcBorders>
                  <w:noWrap w:val="0"/>
                  <w:vAlign w:val="center"/>
                </w:tcPr>
                <w:p w14:paraId="02E1CE1C">
                  <w:pPr>
                    <w:pStyle w:val="49"/>
                    <w:keepNext w:val="0"/>
                    <w:keepLines w:val="0"/>
                    <w:pageBreakBefore w:val="0"/>
                    <w:widowControl w:val="0"/>
                    <w:kinsoku/>
                    <w:wordWrap/>
                    <w:overflowPunct/>
                    <w:topLinePunct w:val="0"/>
                    <w:autoSpaceDE/>
                    <w:autoSpaceDN/>
                    <w:bidi w:val="0"/>
                    <w:adjustRightInd w:val="0"/>
                    <w:snapToGrid w:val="0"/>
                    <w:spacing w:beforeLines="0" w:afterLines="0" w:line="240" w:lineRule="auto"/>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16E514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071" w:type="pct"/>
                  <w:tcBorders>
                    <w:tl2br w:val="nil"/>
                    <w:tr2bl w:val="nil"/>
                  </w:tcBorders>
                  <w:noWrap w:val="0"/>
                  <w:vAlign w:val="center"/>
                </w:tcPr>
                <w:p w14:paraId="52DE7729">
                  <w:pPr>
                    <w:pStyle w:val="49"/>
                    <w:keepNext w:val="0"/>
                    <w:keepLines w:val="0"/>
                    <w:pageBreakBefore w:val="0"/>
                    <w:widowControl w:val="0"/>
                    <w:kinsoku/>
                    <w:wordWrap/>
                    <w:overflowPunct/>
                    <w:topLinePunct w:val="0"/>
                    <w:autoSpaceDE/>
                    <w:autoSpaceDN/>
                    <w:bidi w:val="0"/>
                    <w:adjustRightInd w:val="0"/>
                    <w:snapToGrid w:val="0"/>
                    <w:spacing w:beforeLines="0" w:afterLines="0" w:line="240" w:lineRule="auto"/>
                    <w:jc w:val="both"/>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海浪应急产业园地表水北沙河为II类水体，因此海浪应急产业园的发展必须考虑对北沙河水质的保护问题。海浪应急产业园应提高企业入区门槛，限制污水排放量大或水污染严重的企业入区，禁止单位工业增加值废水产生量不符合标准的企业入区。鼓励</w:t>
                  </w:r>
                  <w:r>
                    <w:rPr>
                      <w:rFonts w:hint="default" w:ascii="Times New Roman" w:hAnsi="Times New Roman" w:eastAsia="宋体" w:cs="Times New Roman"/>
                      <w:color w:val="auto"/>
                      <w:sz w:val="21"/>
                      <w:szCs w:val="21"/>
                      <w:lang w:eastAsia="zh-CN"/>
                    </w:rPr>
                    <w:t>园区</w:t>
                  </w:r>
                  <w:r>
                    <w:rPr>
                      <w:rFonts w:hint="default" w:ascii="Times New Roman" w:hAnsi="Times New Roman" w:eastAsia="宋体" w:cs="Times New Roman"/>
                      <w:color w:val="auto"/>
                      <w:sz w:val="21"/>
                      <w:szCs w:val="21"/>
                    </w:rPr>
                    <w:t>内企业积极建设中水回用系统。海浪乡污水处理厂设置中水回用系统，再生水可以更多</w:t>
                  </w:r>
                  <w:r>
                    <w:rPr>
                      <w:rFonts w:hint="eastAsia" w:ascii="Times New Roman" w:hAnsi="Times New Roman" w:eastAsia="宋体" w:cs="Times New Roman"/>
                      <w:color w:val="auto"/>
                      <w:sz w:val="21"/>
                      <w:szCs w:val="21"/>
                      <w:lang w:eastAsia="zh-CN"/>
                    </w:rPr>
                    <w:t>地</w:t>
                  </w:r>
                  <w:r>
                    <w:rPr>
                      <w:rFonts w:hint="default" w:ascii="Times New Roman" w:hAnsi="Times New Roman" w:eastAsia="宋体" w:cs="Times New Roman"/>
                      <w:color w:val="auto"/>
                      <w:sz w:val="21"/>
                      <w:szCs w:val="21"/>
                    </w:rPr>
                    <w:t>应用到工业生产、市政、生活杂用水、绿化、水系和景观补水等方面。</w:t>
                  </w:r>
                </w:p>
              </w:tc>
              <w:tc>
                <w:tcPr>
                  <w:tcW w:w="1305" w:type="pct"/>
                  <w:tcBorders>
                    <w:tl2br w:val="nil"/>
                    <w:tr2bl w:val="nil"/>
                  </w:tcBorders>
                  <w:noWrap w:val="0"/>
                  <w:vAlign w:val="center"/>
                </w:tcPr>
                <w:p w14:paraId="773E5653">
                  <w:pPr>
                    <w:pStyle w:val="49"/>
                    <w:keepNext w:val="0"/>
                    <w:keepLines w:val="0"/>
                    <w:pageBreakBefore w:val="0"/>
                    <w:widowControl w:val="0"/>
                    <w:kinsoku/>
                    <w:wordWrap/>
                    <w:overflowPunct/>
                    <w:topLinePunct w:val="0"/>
                    <w:autoSpaceDE/>
                    <w:autoSpaceDN/>
                    <w:bidi w:val="0"/>
                    <w:adjustRightInd w:val="0"/>
                    <w:snapToGrid w:val="0"/>
                    <w:spacing w:beforeLines="0" w:afterLines="0" w:line="240" w:lineRule="auto"/>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本项目不涉及</w:t>
                  </w:r>
                </w:p>
              </w:tc>
              <w:tc>
                <w:tcPr>
                  <w:tcW w:w="622" w:type="pct"/>
                  <w:tcBorders>
                    <w:tl2br w:val="nil"/>
                    <w:tr2bl w:val="nil"/>
                  </w:tcBorders>
                  <w:noWrap w:val="0"/>
                  <w:vAlign w:val="center"/>
                </w:tcPr>
                <w:p w14:paraId="75B997AD">
                  <w:pPr>
                    <w:pStyle w:val="49"/>
                    <w:keepNext w:val="0"/>
                    <w:keepLines w:val="0"/>
                    <w:pageBreakBefore w:val="0"/>
                    <w:widowControl w:val="0"/>
                    <w:kinsoku/>
                    <w:wordWrap/>
                    <w:overflowPunct/>
                    <w:topLinePunct w:val="0"/>
                    <w:autoSpaceDE/>
                    <w:autoSpaceDN/>
                    <w:bidi w:val="0"/>
                    <w:adjustRightInd w:val="0"/>
                    <w:snapToGrid w:val="0"/>
                    <w:spacing w:beforeLines="0" w:afterLines="0" w:line="240" w:lineRule="auto"/>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07DD02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071" w:type="pct"/>
                  <w:tcBorders>
                    <w:tl2br w:val="nil"/>
                    <w:tr2bl w:val="nil"/>
                  </w:tcBorders>
                  <w:noWrap w:val="0"/>
                  <w:vAlign w:val="center"/>
                </w:tcPr>
                <w:p w14:paraId="3E40D4DB">
                  <w:pPr>
                    <w:pStyle w:val="49"/>
                    <w:keepNext w:val="0"/>
                    <w:keepLines w:val="0"/>
                    <w:pageBreakBefore w:val="0"/>
                    <w:widowControl w:val="0"/>
                    <w:kinsoku/>
                    <w:wordWrap/>
                    <w:overflowPunct/>
                    <w:topLinePunct w:val="0"/>
                    <w:autoSpaceDE/>
                    <w:autoSpaceDN/>
                    <w:bidi w:val="0"/>
                    <w:adjustRightInd w:val="0"/>
                    <w:snapToGrid w:val="0"/>
                    <w:spacing w:beforeLines="0" w:afterLines="0" w:line="240" w:lineRule="auto"/>
                    <w:jc w:val="both"/>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各园区应各建设事故池一座。规划要求企业和园区均设立事故水池，园区项目发生火灾时，会产生大量消防水，含有机物质和重金属，若泄漏可能会对土壤和水体产生影响，特别是对</w:t>
                  </w:r>
                  <w:r>
                    <w:rPr>
                      <w:rFonts w:hint="eastAsia" w:ascii="Times New Roman" w:hAnsi="Times New Roman" w:eastAsia="宋体" w:cs="Times New Roman"/>
                      <w:color w:val="auto"/>
                      <w:sz w:val="21"/>
                      <w:szCs w:val="21"/>
                      <w:lang w:eastAsia="zh-CN"/>
                    </w:rPr>
                    <w:t>邻近</w:t>
                  </w:r>
                  <w:r>
                    <w:rPr>
                      <w:rFonts w:hint="default" w:ascii="Times New Roman" w:hAnsi="Times New Roman" w:eastAsia="宋体" w:cs="Times New Roman"/>
                      <w:color w:val="auto"/>
                      <w:sz w:val="21"/>
                      <w:szCs w:val="21"/>
                    </w:rPr>
                    <w:t>的水体产生影响。当废水处理设施失效或者产生</w:t>
                  </w:r>
                  <w:r>
                    <w:rPr>
                      <w:rFonts w:hint="eastAsia" w:ascii="Times New Roman" w:hAnsi="Times New Roman" w:eastAsia="宋体" w:cs="Times New Roman"/>
                      <w:color w:val="auto"/>
                      <w:sz w:val="21"/>
                      <w:szCs w:val="21"/>
                      <w:lang w:eastAsia="zh-CN"/>
                    </w:rPr>
                    <w:t>上述</w:t>
                  </w:r>
                  <w:r>
                    <w:rPr>
                      <w:rFonts w:hint="default" w:ascii="Times New Roman" w:hAnsi="Times New Roman" w:eastAsia="宋体" w:cs="Times New Roman"/>
                      <w:color w:val="auto"/>
                      <w:sz w:val="21"/>
                      <w:szCs w:val="21"/>
                    </w:rPr>
                    <w:t>事故废水时，将废水排入事故池，之后限流送企业污水处理装置处理，最终排入园区污水处理厂，防止未经处理的超标废水直排。</w:t>
                  </w:r>
                </w:p>
              </w:tc>
              <w:tc>
                <w:tcPr>
                  <w:tcW w:w="1305" w:type="pct"/>
                  <w:tcBorders>
                    <w:tl2br w:val="nil"/>
                    <w:tr2bl w:val="nil"/>
                  </w:tcBorders>
                  <w:noWrap w:val="0"/>
                  <w:vAlign w:val="center"/>
                </w:tcPr>
                <w:p w14:paraId="1216131F">
                  <w:pPr>
                    <w:pStyle w:val="49"/>
                    <w:keepNext w:val="0"/>
                    <w:keepLines w:val="0"/>
                    <w:pageBreakBefore w:val="0"/>
                    <w:widowControl w:val="0"/>
                    <w:kinsoku/>
                    <w:wordWrap/>
                    <w:overflowPunct/>
                    <w:topLinePunct w:val="0"/>
                    <w:autoSpaceDE/>
                    <w:autoSpaceDN/>
                    <w:bidi w:val="0"/>
                    <w:adjustRightInd w:val="0"/>
                    <w:snapToGrid w:val="0"/>
                    <w:spacing w:beforeLines="0" w:afterLines="0" w:line="240" w:lineRule="auto"/>
                    <w:textAlignment w:val="auto"/>
                    <w:rPr>
                      <w:rFonts w:hint="eastAsia"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本项目</w:t>
                  </w:r>
                  <w:r>
                    <w:rPr>
                      <w:rFonts w:hint="eastAsia" w:ascii="Times New Roman" w:hAnsi="Times New Roman" w:eastAsia="宋体" w:cs="Times New Roman"/>
                      <w:color w:val="auto"/>
                      <w:sz w:val="21"/>
                      <w:szCs w:val="21"/>
                      <w:lang w:eastAsia="zh-CN"/>
                    </w:rPr>
                    <w:t>无生产废水产生，生活污水排入抚顺县救兵镇污水处理厂处理，因此不会发生左述事故</w:t>
                  </w:r>
                </w:p>
              </w:tc>
              <w:tc>
                <w:tcPr>
                  <w:tcW w:w="622" w:type="pct"/>
                  <w:tcBorders>
                    <w:tl2br w:val="nil"/>
                    <w:tr2bl w:val="nil"/>
                  </w:tcBorders>
                  <w:noWrap w:val="0"/>
                  <w:vAlign w:val="center"/>
                </w:tcPr>
                <w:p w14:paraId="10FB84C6">
                  <w:pPr>
                    <w:pStyle w:val="49"/>
                    <w:keepNext w:val="0"/>
                    <w:keepLines w:val="0"/>
                    <w:pageBreakBefore w:val="0"/>
                    <w:widowControl w:val="0"/>
                    <w:kinsoku/>
                    <w:wordWrap/>
                    <w:overflowPunct/>
                    <w:topLinePunct w:val="0"/>
                    <w:autoSpaceDE/>
                    <w:autoSpaceDN/>
                    <w:bidi w:val="0"/>
                    <w:adjustRightInd w:val="0"/>
                    <w:snapToGrid w:val="0"/>
                    <w:spacing w:beforeLines="0" w:afterLines="0" w:line="240" w:lineRule="auto"/>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7C3374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071" w:type="pct"/>
                  <w:tcBorders>
                    <w:tl2br w:val="nil"/>
                    <w:tr2bl w:val="nil"/>
                  </w:tcBorders>
                  <w:noWrap w:val="0"/>
                  <w:vAlign w:val="center"/>
                </w:tcPr>
                <w:p w14:paraId="6B4966AA">
                  <w:pPr>
                    <w:pStyle w:val="49"/>
                    <w:keepNext w:val="0"/>
                    <w:keepLines w:val="0"/>
                    <w:pageBreakBefore w:val="0"/>
                    <w:widowControl w:val="0"/>
                    <w:kinsoku/>
                    <w:wordWrap/>
                    <w:overflowPunct/>
                    <w:topLinePunct w:val="0"/>
                    <w:autoSpaceDE/>
                    <w:autoSpaceDN/>
                    <w:bidi w:val="0"/>
                    <w:adjustRightInd w:val="0"/>
                    <w:snapToGrid w:val="0"/>
                    <w:spacing w:beforeLines="0" w:afterLines="0" w:line="240" w:lineRule="auto"/>
                    <w:jc w:val="both"/>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随着规划的实施，公用工程不完善会严重制约园区发展，建议园区加强园区的基础设施建设，根据企业入驻情况等尽快设计、建设污水厂（包括中水管网工程、热源厂以及各类管网工程</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集中供热、供汽覆盖园区后，区内企业现状供热、供汽锅炉拆除，燃气管网覆盖后，燃用非清洁能源的尽量改用天然气等清洁能源。</w:t>
                  </w:r>
                </w:p>
              </w:tc>
              <w:tc>
                <w:tcPr>
                  <w:tcW w:w="1305" w:type="pct"/>
                  <w:tcBorders>
                    <w:tl2br w:val="nil"/>
                    <w:tr2bl w:val="nil"/>
                  </w:tcBorders>
                  <w:noWrap w:val="0"/>
                  <w:vAlign w:val="center"/>
                </w:tcPr>
                <w:p w14:paraId="4986A433">
                  <w:pPr>
                    <w:pStyle w:val="49"/>
                    <w:keepNext w:val="0"/>
                    <w:keepLines w:val="0"/>
                    <w:pageBreakBefore w:val="0"/>
                    <w:widowControl w:val="0"/>
                    <w:kinsoku/>
                    <w:wordWrap/>
                    <w:overflowPunct/>
                    <w:topLinePunct w:val="0"/>
                    <w:autoSpaceDE/>
                    <w:autoSpaceDN/>
                    <w:bidi w:val="0"/>
                    <w:adjustRightInd w:val="0"/>
                    <w:snapToGrid w:val="0"/>
                    <w:spacing w:beforeLines="0" w:afterLines="0" w:line="240" w:lineRule="auto"/>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本项目</w:t>
                  </w:r>
                  <w:r>
                    <w:rPr>
                      <w:rFonts w:hint="eastAsia" w:ascii="Times New Roman" w:hAnsi="Times New Roman" w:eastAsia="宋体" w:cs="Times New Roman"/>
                      <w:color w:val="auto"/>
                      <w:sz w:val="21"/>
                      <w:szCs w:val="21"/>
                      <w:lang w:eastAsia="zh-CN"/>
                    </w:rPr>
                    <w:t>利用空调自行取暖</w:t>
                  </w:r>
                  <w:r>
                    <w:rPr>
                      <w:rFonts w:hint="default" w:ascii="Times New Roman" w:hAnsi="Times New Roman" w:eastAsia="宋体" w:cs="Times New Roman"/>
                      <w:color w:val="auto"/>
                      <w:sz w:val="21"/>
                      <w:szCs w:val="21"/>
                      <w:lang w:eastAsia="zh-CN"/>
                    </w:rPr>
                    <w:t>，不涉及供暖锅炉的建设</w:t>
                  </w:r>
                </w:p>
              </w:tc>
              <w:tc>
                <w:tcPr>
                  <w:tcW w:w="622" w:type="pct"/>
                  <w:tcBorders>
                    <w:tl2br w:val="nil"/>
                    <w:tr2bl w:val="nil"/>
                  </w:tcBorders>
                  <w:noWrap w:val="0"/>
                  <w:vAlign w:val="center"/>
                </w:tcPr>
                <w:p w14:paraId="63267BD1">
                  <w:pPr>
                    <w:pStyle w:val="49"/>
                    <w:keepNext w:val="0"/>
                    <w:keepLines w:val="0"/>
                    <w:pageBreakBefore w:val="0"/>
                    <w:widowControl w:val="0"/>
                    <w:kinsoku/>
                    <w:wordWrap/>
                    <w:overflowPunct/>
                    <w:topLinePunct w:val="0"/>
                    <w:autoSpaceDE/>
                    <w:autoSpaceDN/>
                    <w:bidi w:val="0"/>
                    <w:adjustRightInd w:val="0"/>
                    <w:snapToGrid w:val="0"/>
                    <w:spacing w:beforeLines="0" w:afterLines="0" w:line="240" w:lineRule="auto"/>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523E16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071" w:type="pct"/>
                  <w:tcBorders>
                    <w:tl2br w:val="nil"/>
                    <w:tr2bl w:val="nil"/>
                  </w:tcBorders>
                  <w:noWrap w:val="0"/>
                  <w:vAlign w:val="center"/>
                </w:tcPr>
                <w:p w14:paraId="23C9A288">
                  <w:pPr>
                    <w:pStyle w:val="49"/>
                    <w:keepNext w:val="0"/>
                    <w:keepLines w:val="0"/>
                    <w:pageBreakBefore w:val="0"/>
                    <w:widowControl w:val="0"/>
                    <w:kinsoku/>
                    <w:wordWrap/>
                    <w:overflowPunct/>
                    <w:topLinePunct w:val="0"/>
                    <w:autoSpaceDE/>
                    <w:autoSpaceDN/>
                    <w:bidi w:val="0"/>
                    <w:adjustRightInd w:val="0"/>
                    <w:snapToGrid w:val="0"/>
                    <w:spacing w:beforeLines="0" w:afterLines="0" w:line="240" w:lineRule="auto"/>
                    <w:jc w:val="both"/>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防洪标准按50年一遇标准设防，其中再生资源产业园区对应的养树</w:t>
                  </w:r>
                  <w:r>
                    <w:rPr>
                      <w:rFonts w:hint="eastAsia" w:ascii="Times New Roman" w:hAnsi="Times New Roman" w:eastAsia="宋体" w:cs="Times New Roman"/>
                      <w:color w:val="auto"/>
                      <w:sz w:val="21"/>
                      <w:szCs w:val="21"/>
                      <w:lang w:eastAsia="zh-CN"/>
                    </w:rPr>
                    <w:t>河段</w:t>
                  </w:r>
                  <w:r>
                    <w:rPr>
                      <w:rFonts w:hint="default" w:ascii="Times New Roman" w:hAnsi="Times New Roman" w:eastAsia="宋体" w:cs="Times New Roman"/>
                      <w:color w:val="auto"/>
                      <w:sz w:val="21"/>
                      <w:szCs w:val="21"/>
                    </w:rPr>
                    <w:t>应按照100年一遇标准设防。</w:t>
                  </w:r>
                </w:p>
              </w:tc>
              <w:tc>
                <w:tcPr>
                  <w:tcW w:w="1305" w:type="pct"/>
                  <w:tcBorders>
                    <w:tl2br w:val="nil"/>
                    <w:tr2bl w:val="nil"/>
                  </w:tcBorders>
                  <w:noWrap w:val="0"/>
                  <w:vAlign w:val="center"/>
                </w:tcPr>
                <w:p w14:paraId="5DC7BB9D">
                  <w:pPr>
                    <w:pStyle w:val="49"/>
                    <w:keepNext w:val="0"/>
                    <w:keepLines w:val="0"/>
                    <w:pageBreakBefore w:val="0"/>
                    <w:widowControl w:val="0"/>
                    <w:kinsoku/>
                    <w:wordWrap/>
                    <w:overflowPunct/>
                    <w:topLinePunct w:val="0"/>
                    <w:autoSpaceDE/>
                    <w:autoSpaceDN/>
                    <w:bidi w:val="0"/>
                    <w:adjustRightInd w:val="0"/>
                    <w:snapToGrid w:val="0"/>
                    <w:spacing w:beforeLines="0" w:afterLines="0" w:line="240" w:lineRule="auto"/>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本项目不涉及</w:t>
                  </w:r>
                </w:p>
              </w:tc>
              <w:tc>
                <w:tcPr>
                  <w:tcW w:w="622" w:type="pct"/>
                  <w:tcBorders>
                    <w:tl2br w:val="nil"/>
                    <w:tr2bl w:val="nil"/>
                  </w:tcBorders>
                  <w:noWrap w:val="0"/>
                  <w:vAlign w:val="center"/>
                </w:tcPr>
                <w:p w14:paraId="1F3714B3">
                  <w:pPr>
                    <w:pStyle w:val="49"/>
                    <w:keepNext w:val="0"/>
                    <w:keepLines w:val="0"/>
                    <w:pageBreakBefore w:val="0"/>
                    <w:widowControl w:val="0"/>
                    <w:kinsoku/>
                    <w:wordWrap/>
                    <w:overflowPunct/>
                    <w:topLinePunct w:val="0"/>
                    <w:autoSpaceDE/>
                    <w:autoSpaceDN/>
                    <w:bidi w:val="0"/>
                    <w:adjustRightInd w:val="0"/>
                    <w:snapToGrid w:val="0"/>
                    <w:spacing w:beforeLines="0" w:afterLines="0" w:line="240" w:lineRule="auto"/>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bl>
          <w:p w14:paraId="7F7C77E7">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ascii="Times New Roman" w:hAnsi="Times New Roman" w:eastAsia="宋体" w:cs="Times New Roman"/>
                <w:b/>
                <w:bCs/>
                <w:color w:val="auto"/>
                <w:sz w:val="24"/>
                <w:szCs w:val="24"/>
                <w:lang w:eastAsia="zh-CN"/>
              </w:rPr>
            </w:pPr>
            <w:r>
              <w:rPr>
                <w:rFonts w:hint="eastAsia" w:ascii="Times New Roman" w:hAnsi="Times New Roman" w:eastAsia="宋体" w:cs="Times New Roman"/>
                <w:b/>
                <w:bCs/>
                <w:color w:val="auto"/>
                <w:sz w:val="24"/>
                <w:szCs w:val="24"/>
                <w:lang w:eastAsia="zh-CN"/>
              </w:rPr>
              <w:t>3、项目与《抚顺县产业园区总体规划（2020-2035）环境影响报告书审查意见》符合性分析</w:t>
            </w:r>
          </w:p>
          <w:p w14:paraId="1AB08C53">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本项目与《抚顺县产业园区总体规划（2020-2035）环境影响报告书审查意见》符合性分析详见下表。</w:t>
            </w:r>
          </w:p>
          <w:p w14:paraId="5C6D4D1F">
            <w:pPr>
              <w:pStyle w:val="75"/>
              <w:keepNext w:val="0"/>
              <w:keepLines w:val="0"/>
              <w:pageBreakBefore w:val="0"/>
              <w:widowControl w:val="0"/>
              <w:numPr>
                <w:ilvl w:val="0"/>
                <w:numId w:val="4"/>
              </w:numPr>
              <w:kinsoku/>
              <w:wordWrap/>
              <w:overflowPunct/>
              <w:topLinePunct w:val="0"/>
              <w:autoSpaceDE/>
              <w:autoSpaceDN/>
              <w:bidi w:val="0"/>
              <w:adjustRightInd/>
              <w:snapToGrid/>
              <w:spacing w:line="360" w:lineRule="auto"/>
              <w:ind w:left="0" w:leftChars="0" w:firstLine="0" w:firstLineChars="0"/>
              <w:jc w:val="center"/>
              <w:textAlignment w:val="auto"/>
              <w:rPr>
                <w:rFonts w:hint="eastAsia" w:ascii="Times New Roman" w:hAnsi="Times New Roman" w:eastAsia="宋体" w:cs="Times New Roman"/>
                <w:b/>
                <w:bCs/>
                <w:color w:val="auto"/>
                <w:sz w:val="21"/>
                <w:szCs w:val="21"/>
                <w:lang w:val="en-US" w:eastAsia="zh-CN"/>
              </w:rPr>
            </w:pPr>
            <w:r>
              <w:rPr>
                <w:rFonts w:hint="eastAsia" w:ascii="Times New Roman" w:hAnsi="Times New Roman" w:eastAsia="宋体" w:cs="Times New Roman"/>
                <w:b/>
                <w:bCs/>
                <w:color w:val="auto"/>
                <w:sz w:val="21"/>
                <w:szCs w:val="21"/>
                <w:lang w:val="en-US" w:eastAsia="zh-CN"/>
              </w:rPr>
              <w:t xml:space="preserve">  与《抚顺县产业园区总体规划（2020-2035）环境影响报告书审查意见》符合性分析</w:t>
            </w:r>
          </w:p>
          <w:tbl>
            <w:tblPr>
              <w:tblStyle w:val="25"/>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855"/>
              <w:gridCol w:w="2181"/>
              <w:gridCol w:w="879"/>
            </w:tblGrid>
            <w:tr w14:paraId="4E0E23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787" w:type="pct"/>
                  <w:tcBorders>
                    <w:tl2br w:val="nil"/>
                    <w:tr2bl w:val="nil"/>
                  </w:tcBorders>
                  <w:noWrap w:val="0"/>
                  <w:vAlign w:val="center"/>
                </w:tcPr>
                <w:p w14:paraId="22DABD21">
                  <w:pPr>
                    <w:pStyle w:val="49"/>
                    <w:keepNext w:val="0"/>
                    <w:keepLines w:val="0"/>
                    <w:pageBreakBefore w:val="0"/>
                    <w:widowControl w:val="0"/>
                    <w:kinsoku/>
                    <w:wordWrap/>
                    <w:overflowPunct/>
                    <w:topLinePunct w:val="0"/>
                    <w:autoSpaceDE/>
                    <w:autoSpaceDN/>
                    <w:bidi w:val="0"/>
                    <w:adjustRightInd w:val="0"/>
                    <w:snapToGrid w:val="0"/>
                    <w:spacing w:beforeLines="0" w:afterLines="0" w:line="240" w:lineRule="auto"/>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规划环评审查意见要求</w:t>
                  </w:r>
                </w:p>
              </w:tc>
              <w:tc>
                <w:tcPr>
                  <w:tcW w:w="1577" w:type="pct"/>
                  <w:tcBorders>
                    <w:tl2br w:val="nil"/>
                    <w:tr2bl w:val="nil"/>
                  </w:tcBorders>
                  <w:noWrap w:val="0"/>
                  <w:vAlign w:val="center"/>
                </w:tcPr>
                <w:p w14:paraId="66F988C3">
                  <w:pPr>
                    <w:pStyle w:val="49"/>
                    <w:keepNext w:val="0"/>
                    <w:keepLines w:val="0"/>
                    <w:pageBreakBefore w:val="0"/>
                    <w:widowControl w:val="0"/>
                    <w:kinsoku/>
                    <w:wordWrap/>
                    <w:overflowPunct/>
                    <w:topLinePunct w:val="0"/>
                    <w:autoSpaceDE/>
                    <w:autoSpaceDN/>
                    <w:bidi w:val="0"/>
                    <w:adjustRightInd w:val="0"/>
                    <w:snapToGrid w:val="0"/>
                    <w:spacing w:beforeLines="0" w:afterLines="0" w:line="240" w:lineRule="auto"/>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项目具体情况</w:t>
                  </w:r>
                </w:p>
              </w:tc>
              <w:tc>
                <w:tcPr>
                  <w:tcW w:w="635" w:type="pct"/>
                  <w:tcBorders>
                    <w:tl2br w:val="nil"/>
                    <w:tr2bl w:val="nil"/>
                  </w:tcBorders>
                  <w:noWrap w:val="0"/>
                  <w:vAlign w:val="center"/>
                </w:tcPr>
                <w:p w14:paraId="1B1D3DB9">
                  <w:pPr>
                    <w:pStyle w:val="49"/>
                    <w:keepNext w:val="0"/>
                    <w:keepLines w:val="0"/>
                    <w:pageBreakBefore w:val="0"/>
                    <w:widowControl w:val="0"/>
                    <w:kinsoku/>
                    <w:wordWrap/>
                    <w:overflowPunct/>
                    <w:topLinePunct w:val="0"/>
                    <w:autoSpaceDE/>
                    <w:autoSpaceDN/>
                    <w:bidi w:val="0"/>
                    <w:adjustRightInd w:val="0"/>
                    <w:snapToGrid w:val="0"/>
                    <w:spacing w:beforeLines="0" w:afterLines="0" w:line="240" w:lineRule="auto"/>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符合性</w:t>
                  </w:r>
                </w:p>
              </w:tc>
            </w:tr>
            <w:tr w14:paraId="5E3C9E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0" w:hRule="atLeast"/>
                <w:jc w:val="center"/>
              </w:trPr>
              <w:tc>
                <w:tcPr>
                  <w:tcW w:w="2787" w:type="pct"/>
                  <w:tcBorders>
                    <w:tl2br w:val="nil"/>
                    <w:tr2bl w:val="nil"/>
                  </w:tcBorders>
                  <w:noWrap w:val="0"/>
                  <w:vAlign w:val="center"/>
                </w:tcPr>
                <w:p w14:paraId="284C1EF9">
                  <w:pPr>
                    <w:pStyle w:val="49"/>
                    <w:keepNext w:val="0"/>
                    <w:keepLines w:val="0"/>
                    <w:pageBreakBefore w:val="0"/>
                    <w:widowControl w:val="0"/>
                    <w:kinsoku/>
                    <w:wordWrap/>
                    <w:overflowPunct/>
                    <w:topLinePunct w:val="0"/>
                    <w:autoSpaceDE/>
                    <w:autoSpaceDN/>
                    <w:bidi w:val="0"/>
                    <w:adjustRightInd w:val="0"/>
                    <w:snapToGrid w:val="0"/>
                    <w:spacing w:beforeLines="0" w:afterLines="0" w:line="240" w:lineRule="auto"/>
                    <w:jc w:val="both"/>
                    <w:textAlignment w:val="auto"/>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eastAsia="zh-CN"/>
                    </w:rPr>
                    <w:t>（一）</w:t>
                  </w:r>
                  <w:r>
                    <w:rPr>
                      <w:rFonts w:hint="default" w:ascii="Times New Roman" w:hAnsi="Times New Roman" w:eastAsia="宋体" w:cs="Times New Roman"/>
                      <w:color w:val="auto"/>
                      <w:sz w:val="21"/>
                      <w:szCs w:val="21"/>
                    </w:rPr>
                    <w:t>优化产业园区规划用地布局，减缓产业空间布局可能造成的不利环境影响。</w:t>
                  </w:r>
                </w:p>
                <w:p w14:paraId="07012B4E">
                  <w:pPr>
                    <w:pStyle w:val="49"/>
                    <w:keepNext w:val="0"/>
                    <w:keepLines w:val="0"/>
                    <w:pageBreakBefore w:val="0"/>
                    <w:widowControl w:val="0"/>
                    <w:kinsoku/>
                    <w:wordWrap/>
                    <w:overflowPunct/>
                    <w:topLinePunct w:val="0"/>
                    <w:autoSpaceDE/>
                    <w:autoSpaceDN/>
                    <w:bidi w:val="0"/>
                    <w:adjustRightInd w:val="0"/>
                    <w:snapToGrid w:val="0"/>
                    <w:spacing w:beforeLines="0" w:afterLines="0" w:line="240" w:lineRule="auto"/>
                    <w:jc w:val="both"/>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规划区域部分占用农林用地，需要进行土地利用规划调整才可以满足区域发展需求。需要在未来新的《抚顺县国土空间总体规划》中解决后才能实施开发建设，并根据近远期规划，结合入区企业的数量和建设情况，由政府主管部门负责制定规划区域内的农用地转换为建设用地的具体方案和时间表，避免出现大量农用地土地闲置荒废现象。卫生防护距离内居民尚未全部搬迁，本次规划再生资源产业园区继续执行原卫生防护距离要求，并落实卫生防护距离内居民搬迁。</w:t>
                  </w:r>
                </w:p>
              </w:tc>
              <w:tc>
                <w:tcPr>
                  <w:tcW w:w="1577" w:type="pct"/>
                  <w:tcBorders>
                    <w:tl2br w:val="nil"/>
                    <w:tr2bl w:val="nil"/>
                  </w:tcBorders>
                  <w:noWrap w:val="0"/>
                  <w:vAlign w:val="center"/>
                </w:tcPr>
                <w:p w14:paraId="32D2060E">
                  <w:pPr>
                    <w:pStyle w:val="49"/>
                    <w:keepNext w:val="0"/>
                    <w:keepLines w:val="0"/>
                    <w:pageBreakBefore w:val="0"/>
                    <w:widowControl w:val="0"/>
                    <w:kinsoku/>
                    <w:wordWrap/>
                    <w:overflowPunct/>
                    <w:topLinePunct w:val="0"/>
                    <w:autoSpaceDE/>
                    <w:autoSpaceDN/>
                    <w:bidi w:val="0"/>
                    <w:adjustRightInd w:val="0"/>
                    <w:snapToGrid w:val="0"/>
                    <w:spacing w:beforeLines="0" w:afterLines="0" w:line="240" w:lineRule="auto"/>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本项目占地为</w:t>
                  </w:r>
                  <w:r>
                    <w:rPr>
                      <w:rFonts w:hint="default" w:ascii="Times New Roman" w:hAnsi="Times New Roman" w:eastAsia="宋体" w:cs="Times New Roman"/>
                      <w:color w:val="auto"/>
                      <w:sz w:val="21"/>
                      <w:szCs w:val="21"/>
                      <w:lang w:eastAsia="zh-CN"/>
                    </w:rPr>
                    <w:t>工业</w:t>
                  </w:r>
                  <w:r>
                    <w:rPr>
                      <w:rFonts w:hint="default" w:ascii="Times New Roman" w:hAnsi="Times New Roman" w:eastAsia="宋体" w:cs="Times New Roman"/>
                      <w:color w:val="auto"/>
                      <w:sz w:val="21"/>
                      <w:szCs w:val="21"/>
                    </w:rPr>
                    <w:t>用地</w:t>
                  </w:r>
                </w:p>
              </w:tc>
              <w:tc>
                <w:tcPr>
                  <w:tcW w:w="635" w:type="pct"/>
                  <w:tcBorders>
                    <w:tl2br w:val="nil"/>
                    <w:tr2bl w:val="nil"/>
                  </w:tcBorders>
                  <w:noWrap w:val="0"/>
                  <w:vAlign w:val="center"/>
                </w:tcPr>
                <w:p w14:paraId="14195418">
                  <w:pPr>
                    <w:pStyle w:val="49"/>
                    <w:keepNext w:val="0"/>
                    <w:keepLines w:val="0"/>
                    <w:pageBreakBefore w:val="0"/>
                    <w:widowControl w:val="0"/>
                    <w:kinsoku/>
                    <w:wordWrap/>
                    <w:overflowPunct/>
                    <w:topLinePunct w:val="0"/>
                    <w:autoSpaceDE/>
                    <w:autoSpaceDN/>
                    <w:bidi w:val="0"/>
                    <w:adjustRightInd w:val="0"/>
                    <w:snapToGrid w:val="0"/>
                    <w:spacing w:beforeLines="0" w:afterLines="0" w:line="240" w:lineRule="auto"/>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485A88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787" w:type="pct"/>
                  <w:tcBorders>
                    <w:tl2br w:val="nil"/>
                    <w:tr2bl w:val="nil"/>
                  </w:tcBorders>
                  <w:noWrap w:val="0"/>
                  <w:vAlign w:val="center"/>
                </w:tcPr>
                <w:p w14:paraId="573AEF5F">
                  <w:pPr>
                    <w:pStyle w:val="49"/>
                    <w:keepNext w:val="0"/>
                    <w:keepLines w:val="0"/>
                    <w:pageBreakBefore w:val="0"/>
                    <w:widowControl w:val="0"/>
                    <w:kinsoku/>
                    <w:wordWrap/>
                    <w:overflowPunct/>
                    <w:topLinePunct w:val="0"/>
                    <w:autoSpaceDE/>
                    <w:autoSpaceDN/>
                    <w:bidi w:val="0"/>
                    <w:adjustRightInd w:val="0"/>
                    <w:snapToGrid w:val="0"/>
                    <w:spacing w:beforeLines="0" w:afterLines="0" w:line="240" w:lineRule="auto"/>
                    <w:jc w:val="both"/>
                    <w:textAlignment w:val="auto"/>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eastAsia="zh-CN"/>
                    </w:rPr>
                    <w:t>（二）</w:t>
                  </w:r>
                  <w:r>
                    <w:rPr>
                      <w:rFonts w:hint="default" w:ascii="Times New Roman" w:hAnsi="Times New Roman" w:eastAsia="宋体" w:cs="Times New Roman"/>
                      <w:color w:val="auto"/>
                      <w:sz w:val="21"/>
                      <w:szCs w:val="21"/>
                    </w:rPr>
                    <w:t>严格入园项目的环境准入要求，落实环境保护主体责任。</w:t>
                  </w:r>
                </w:p>
                <w:p w14:paraId="46A3CDFF">
                  <w:pPr>
                    <w:pStyle w:val="49"/>
                    <w:keepNext w:val="0"/>
                    <w:keepLines w:val="0"/>
                    <w:pageBreakBefore w:val="0"/>
                    <w:widowControl w:val="0"/>
                    <w:kinsoku/>
                    <w:wordWrap/>
                    <w:overflowPunct/>
                    <w:topLinePunct w:val="0"/>
                    <w:autoSpaceDE/>
                    <w:autoSpaceDN/>
                    <w:bidi w:val="0"/>
                    <w:adjustRightInd w:val="0"/>
                    <w:snapToGrid w:val="0"/>
                    <w:spacing w:beforeLines="0" w:afterLines="0" w:line="240" w:lineRule="auto"/>
                    <w:jc w:val="both"/>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严格按照园区生态环境准入清单和各产业准入条件引进项目，引进的项目应依法办理建设项目环评手续。现状不符合规划区产业定位的企业应逐步迁出，对于符合规划区产业定位的企业，规划要求企业加强环保管理工作，开展厂内环境监测、监督</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确保污染物达标排放的前提下可不搬迁。</w:t>
                  </w:r>
                </w:p>
                <w:p w14:paraId="1DC53700">
                  <w:pPr>
                    <w:pStyle w:val="49"/>
                    <w:keepNext w:val="0"/>
                    <w:keepLines w:val="0"/>
                    <w:pageBreakBefore w:val="0"/>
                    <w:widowControl w:val="0"/>
                    <w:kinsoku/>
                    <w:wordWrap/>
                    <w:overflowPunct/>
                    <w:topLinePunct w:val="0"/>
                    <w:autoSpaceDE/>
                    <w:autoSpaceDN/>
                    <w:bidi w:val="0"/>
                    <w:adjustRightInd w:val="0"/>
                    <w:snapToGrid w:val="0"/>
                    <w:spacing w:beforeLines="0" w:afterLines="0" w:line="240" w:lineRule="auto"/>
                    <w:jc w:val="both"/>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严格落实</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三线一单</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管控要求。优先引进工艺技术先进、能耗低、污染小的项目；慎重发展虽然属于规划行业但污染类型复杂、环境风险较大、排污量大或污染防治技术不成熟的行业：禁止不符合国家产业政策和行业发展规划的非鼓励类项目及产业定位不符合的项目入驻，现有不符合园区产业定位的项目应逐步搬迁退出。</w:t>
                  </w:r>
                </w:p>
              </w:tc>
              <w:tc>
                <w:tcPr>
                  <w:tcW w:w="1577" w:type="pct"/>
                  <w:tcBorders>
                    <w:tl2br w:val="nil"/>
                    <w:tr2bl w:val="nil"/>
                  </w:tcBorders>
                  <w:noWrap w:val="0"/>
                  <w:vAlign w:val="center"/>
                </w:tcPr>
                <w:p w14:paraId="4FF96DB5">
                  <w:pPr>
                    <w:pStyle w:val="49"/>
                    <w:keepNext w:val="0"/>
                    <w:keepLines w:val="0"/>
                    <w:pageBreakBefore w:val="0"/>
                    <w:widowControl w:val="0"/>
                    <w:kinsoku/>
                    <w:wordWrap/>
                    <w:overflowPunct/>
                    <w:topLinePunct w:val="0"/>
                    <w:autoSpaceDE/>
                    <w:autoSpaceDN/>
                    <w:bidi w:val="0"/>
                    <w:adjustRightInd w:val="0"/>
                    <w:snapToGrid w:val="0"/>
                    <w:spacing w:beforeLines="0" w:afterLines="0" w:line="240" w:lineRule="auto"/>
                    <w:jc w:val="both"/>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本项目符合抚顺县生态环境总体准入要求及所在的重点管控单元（环境管控单元编码：</w:t>
                  </w:r>
                  <w:r>
                    <w:rPr>
                      <w:rFonts w:hint="default" w:ascii="Times New Roman" w:hAnsi="Times New Roman" w:eastAsia="宋体" w:cs="Times New Roman"/>
                      <w:color w:val="auto"/>
                      <w:sz w:val="21"/>
                      <w:szCs w:val="21"/>
                      <w:lang w:eastAsia="zh-CN"/>
                    </w:rPr>
                    <w:t>ZH21042120003</w:t>
                  </w:r>
                  <w:r>
                    <w:rPr>
                      <w:rFonts w:hint="default" w:ascii="Times New Roman" w:hAnsi="Times New Roman" w:eastAsia="宋体" w:cs="Times New Roman"/>
                      <w:color w:val="auto"/>
                      <w:sz w:val="21"/>
                      <w:szCs w:val="21"/>
                    </w:rPr>
                    <w:t>）的准入要求</w:t>
                  </w:r>
                </w:p>
              </w:tc>
              <w:tc>
                <w:tcPr>
                  <w:tcW w:w="635" w:type="pct"/>
                  <w:tcBorders>
                    <w:tl2br w:val="nil"/>
                    <w:tr2bl w:val="nil"/>
                  </w:tcBorders>
                  <w:noWrap w:val="0"/>
                  <w:vAlign w:val="center"/>
                </w:tcPr>
                <w:p w14:paraId="1154D2EC">
                  <w:pPr>
                    <w:pStyle w:val="49"/>
                    <w:keepNext w:val="0"/>
                    <w:keepLines w:val="0"/>
                    <w:pageBreakBefore w:val="0"/>
                    <w:widowControl w:val="0"/>
                    <w:kinsoku/>
                    <w:wordWrap/>
                    <w:overflowPunct/>
                    <w:topLinePunct w:val="0"/>
                    <w:autoSpaceDE/>
                    <w:autoSpaceDN/>
                    <w:bidi w:val="0"/>
                    <w:adjustRightInd w:val="0"/>
                    <w:snapToGrid w:val="0"/>
                    <w:spacing w:beforeLines="0" w:afterLines="0" w:line="240" w:lineRule="auto"/>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2543B0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787" w:type="pct"/>
                  <w:tcBorders>
                    <w:tl2br w:val="nil"/>
                    <w:tr2bl w:val="nil"/>
                  </w:tcBorders>
                  <w:noWrap w:val="0"/>
                  <w:vAlign w:val="center"/>
                </w:tcPr>
                <w:p w14:paraId="6687A46E">
                  <w:pPr>
                    <w:pStyle w:val="49"/>
                    <w:keepNext w:val="0"/>
                    <w:keepLines w:val="0"/>
                    <w:pageBreakBefore w:val="0"/>
                    <w:widowControl w:val="0"/>
                    <w:kinsoku/>
                    <w:wordWrap/>
                    <w:overflowPunct/>
                    <w:topLinePunct w:val="0"/>
                    <w:autoSpaceDE/>
                    <w:autoSpaceDN/>
                    <w:bidi w:val="0"/>
                    <w:adjustRightInd w:val="0"/>
                    <w:snapToGrid w:val="0"/>
                    <w:spacing w:beforeLines="0" w:afterLines="0" w:line="240" w:lineRule="auto"/>
                    <w:jc w:val="both"/>
                    <w:textAlignment w:val="auto"/>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eastAsia="zh-CN"/>
                    </w:rPr>
                    <w:t>（三）</w:t>
                  </w:r>
                  <w:r>
                    <w:rPr>
                      <w:rFonts w:hint="default" w:ascii="Times New Roman" w:hAnsi="Times New Roman" w:eastAsia="宋体" w:cs="Times New Roman"/>
                      <w:color w:val="auto"/>
                      <w:sz w:val="21"/>
                      <w:szCs w:val="21"/>
                    </w:rPr>
                    <w:t>合理规划园区基础设施建设方案，完善园区工业工程设施配套工作。</w:t>
                  </w:r>
                </w:p>
                <w:p w14:paraId="4DB1884D">
                  <w:pPr>
                    <w:pStyle w:val="49"/>
                    <w:keepNext w:val="0"/>
                    <w:keepLines w:val="0"/>
                    <w:pageBreakBefore w:val="0"/>
                    <w:widowControl w:val="0"/>
                    <w:kinsoku/>
                    <w:wordWrap/>
                    <w:overflowPunct/>
                    <w:topLinePunct w:val="0"/>
                    <w:autoSpaceDE/>
                    <w:autoSpaceDN/>
                    <w:bidi w:val="0"/>
                    <w:adjustRightInd w:val="0"/>
                    <w:snapToGrid w:val="0"/>
                    <w:spacing w:beforeLines="0" w:afterLines="0" w:line="240" w:lineRule="auto"/>
                    <w:jc w:val="both"/>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海浪应急产业园地表水北沙河为I类水体，因此海浪应急产业园的发展必须考虑对北沙河水质的保护，禁止设置排污口。海浪应急产业园应提高企业入区门槛，限制污水排放量大或水污染严重的企业入区。鼓励企业积极建设中水回用系统。海浪乡污水处理厂设置中水回用系统，拓宽回用去向。</w:t>
                  </w:r>
                </w:p>
                <w:p w14:paraId="3AB89BBE">
                  <w:pPr>
                    <w:pStyle w:val="49"/>
                    <w:keepNext w:val="0"/>
                    <w:keepLines w:val="0"/>
                    <w:pageBreakBefore w:val="0"/>
                    <w:widowControl w:val="0"/>
                    <w:kinsoku/>
                    <w:wordWrap/>
                    <w:overflowPunct/>
                    <w:topLinePunct w:val="0"/>
                    <w:autoSpaceDE/>
                    <w:autoSpaceDN/>
                    <w:bidi w:val="0"/>
                    <w:adjustRightInd w:val="0"/>
                    <w:snapToGrid w:val="0"/>
                    <w:spacing w:beforeLines="0" w:afterLines="0" w:line="240" w:lineRule="auto"/>
                    <w:jc w:val="both"/>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本规划部分区域目前无供热管线、燃气管线、中水回用设施，无供水管线和污水处理厂，基础设施不完善是规划实施的制约因素。你单位应根据报告书要求，</w:t>
                  </w:r>
                  <w:r>
                    <w:rPr>
                      <w:rFonts w:hint="eastAsia" w:ascii="Times New Roman" w:hAnsi="Times New Roman" w:eastAsia="宋体" w:cs="Times New Roman"/>
                      <w:color w:val="auto"/>
                      <w:sz w:val="21"/>
                      <w:szCs w:val="21"/>
                      <w:lang w:eastAsia="zh-CN"/>
                    </w:rPr>
                    <w:t>在园区</w:t>
                  </w:r>
                  <w:r>
                    <w:rPr>
                      <w:rFonts w:hint="default" w:ascii="Times New Roman" w:hAnsi="Times New Roman" w:eastAsia="宋体" w:cs="Times New Roman"/>
                      <w:color w:val="auto"/>
                      <w:sz w:val="21"/>
                      <w:szCs w:val="21"/>
                    </w:rPr>
                    <w:t>的基础设施未完善前不能引入生产企业。</w:t>
                  </w:r>
                </w:p>
              </w:tc>
              <w:tc>
                <w:tcPr>
                  <w:tcW w:w="1577" w:type="pct"/>
                  <w:tcBorders>
                    <w:tl2br w:val="nil"/>
                    <w:tr2bl w:val="nil"/>
                  </w:tcBorders>
                  <w:noWrap w:val="0"/>
                  <w:vAlign w:val="center"/>
                </w:tcPr>
                <w:p w14:paraId="1AD3763F">
                  <w:pPr>
                    <w:pStyle w:val="49"/>
                    <w:keepNext w:val="0"/>
                    <w:keepLines w:val="0"/>
                    <w:pageBreakBefore w:val="0"/>
                    <w:widowControl w:val="0"/>
                    <w:kinsoku/>
                    <w:wordWrap/>
                    <w:overflowPunct/>
                    <w:topLinePunct w:val="0"/>
                    <w:autoSpaceDE/>
                    <w:autoSpaceDN/>
                    <w:bidi w:val="0"/>
                    <w:adjustRightInd w:val="0"/>
                    <w:snapToGrid w:val="0"/>
                    <w:spacing w:beforeLines="0" w:afterLines="0" w:line="240" w:lineRule="auto"/>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本项目位于</w:t>
                  </w:r>
                  <w:r>
                    <w:rPr>
                      <w:rFonts w:hint="eastAsia" w:ascii="宋体" w:hAnsi="宋体" w:eastAsia="宋体" w:cs="宋体"/>
                      <w:color w:val="auto"/>
                      <w:sz w:val="21"/>
                      <w:szCs w:val="21"/>
                      <w:lang w:eastAsia="zh-CN"/>
                    </w:rPr>
                    <w:t>抚顺县</w:t>
                  </w:r>
                  <w:r>
                    <w:rPr>
                      <w:rFonts w:hint="eastAsia" w:ascii="Times New Roman" w:hAnsi="Times New Roman" w:eastAsia="宋体" w:cs="Times New Roman"/>
                      <w:color w:val="auto"/>
                      <w:sz w:val="21"/>
                      <w:szCs w:val="21"/>
                      <w:lang w:eastAsia="zh-CN"/>
                    </w:rPr>
                    <w:t>救兵木业产业园内（已更名为“抚顺县救兵木业和新材料产业园区”）</w:t>
                  </w:r>
                  <w:r>
                    <w:rPr>
                      <w:rFonts w:hint="default" w:ascii="Times New Roman" w:hAnsi="Times New Roman" w:eastAsia="宋体" w:cs="Times New Roman"/>
                      <w:color w:val="auto"/>
                      <w:sz w:val="21"/>
                      <w:szCs w:val="21"/>
                    </w:rPr>
                    <w:t>，园区</w:t>
                  </w:r>
                  <w:r>
                    <w:rPr>
                      <w:rFonts w:hint="default" w:ascii="Times New Roman" w:hAnsi="Times New Roman" w:eastAsia="宋体" w:cs="Times New Roman"/>
                      <w:color w:val="auto"/>
                      <w:sz w:val="21"/>
                      <w:szCs w:val="21"/>
                      <w:lang w:eastAsia="zh-CN"/>
                    </w:rPr>
                    <w:t>已建设完善</w:t>
                  </w:r>
                  <w:r>
                    <w:rPr>
                      <w:rFonts w:hint="default" w:ascii="Times New Roman" w:hAnsi="Times New Roman" w:eastAsia="宋体" w:cs="Times New Roman"/>
                      <w:color w:val="auto"/>
                      <w:sz w:val="21"/>
                      <w:szCs w:val="21"/>
                    </w:rPr>
                    <w:t>基础设施</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eastAsia="zh-CN"/>
                    </w:rPr>
                    <w:t>本项目</w:t>
                  </w:r>
                  <w:r>
                    <w:rPr>
                      <w:rFonts w:hint="eastAsia" w:ascii="Times New Roman" w:hAnsi="Times New Roman" w:eastAsia="宋体" w:cs="Times New Roman"/>
                      <w:color w:val="auto"/>
                      <w:sz w:val="21"/>
                      <w:szCs w:val="21"/>
                      <w:lang w:eastAsia="zh-CN"/>
                    </w:rPr>
                    <w:t>利用空调自行取暖</w:t>
                  </w:r>
                </w:p>
              </w:tc>
              <w:tc>
                <w:tcPr>
                  <w:tcW w:w="635" w:type="pct"/>
                  <w:tcBorders>
                    <w:tl2br w:val="nil"/>
                    <w:tr2bl w:val="nil"/>
                  </w:tcBorders>
                  <w:noWrap w:val="0"/>
                  <w:vAlign w:val="center"/>
                </w:tcPr>
                <w:p w14:paraId="71EBC3BD">
                  <w:pPr>
                    <w:pStyle w:val="49"/>
                    <w:keepNext w:val="0"/>
                    <w:keepLines w:val="0"/>
                    <w:pageBreakBefore w:val="0"/>
                    <w:widowControl w:val="0"/>
                    <w:kinsoku/>
                    <w:wordWrap/>
                    <w:overflowPunct/>
                    <w:topLinePunct w:val="0"/>
                    <w:autoSpaceDE/>
                    <w:autoSpaceDN/>
                    <w:bidi w:val="0"/>
                    <w:adjustRightInd w:val="0"/>
                    <w:snapToGrid w:val="0"/>
                    <w:spacing w:beforeLines="0" w:afterLines="0" w:line="240" w:lineRule="auto"/>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301366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787" w:type="pct"/>
                  <w:tcBorders>
                    <w:tl2br w:val="nil"/>
                    <w:tr2bl w:val="nil"/>
                  </w:tcBorders>
                  <w:noWrap w:val="0"/>
                  <w:vAlign w:val="center"/>
                </w:tcPr>
                <w:p w14:paraId="13F834B4">
                  <w:pPr>
                    <w:pStyle w:val="49"/>
                    <w:keepNext w:val="0"/>
                    <w:keepLines w:val="0"/>
                    <w:pageBreakBefore w:val="0"/>
                    <w:widowControl w:val="0"/>
                    <w:kinsoku/>
                    <w:wordWrap/>
                    <w:overflowPunct/>
                    <w:topLinePunct w:val="0"/>
                    <w:autoSpaceDE/>
                    <w:autoSpaceDN/>
                    <w:bidi w:val="0"/>
                    <w:adjustRightInd w:val="0"/>
                    <w:snapToGrid w:val="0"/>
                    <w:spacing w:beforeLines="0" w:afterLines="0" w:line="240" w:lineRule="auto"/>
                    <w:jc w:val="both"/>
                    <w:textAlignment w:val="auto"/>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eastAsia="zh-CN"/>
                    </w:rPr>
                    <w:t>（四）</w:t>
                  </w:r>
                  <w:r>
                    <w:rPr>
                      <w:rFonts w:hint="default" w:ascii="Times New Roman" w:hAnsi="Times New Roman" w:eastAsia="宋体" w:cs="Times New Roman"/>
                      <w:color w:val="auto"/>
                      <w:sz w:val="21"/>
                      <w:szCs w:val="21"/>
                    </w:rPr>
                    <w:t>落实固体废物防治措施，做好固体废物分类收集处理工作。</w:t>
                  </w:r>
                </w:p>
                <w:p w14:paraId="03DE3FEA">
                  <w:pPr>
                    <w:pStyle w:val="49"/>
                    <w:keepNext w:val="0"/>
                    <w:keepLines w:val="0"/>
                    <w:pageBreakBefore w:val="0"/>
                    <w:widowControl w:val="0"/>
                    <w:kinsoku/>
                    <w:wordWrap/>
                    <w:overflowPunct/>
                    <w:topLinePunct w:val="0"/>
                    <w:autoSpaceDE/>
                    <w:autoSpaceDN/>
                    <w:bidi w:val="0"/>
                    <w:adjustRightInd w:val="0"/>
                    <w:snapToGrid w:val="0"/>
                    <w:spacing w:beforeLines="0" w:afterLines="0" w:line="240" w:lineRule="auto"/>
                    <w:jc w:val="both"/>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实行生活垃圾分类收集，建设垃圾转运站，由环卫部门集中收集处理；鼓励采用无废、少废的生产工艺和一般工业固体废物的资源利用，减少固体废物排放量，提高综合利用率：危险废物应优先委托区域内危废处置企业处置。</w:t>
                  </w:r>
                </w:p>
              </w:tc>
              <w:tc>
                <w:tcPr>
                  <w:tcW w:w="1577" w:type="pct"/>
                  <w:tcBorders>
                    <w:tl2br w:val="nil"/>
                    <w:tr2bl w:val="nil"/>
                  </w:tcBorders>
                  <w:noWrap w:val="0"/>
                  <w:vAlign w:val="center"/>
                </w:tcPr>
                <w:p w14:paraId="059FBE25">
                  <w:pPr>
                    <w:pStyle w:val="49"/>
                    <w:keepNext w:val="0"/>
                    <w:keepLines w:val="0"/>
                    <w:pageBreakBefore w:val="0"/>
                    <w:widowControl w:val="0"/>
                    <w:kinsoku/>
                    <w:wordWrap/>
                    <w:overflowPunct/>
                    <w:topLinePunct w:val="0"/>
                    <w:autoSpaceDE/>
                    <w:autoSpaceDN/>
                    <w:bidi w:val="0"/>
                    <w:adjustRightInd w:val="0"/>
                    <w:snapToGrid w:val="0"/>
                    <w:spacing w:beforeLines="0" w:afterLines="0" w:line="240" w:lineRule="auto"/>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本项目产生的生活垃圾由环卫部门统一清运处理；工业固体废物得到合理处置利用</w:t>
                  </w:r>
                </w:p>
              </w:tc>
              <w:tc>
                <w:tcPr>
                  <w:tcW w:w="635" w:type="pct"/>
                  <w:tcBorders>
                    <w:tl2br w:val="nil"/>
                    <w:tr2bl w:val="nil"/>
                  </w:tcBorders>
                  <w:noWrap w:val="0"/>
                  <w:vAlign w:val="center"/>
                </w:tcPr>
                <w:p w14:paraId="7F34B353">
                  <w:pPr>
                    <w:pStyle w:val="49"/>
                    <w:keepNext w:val="0"/>
                    <w:keepLines w:val="0"/>
                    <w:pageBreakBefore w:val="0"/>
                    <w:widowControl w:val="0"/>
                    <w:kinsoku/>
                    <w:wordWrap/>
                    <w:overflowPunct/>
                    <w:topLinePunct w:val="0"/>
                    <w:autoSpaceDE/>
                    <w:autoSpaceDN/>
                    <w:bidi w:val="0"/>
                    <w:adjustRightInd w:val="0"/>
                    <w:snapToGrid w:val="0"/>
                    <w:spacing w:beforeLines="0" w:afterLines="0" w:line="240" w:lineRule="auto"/>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2DE193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787" w:type="pct"/>
                  <w:tcBorders>
                    <w:tl2br w:val="nil"/>
                    <w:tr2bl w:val="nil"/>
                  </w:tcBorders>
                  <w:noWrap w:val="0"/>
                  <w:vAlign w:val="center"/>
                </w:tcPr>
                <w:p w14:paraId="284066F6">
                  <w:pPr>
                    <w:pStyle w:val="49"/>
                    <w:keepNext w:val="0"/>
                    <w:keepLines w:val="0"/>
                    <w:pageBreakBefore w:val="0"/>
                    <w:widowControl w:val="0"/>
                    <w:kinsoku/>
                    <w:wordWrap/>
                    <w:overflowPunct/>
                    <w:topLinePunct w:val="0"/>
                    <w:autoSpaceDE/>
                    <w:autoSpaceDN/>
                    <w:bidi w:val="0"/>
                    <w:adjustRightInd w:val="0"/>
                    <w:snapToGrid w:val="0"/>
                    <w:spacing w:beforeLines="0" w:afterLines="0" w:line="240" w:lineRule="auto"/>
                    <w:jc w:val="both"/>
                    <w:textAlignment w:val="auto"/>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eastAsia="zh-CN"/>
                    </w:rPr>
                    <w:t>（五）</w:t>
                  </w:r>
                  <w:r>
                    <w:rPr>
                      <w:rFonts w:hint="default" w:ascii="Times New Roman" w:hAnsi="Times New Roman" w:eastAsia="宋体" w:cs="Times New Roman"/>
                      <w:color w:val="auto"/>
                      <w:sz w:val="21"/>
                      <w:szCs w:val="21"/>
                    </w:rPr>
                    <w:t>衔接</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三线一单</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成果，落实园区污染物排放总量和削减措施。</w:t>
                  </w:r>
                </w:p>
                <w:p w14:paraId="7593B83B">
                  <w:pPr>
                    <w:pStyle w:val="49"/>
                    <w:keepNext w:val="0"/>
                    <w:keepLines w:val="0"/>
                    <w:pageBreakBefore w:val="0"/>
                    <w:widowControl w:val="0"/>
                    <w:kinsoku/>
                    <w:wordWrap/>
                    <w:overflowPunct/>
                    <w:topLinePunct w:val="0"/>
                    <w:autoSpaceDE/>
                    <w:autoSpaceDN/>
                    <w:bidi w:val="0"/>
                    <w:adjustRightInd w:val="0"/>
                    <w:snapToGrid w:val="0"/>
                    <w:spacing w:beforeLines="0" w:afterLines="0" w:line="240" w:lineRule="auto"/>
                    <w:jc w:val="both"/>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园区应根据国家有关规定统筹考虑入园项目累积影响制定区域污染物排放总量控制方案，同时衔接</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三线一单</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成果，落实区域污染物减排措施。加强污染物排放总量监管确保规划实施后满足污染物排放总量和减排要求，区域环境质量满足环境功能要求。</w:t>
                  </w:r>
                </w:p>
              </w:tc>
              <w:tc>
                <w:tcPr>
                  <w:tcW w:w="1577" w:type="pct"/>
                  <w:tcBorders>
                    <w:tl2br w:val="nil"/>
                    <w:tr2bl w:val="nil"/>
                  </w:tcBorders>
                  <w:noWrap w:val="0"/>
                  <w:vAlign w:val="center"/>
                </w:tcPr>
                <w:p w14:paraId="2CF6C088">
                  <w:pPr>
                    <w:pStyle w:val="49"/>
                    <w:keepNext w:val="0"/>
                    <w:keepLines w:val="0"/>
                    <w:pageBreakBefore w:val="0"/>
                    <w:widowControl w:val="0"/>
                    <w:kinsoku/>
                    <w:wordWrap/>
                    <w:overflowPunct/>
                    <w:topLinePunct w:val="0"/>
                    <w:autoSpaceDE/>
                    <w:autoSpaceDN/>
                    <w:bidi w:val="0"/>
                    <w:adjustRightInd w:val="0"/>
                    <w:snapToGrid w:val="0"/>
                    <w:spacing w:beforeLines="0" w:afterLines="0"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本项目建设单位须按照环评报告向总量部门申请总量</w:t>
                  </w:r>
                </w:p>
              </w:tc>
              <w:tc>
                <w:tcPr>
                  <w:tcW w:w="635" w:type="pct"/>
                  <w:tcBorders>
                    <w:tl2br w:val="nil"/>
                    <w:tr2bl w:val="nil"/>
                  </w:tcBorders>
                  <w:noWrap w:val="0"/>
                  <w:vAlign w:val="center"/>
                </w:tcPr>
                <w:p w14:paraId="1C2177F7">
                  <w:pPr>
                    <w:pStyle w:val="49"/>
                    <w:keepNext w:val="0"/>
                    <w:keepLines w:val="0"/>
                    <w:pageBreakBefore w:val="0"/>
                    <w:widowControl w:val="0"/>
                    <w:kinsoku/>
                    <w:wordWrap/>
                    <w:overflowPunct/>
                    <w:topLinePunct w:val="0"/>
                    <w:autoSpaceDE/>
                    <w:autoSpaceDN/>
                    <w:bidi w:val="0"/>
                    <w:adjustRightInd w:val="0"/>
                    <w:snapToGrid w:val="0"/>
                    <w:spacing w:beforeLines="0" w:afterLines="0" w:line="240" w:lineRule="auto"/>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186854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787" w:type="pct"/>
                  <w:tcBorders>
                    <w:tl2br w:val="nil"/>
                    <w:tr2bl w:val="nil"/>
                  </w:tcBorders>
                  <w:noWrap w:val="0"/>
                  <w:vAlign w:val="center"/>
                </w:tcPr>
                <w:p w14:paraId="6337B55B">
                  <w:pPr>
                    <w:pStyle w:val="49"/>
                    <w:keepNext w:val="0"/>
                    <w:keepLines w:val="0"/>
                    <w:pageBreakBefore w:val="0"/>
                    <w:widowControl w:val="0"/>
                    <w:kinsoku/>
                    <w:wordWrap/>
                    <w:overflowPunct/>
                    <w:topLinePunct w:val="0"/>
                    <w:autoSpaceDE/>
                    <w:autoSpaceDN/>
                    <w:bidi w:val="0"/>
                    <w:adjustRightInd w:val="0"/>
                    <w:snapToGrid w:val="0"/>
                    <w:spacing w:beforeLines="0" w:afterLines="0" w:line="240" w:lineRule="auto"/>
                    <w:jc w:val="both"/>
                    <w:textAlignment w:val="auto"/>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eastAsia="zh-CN"/>
                    </w:rPr>
                    <w:t>（六）</w:t>
                  </w:r>
                  <w:r>
                    <w:rPr>
                      <w:rFonts w:hint="default" w:ascii="Times New Roman" w:hAnsi="Times New Roman" w:eastAsia="宋体" w:cs="Times New Roman"/>
                      <w:color w:val="auto"/>
                      <w:sz w:val="21"/>
                      <w:szCs w:val="21"/>
                    </w:rPr>
                    <w:t>建立三级环境风险防控体系，强化环境风险防控和应急管理。</w:t>
                  </w:r>
                </w:p>
                <w:p w14:paraId="349FB119">
                  <w:pPr>
                    <w:pStyle w:val="49"/>
                    <w:keepNext w:val="0"/>
                    <w:keepLines w:val="0"/>
                    <w:pageBreakBefore w:val="0"/>
                    <w:widowControl w:val="0"/>
                    <w:kinsoku/>
                    <w:wordWrap/>
                    <w:overflowPunct/>
                    <w:topLinePunct w:val="0"/>
                    <w:autoSpaceDE/>
                    <w:autoSpaceDN/>
                    <w:bidi w:val="0"/>
                    <w:adjustRightInd w:val="0"/>
                    <w:snapToGrid w:val="0"/>
                    <w:spacing w:beforeLines="0" w:afterLines="0" w:line="240" w:lineRule="auto"/>
                    <w:jc w:val="both"/>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你单位应配备专职管理人员负责园区环境保护工作。针对园区产业特征，制定园区及周边区域环境风险应急预案分解落实到具体责任人，并实现与周边区域突发环境风险应急预案的有效对接及联动。加大风险防控力度，定期开展环境风险事故应急演练，配备相应应急装备，严格落实各项环境风险防范措施，增强处理环境风险事故的应急能力。</w:t>
                  </w:r>
                </w:p>
              </w:tc>
              <w:tc>
                <w:tcPr>
                  <w:tcW w:w="1577" w:type="pct"/>
                  <w:tcBorders>
                    <w:tl2br w:val="nil"/>
                    <w:tr2bl w:val="nil"/>
                  </w:tcBorders>
                  <w:noWrap w:val="0"/>
                  <w:vAlign w:val="center"/>
                </w:tcPr>
                <w:p w14:paraId="2D0DE55D">
                  <w:pPr>
                    <w:pStyle w:val="49"/>
                    <w:keepNext w:val="0"/>
                    <w:keepLines w:val="0"/>
                    <w:pageBreakBefore w:val="0"/>
                    <w:widowControl w:val="0"/>
                    <w:kinsoku/>
                    <w:wordWrap/>
                    <w:overflowPunct/>
                    <w:topLinePunct w:val="0"/>
                    <w:autoSpaceDE/>
                    <w:autoSpaceDN/>
                    <w:bidi w:val="0"/>
                    <w:adjustRightInd w:val="0"/>
                    <w:snapToGrid w:val="0"/>
                    <w:spacing w:beforeLines="0" w:afterLines="0" w:line="240" w:lineRule="auto"/>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w:t>
                  </w:r>
                  <w:r>
                    <w:rPr>
                      <w:rFonts w:hint="default" w:ascii="Times New Roman" w:hAnsi="Times New Roman" w:eastAsia="宋体" w:cs="Times New Roman"/>
                      <w:color w:val="auto"/>
                      <w:sz w:val="21"/>
                      <w:szCs w:val="21"/>
                      <w:lang w:eastAsia="zh-CN"/>
                    </w:rPr>
                    <w:t>突发环境事件应急管理</w:t>
                  </w:r>
                  <w:r>
                    <w:rPr>
                      <w:rFonts w:hint="default" w:ascii="Times New Roman" w:hAnsi="Times New Roman" w:eastAsia="宋体" w:cs="Times New Roman"/>
                      <w:color w:val="auto"/>
                      <w:sz w:val="21"/>
                      <w:szCs w:val="21"/>
                    </w:rPr>
                    <w:t>与</w:t>
                  </w:r>
                  <w:r>
                    <w:rPr>
                      <w:rFonts w:hint="default" w:ascii="Times New Roman" w:hAnsi="Times New Roman" w:eastAsia="宋体" w:cs="Times New Roman"/>
                      <w:color w:val="auto"/>
                      <w:sz w:val="21"/>
                      <w:szCs w:val="21"/>
                      <w:lang w:eastAsia="zh-CN"/>
                    </w:rPr>
                    <w:t>园区</w:t>
                  </w:r>
                  <w:r>
                    <w:rPr>
                      <w:rFonts w:hint="default" w:ascii="Times New Roman" w:hAnsi="Times New Roman" w:eastAsia="宋体" w:cs="Times New Roman"/>
                      <w:color w:val="auto"/>
                      <w:sz w:val="21"/>
                      <w:szCs w:val="21"/>
                    </w:rPr>
                    <w:t>联动</w:t>
                  </w:r>
                </w:p>
              </w:tc>
              <w:tc>
                <w:tcPr>
                  <w:tcW w:w="635" w:type="pct"/>
                  <w:tcBorders>
                    <w:tl2br w:val="nil"/>
                    <w:tr2bl w:val="nil"/>
                  </w:tcBorders>
                  <w:noWrap w:val="0"/>
                  <w:vAlign w:val="center"/>
                </w:tcPr>
                <w:p w14:paraId="66659357">
                  <w:pPr>
                    <w:pStyle w:val="49"/>
                    <w:keepNext w:val="0"/>
                    <w:keepLines w:val="0"/>
                    <w:pageBreakBefore w:val="0"/>
                    <w:widowControl w:val="0"/>
                    <w:kinsoku/>
                    <w:wordWrap/>
                    <w:overflowPunct/>
                    <w:topLinePunct w:val="0"/>
                    <w:autoSpaceDE/>
                    <w:autoSpaceDN/>
                    <w:bidi w:val="0"/>
                    <w:adjustRightInd w:val="0"/>
                    <w:snapToGrid w:val="0"/>
                    <w:spacing w:beforeLines="0" w:afterLines="0" w:line="240" w:lineRule="auto"/>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4FF3B9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787" w:type="pct"/>
                  <w:tcBorders>
                    <w:tl2br w:val="nil"/>
                    <w:tr2bl w:val="nil"/>
                  </w:tcBorders>
                  <w:noWrap w:val="0"/>
                  <w:vAlign w:val="center"/>
                </w:tcPr>
                <w:p w14:paraId="533EE211">
                  <w:pPr>
                    <w:pStyle w:val="49"/>
                    <w:keepNext w:val="0"/>
                    <w:keepLines w:val="0"/>
                    <w:pageBreakBefore w:val="0"/>
                    <w:widowControl w:val="0"/>
                    <w:kinsoku/>
                    <w:wordWrap/>
                    <w:overflowPunct/>
                    <w:topLinePunct w:val="0"/>
                    <w:autoSpaceDE/>
                    <w:autoSpaceDN/>
                    <w:bidi w:val="0"/>
                    <w:adjustRightInd w:val="0"/>
                    <w:snapToGrid w:val="0"/>
                    <w:spacing w:beforeLines="0" w:afterLines="0" w:line="240" w:lineRule="auto"/>
                    <w:jc w:val="both"/>
                    <w:textAlignment w:val="auto"/>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eastAsia="zh-CN"/>
                    </w:rPr>
                    <w:t>（七）</w:t>
                  </w:r>
                  <w:r>
                    <w:rPr>
                      <w:rFonts w:hint="default" w:ascii="Times New Roman" w:hAnsi="Times New Roman" w:eastAsia="宋体" w:cs="Times New Roman"/>
                      <w:color w:val="auto"/>
                      <w:sz w:val="21"/>
                      <w:szCs w:val="21"/>
                    </w:rPr>
                    <w:t>落实环境监测措施，健全环境监控手段。</w:t>
                  </w:r>
                </w:p>
                <w:p w14:paraId="65CB8A24">
                  <w:pPr>
                    <w:pStyle w:val="49"/>
                    <w:keepNext w:val="0"/>
                    <w:keepLines w:val="0"/>
                    <w:pageBreakBefore w:val="0"/>
                    <w:widowControl w:val="0"/>
                    <w:kinsoku/>
                    <w:wordWrap/>
                    <w:overflowPunct/>
                    <w:topLinePunct w:val="0"/>
                    <w:autoSpaceDE/>
                    <w:autoSpaceDN/>
                    <w:bidi w:val="0"/>
                    <w:adjustRightInd w:val="0"/>
                    <w:snapToGrid w:val="0"/>
                    <w:spacing w:beforeLines="0" w:afterLines="0" w:line="240" w:lineRule="auto"/>
                    <w:jc w:val="both"/>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你单位应按照报告书规定制定园区及重点企业污染监测和信息公开方案，定期监测并将监测数据及时上报地方生态环境主管部门。入园项目必须严格执行</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三同时</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、总量控制和排污许可制度，健全在线监控、规范排污口等环境监控手段。</w:t>
                  </w:r>
                </w:p>
              </w:tc>
              <w:tc>
                <w:tcPr>
                  <w:tcW w:w="1577" w:type="pct"/>
                  <w:tcBorders>
                    <w:tl2br w:val="nil"/>
                    <w:tr2bl w:val="nil"/>
                  </w:tcBorders>
                  <w:noWrap w:val="0"/>
                  <w:vAlign w:val="center"/>
                </w:tcPr>
                <w:p w14:paraId="13E4D612">
                  <w:pPr>
                    <w:pStyle w:val="49"/>
                    <w:keepNext w:val="0"/>
                    <w:keepLines w:val="0"/>
                    <w:pageBreakBefore w:val="0"/>
                    <w:widowControl w:val="0"/>
                    <w:kinsoku/>
                    <w:wordWrap/>
                    <w:overflowPunct/>
                    <w:topLinePunct w:val="0"/>
                    <w:autoSpaceDE/>
                    <w:autoSpaceDN/>
                    <w:bidi w:val="0"/>
                    <w:adjustRightInd w:val="0"/>
                    <w:snapToGrid w:val="0"/>
                    <w:spacing w:beforeLines="0" w:afterLines="0" w:line="240" w:lineRule="auto"/>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企业将制定相应的自行监测计划</w:t>
                  </w:r>
                  <w:r>
                    <w:rPr>
                      <w:rFonts w:hint="eastAsia" w:ascii="Times New Roman" w:hAnsi="Times New Roman" w:eastAsia="宋体" w:cs="Times New Roman"/>
                      <w:color w:val="auto"/>
                      <w:sz w:val="21"/>
                      <w:szCs w:val="21"/>
                      <w:lang w:eastAsia="zh-CN"/>
                    </w:rPr>
                    <w:t>并</w:t>
                  </w:r>
                  <w:r>
                    <w:rPr>
                      <w:rFonts w:hint="default" w:ascii="Times New Roman" w:hAnsi="Times New Roman" w:eastAsia="宋体" w:cs="Times New Roman"/>
                      <w:color w:val="auto"/>
                      <w:sz w:val="21"/>
                      <w:szCs w:val="21"/>
                    </w:rPr>
                    <w:t>及时进行信息公开，严格执行</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三同时</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制度，申请总量；根据要求</w:t>
                  </w:r>
                  <w:r>
                    <w:rPr>
                      <w:rFonts w:ascii="Times New Roman" w:hAnsi="Times New Roman" w:cs="Times New Roman"/>
                      <w:color w:val="auto"/>
                      <w:spacing w:val="-1"/>
                      <w:sz w:val="21"/>
                      <w:szCs w:val="21"/>
                    </w:rPr>
                    <w:t>及时申请排污许可证</w:t>
                  </w:r>
                  <w:r>
                    <w:rPr>
                      <w:rFonts w:hint="eastAsia" w:ascii="Times New Roman" w:hAnsi="Times New Roman" w:cs="Times New Roman"/>
                      <w:color w:val="auto"/>
                      <w:spacing w:val="-1"/>
                      <w:sz w:val="21"/>
                      <w:szCs w:val="21"/>
                      <w:lang w:eastAsia="zh-CN"/>
                    </w:rPr>
                    <w:t>或</w:t>
                  </w:r>
                  <w:r>
                    <w:rPr>
                      <w:rFonts w:hint="eastAsia"/>
                      <w:color w:val="auto"/>
                      <w:szCs w:val="24"/>
                      <w:lang w:eastAsia="zh-CN"/>
                    </w:rPr>
                    <w:t>办理</w:t>
                  </w:r>
                  <w:r>
                    <w:rPr>
                      <w:rFonts w:hint="eastAsia"/>
                      <w:color w:val="auto"/>
                      <w:szCs w:val="24"/>
                    </w:rPr>
                    <w:t>排污许可登记管理相关手续</w:t>
                  </w:r>
                  <w:r>
                    <w:rPr>
                      <w:rFonts w:hint="eastAsia"/>
                      <w:color w:val="auto"/>
                      <w:szCs w:val="24"/>
                      <w:lang w:eastAsia="zh-CN"/>
                    </w:rPr>
                    <w:t>，</w:t>
                  </w:r>
                  <w:r>
                    <w:rPr>
                      <w:rFonts w:hint="default" w:ascii="Times New Roman" w:hAnsi="Times New Roman" w:eastAsia="宋体" w:cs="Times New Roman"/>
                      <w:color w:val="auto"/>
                      <w:sz w:val="21"/>
                      <w:szCs w:val="21"/>
                    </w:rPr>
                    <w:t>并对排污口进行规范设置</w:t>
                  </w:r>
                </w:p>
              </w:tc>
              <w:tc>
                <w:tcPr>
                  <w:tcW w:w="635" w:type="pct"/>
                  <w:tcBorders>
                    <w:tl2br w:val="nil"/>
                    <w:tr2bl w:val="nil"/>
                  </w:tcBorders>
                  <w:noWrap w:val="0"/>
                  <w:vAlign w:val="center"/>
                </w:tcPr>
                <w:p w14:paraId="061C4A18">
                  <w:pPr>
                    <w:pStyle w:val="49"/>
                    <w:keepNext w:val="0"/>
                    <w:keepLines w:val="0"/>
                    <w:pageBreakBefore w:val="0"/>
                    <w:widowControl w:val="0"/>
                    <w:kinsoku/>
                    <w:wordWrap/>
                    <w:overflowPunct/>
                    <w:topLinePunct w:val="0"/>
                    <w:autoSpaceDE/>
                    <w:autoSpaceDN/>
                    <w:bidi w:val="0"/>
                    <w:adjustRightInd w:val="0"/>
                    <w:snapToGrid w:val="0"/>
                    <w:spacing w:beforeLines="0" w:afterLines="0" w:line="240" w:lineRule="auto"/>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bl>
          <w:p w14:paraId="78E8A9B4">
            <w:pPr>
              <w:pStyle w:val="92"/>
              <w:rPr>
                <w:color w:val="auto"/>
              </w:rPr>
            </w:pPr>
          </w:p>
          <w:p w14:paraId="466A14F0">
            <w:pPr>
              <w:pStyle w:val="92"/>
              <w:rPr>
                <w:color w:val="auto"/>
              </w:rPr>
            </w:pPr>
          </w:p>
          <w:p w14:paraId="6A114943">
            <w:pPr>
              <w:spacing w:line="240" w:lineRule="auto"/>
              <w:jc w:val="center"/>
              <w:rPr>
                <w:rFonts w:hint="eastAsia"/>
                <w:color w:val="auto"/>
                <w:kern w:val="0"/>
                <w:sz w:val="24"/>
                <w:highlight w:val="none"/>
              </w:rPr>
            </w:pPr>
          </w:p>
        </w:tc>
      </w:tr>
      <w:tr w14:paraId="6AD1E53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1728" w:type="dxa"/>
            <w:noWrap w:val="0"/>
            <w:vAlign w:val="center"/>
          </w:tcPr>
          <w:p w14:paraId="68456386">
            <w:pPr>
              <w:autoSpaceDE w:val="0"/>
              <w:autoSpaceDN w:val="0"/>
              <w:adjustRightInd w:val="0"/>
              <w:snapToGrid w:val="0"/>
              <w:spacing w:line="240" w:lineRule="auto"/>
              <w:jc w:val="center"/>
              <w:rPr>
                <w:color w:val="auto"/>
                <w:kern w:val="0"/>
                <w:sz w:val="24"/>
                <w:highlight w:val="none"/>
              </w:rPr>
            </w:pPr>
            <w:r>
              <w:rPr>
                <w:color w:val="auto"/>
                <w:kern w:val="0"/>
                <w:sz w:val="24"/>
                <w:highlight w:val="none"/>
              </w:rPr>
              <w:t>其他符合性分析</w:t>
            </w:r>
          </w:p>
        </w:tc>
        <w:tc>
          <w:tcPr>
            <w:tcW w:w="7142" w:type="dxa"/>
            <w:gridSpan w:val="3"/>
            <w:noWrap w:val="0"/>
            <w:vAlign w:val="center"/>
          </w:tcPr>
          <w:p w14:paraId="0352373D">
            <w:pPr>
              <w:rPr>
                <w:rFonts w:hint="eastAsia"/>
                <w:b/>
                <w:bCs/>
                <w:color w:val="auto"/>
                <w:sz w:val="24"/>
                <w:highlight w:val="none"/>
              </w:rPr>
            </w:pPr>
            <w:r>
              <w:rPr>
                <w:rFonts w:hint="eastAsia"/>
                <w:b/>
                <w:bCs/>
                <w:color w:val="auto"/>
                <w:sz w:val="24"/>
                <w:highlight w:val="none"/>
              </w:rPr>
              <w:t>一、产业政策符合性</w:t>
            </w:r>
          </w:p>
          <w:p w14:paraId="1775F99C">
            <w:pPr>
              <w:pStyle w:val="56"/>
              <w:keepNext w:val="0"/>
              <w:keepLines w:val="0"/>
              <w:pageBreakBefore w:val="0"/>
              <w:widowControl w:val="0"/>
              <w:kinsoku/>
              <w:wordWrap/>
              <w:overflowPunct/>
              <w:topLinePunct w:val="0"/>
              <w:autoSpaceDE w:val="0"/>
              <w:autoSpaceDN w:val="0"/>
              <w:bidi w:val="0"/>
              <w:adjustRightInd/>
              <w:snapToGrid/>
              <w:spacing w:line="360" w:lineRule="auto"/>
              <w:ind w:left="0" w:right="0" w:firstLine="480" w:firstLineChars="200"/>
              <w:jc w:val="both"/>
              <w:textAlignment w:val="auto"/>
              <w:rPr>
                <w:rFonts w:hint="eastAsia"/>
                <w:color w:val="auto"/>
                <w:sz w:val="24"/>
                <w:highlight w:val="none"/>
              </w:rPr>
            </w:pPr>
            <w:r>
              <w:rPr>
                <w:rFonts w:hint="default" w:ascii="Times New Roman" w:hAnsi="Times New Roman" w:eastAsia="宋体" w:cs="Times New Roman"/>
                <w:color w:val="auto"/>
                <w:kern w:val="2"/>
                <w:sz w:val="24"/>
                <w:szCs w:val="24"/>
                <w:highlight w:val="none"/>
                <w:lang w:val="en-US" w:eastAsia="zh-CN" w:bidi="ar-SA"/>
              </w:rPr>
              <w:t>本项目为</w:t>
            </w:r>
            <w:r>
              <w:rPr>
                <w:rFonts w:hint="eastAsia" w:ascii="Times New Roman" w:hAnsi="Times New Roman" w:eastAsia="宋体" w:cs="Times New Roman"/>
                <w:color w:val="auto"/>
                <w:kern w:val="2"/>
                <w:sz w:val="24"/>
                <w:szCs w:val="24"/>
                <w:highlight w:val="none"/>
                <w:lang w:val="en-US" w:eastAsia="zh-CN" w:bidi="ar-SA"/>
              </w:rPr>
              <w:t>地板制造</w:t>
            </w:r>
            <w:r>
              <w:rPr>
                <w:rFonts w:hint="default" w:ascii="Times New Roman" w:hAnsi="Times New Roman" w:eastAsia="宋体" w:cs="Times New Roman"/>
                <w:color w:val="auto"/>
                <w:kern w:val="2"/>
                <w:sz w:val="24"/>
                <w:szCs w:val="24"/>
                <w:highlight w:val="none"/>
                <w:lang w:val="en-US" w:eastAsia="zh-CN" w:bidi="ar-SA"/>
              </w:rPr>
              <w:t>项目，</w:t>
            </w:r>
            <w:r>
              <w:rPr>
                <w:rFonts w:hint="default" w:ascii="Times New Roman" w:hAnsi="Times New Roman" w:eastAsia="宋体" w:cs="Times New Roman"/>
                <w:color w:val="auto"/>
                <w:kern w:val="2"/>
                <w:sz w:val="24"/>
                <w:szCs w:val="24"/>
                <w:highlight w:val="none"/>
                <w:lang w:val="en-US" w:eastAsia="zh-CN" w:bidi="ar-SA"/>
              </w:rPr>
              <w:t>根据《国民经济行业分类》（GB/T4754-2017），本工程属于</w:t>
            </w:r>
            <w:r>
              <w:rPr>
                <w:rFonts w:hint="eastAsia" w:ascii="Times New Roman" w:hAnsi="Times New Roman" w:eastAsia="宋体" w:cs="Times New Roman"/>
                <w:color w:val="auto"/>
                <w:kern w:val="2"/>
                <w:sz w:val="24"/>
                <w:szCs w:val="24"/>
                <w:highlight w:val="no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C</w:t>
            </w:r>
            <w:r>
              <w:rPr>
                <w:rFonts w:hint="eastAsia" w:ascii="Times New Roman" w:hAnsi="Times New Roman" w:eastAsia="宋体" w:cs="Times New Roman"/>
                <w:color w:val="auto"/>
                <w:kern w:val="2"/>
                <w:sz w:val="24"/>
                <w:szCs w:val="24"/>
                <w:highlight w:val="none"/>
                <w:lang w:val="en-US" w:eastAsia="zh-CN" w:bidi="ar-SA"/>
              </w:rPr>
              <w:t>2034木地板</w:t>
            </w:r>
            <w:r>
              <w:rPr>
                <w:rFonts w:hint="default" w:ascii="Times New Roman" w:hAnsi="Times New Roman" w:eastAsia="宋体" w:cs="Times New Roman"/>
                <w:color w:val="auto"/>
                <w:kern w:val="2"/>
                <w:sz w:val="24"/>
                <w:szCs w:val="24"/>
                <w:highlight w:val="none"/>
                <w:lang w:val="en-US" w:eastAsia="zh-CN" w:bidi="ar-SA"/>
              </w:rPr>
              <w:t>制造</w:t>
            </w:r>
            <w:r>
              <w:rPr>
                <w:rFonts w:hint="eastAsia" w:ascii="Times New Roman" w:hAnsi="Times New Roman" w:eastAsia="宋体" w:cs="Times New Roman"/>
                <w:color w:val="auto"/>
                <w:kern w:val="2"/>
                <w:sz w:val="24"/>
                <w:szCs w:val="24"/>
                <w:highlight w:val="no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w:t>
            </w:r>
            <w:r>
              <w:rPr>
                <w:rFonts w:hint="eastAsia" w:ascii="Times New Roman" w:hAnsi="Times New Roman" w:eastAsia="宋体" w:cs="Times New Roman"/>
                <w:color w:val="auto"/>
                <w:kern w:val="2"/>
                <w:sz w:val="24"/>
                <w:szCs w:val="24"/>
                <w:highlight w:val="none"/>
                <w:lang w:val="en-US" w:eastAsia="zh-CN" w:bidi="ar-SA"/>
              </w:rPr>
              <w:t>根</w:t>
            </w:r>
            <w:r>
              <w:rPr>
                <w:color w:val="auto"/>
                <w:sz w:val="24"/>
                <w:highlight w:val="none"/>
              </w:rPr>
              <w:t>据中华人民共和国国家发展和改革委员会</w:t>
            </w:r>
            <w:r>
              <w:rPr>
                <w:rFonts w:hint="eastAsia"/>
                <w:color w:val="auto"/>
                <w:sz w:val="24"/>
                <w:highlight w:val="none"/>
              </w:rPr>
              <w:t>令</w:t>
            </w:r>
            <w:r>
              <w:rPr>
                <w:rFonts w:hint="default" w:ascii="Times New Roman" w:hAnsi="Times New Roman" w:cs="Times New Roman"/>
                <w:color w:val="auto"/>
                <w:sz w:val="24"/>
                <w:highlight w:val="none"/>
              </w:rPr>
              <w:t>第7号</w:t>
            </w:r>
            <w:r>
              <w:rPr>
                <w:rFonts w:hint="eastAsia"/>
                <w:color w:val="auto"/>
                <w:sz w:val="24"/>
                <w:highlight w:val="none"/>
              </w:rPr>
              <w:t>《</w:t>
            </w:r>
            <w:r>
              <w:rPr>
                <w:rFonts w:hint="eastAsia"/>
                <w:color w:val="auto"/>
                <w:sz w:val="24"/>
                <w:highlight w:val="none"/>
              </w:rPr>
              <w:fldChar w:fldCharType="begin"/>
            </w:r>
            <w:r>
              <w:rPr>
                <w:rFonts w:hint="eastAsia"/>
                <w:color w:val="auto"/>
                <w:sz w:val="24"/>
                <w:highlight w:val="none"/>
              </w:rPr>
              <w:instrText xml:space="preserve"> HYPERLINK "http://www.gov.cn/xinwen/2019-11/06/5449193/files/26c9d25f713f4ed5b8dc51ae40ef37af.pdf" \t "http://www.gov.cn/xinwen/2019-11/06/_blank" </w:instrText>
            </w:r>
            <w:r>
              <w:rPr>
                <w:rFonts w:hint="eastAsia"/>
                <w:color w:val="auto"/>
                <w:sz w:val="24"/>
                <w:highlight w:val="none"/>
              </w:rPr>
              <w:fldChar w:fldCharType="separate"/>
            </w:r>
            <w:r>
              <w:rPr>
                <w:rFonts w:hint="eastAsia"/>
                <w:color w:val="auto"/>
                <w:sz w:val="24"/>
                <w:highlight w:val="none"/>
              </w:rPr>
              <w:t>产业结构调整指导目录（</w:t>
            </w:r>
            <w:r>
              <w:rPr>
                <w:rFonts w:hint="default" w:ascii="Times New Roman" w:hAnsi="Times New Roman" w:cs="Times New Roman"/>
                <w:color w:val="auto"/>
                <w:sz w:val="24"/>
                <w:highlight w:val="none"/>
              </w:rPr>
              <w:t>2024</w:t>
            </w:r>
            <w:r>
              <w:rPr>
                <w:rFonts w:hint="eastAsia"/>
                <w:color w:val="auto"/>
                <w:sz w:val="24"/>
                <w:highlight w:val="none"/>
              </w:rPr>
              <w:t>年本）》</w:t>
            </w:r>
            <w:r>
              <w:rPr>
                <w:rFonts w:hint="eastAsia"/>
                <w:color w:val="auto"/>
                <w:sz w:val="24"/>
                <w:highlight w:val="none"/>
              </w:rPr>
              <w:fldChar w:fldCharType="end"/>
            </w:r>
            <w:r>
              <w:rPr>
                <w:rFonts w:hint="eastAsia"/>
                <w:color w:val="auto"/>
                <w:sz w:val="24"/>
                <w:highlight w:val="none"/>
                <w:lang w:eastAsia="zh-CN"/>
              </w:rPr>
              <w:t>，</w:t>
            </w:r>
            <w:r>
              <w:rPr>
                <w:rFonts w:ascii="Times New Roman" w:hAnsi="Times New Roman" w:eastAsia="宋体" w:cs="Times New Roman"/>
                <w:color w:val="auto"/>
                <w:sz w:val="24"/>
                <w:szCs w:val="24"/>
                <w:lang w:eastAsia="zh-CN"/>
              </w:rPr>
              <w:t>木</w:t>
            </w:r>
            <w:r>
              <w:rPr>
                <w:rFonts w:hint="eastAsia" w:ascii="Times New Roman" w:hAnsi="Times New Roman" w:eastAsia="宋体" w:cs="Times New Roman"/>
                <w:color w:val="auto"/>
                <w:sz w:val="24"/>
                <w:szCs w:val="24"/>
                <w:lang w:eastAsia="zh-CN"/>
              </w:rPr>
              <w:t>地板</w:t>
            </w:r>
            <w:r>
              <w:rPr>
                <w:rFonts w:ascii="Times New Roman" w:hAnsi="Times New Roman" w:eastAsia="宋体" w:cs="Times New Roman"/>
                <w:color w:val="auto"/>
                <w:sz w:val="24"/>
                <w:szCs w:val="24"/>
                <w:lang w:eastAsia="zh-CN"/>
              </w:rPr>
              <w:t>制造项目不属于</w:t>
            </w:r>
            <w:r>
              <w:rPr>
                <w:rFonts w:hint="eastAsia" w:ascii="Times New Roman" w:hAnsi="Times New Roman" w:eastAsia="宋体" w:cs="Times New Roman"/>
                <w:color w:val="auto"/>
                <w:sz w:val="24"/>
                <w:szCs w:val="24"/>
                <w:lang w:eastAsia="zh-CN"/>
              </w:rPr>
              <w:t>“</w:t>
            </w:r>
            <w:r>
              <w:rPr>
                <w:rFonts w:ascii="Times New Roman" w:hAnsi="Times New Roman" w:eastAsia="宋体" w:cs="Times New Roman"/>
                <w:color w:val="auto"/>
                <w:sz w:val="24"/>
                <w:szCs w:val="24"/>
                <w:lang w:eastAsia="zh-CN"/>
              </w:rPr>
              <w:t>鼓励类、限制类或淘汰类</w:t>
            </w:r>
            <w:r>
              <w:rPr>
                <w:rFonts w:hint="eastAsia" w:ascii="Times New Roman" w:hAnsi="Times New Roman" w:eastAsia="宋体" w:cs="Times New Roman"/>
                <w:color w:val="auto"/>
                <w:sz w:val="24"/>
                <w:szCs w:val="24"/>
                <w:lang w:eastAsia="zh-CN"/>
              </w:rPr>
              <w:t>”</w:t>
            </w:r>
            <w:r>
              <w:rPr>
                <w:rFonts w:ascii="Times New Roman" w:hAnsi="Times New Roman" w:eastAsia="宋体" w:cs="Times New Roman"/>
                <w:color w:val="auto"/>
                <w:sz w:val="24"/>
                <w:szCs w:val="24"/>
                <w:lang w:eastAsia="zh-CN"/>
              </w:rPr>
              <w:t>项目，</w:t>
            </w:r>
            <w:r>
              <w:rPr>
                <w:rFonts w:hint="eastAsia"/>
                <w:color w:val="auto"/>
                <w:sz w:val="24"/>
                <w:highlight w:val="none"/>
              </w:rPr>
              <w:t>属于</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kern w:val="2"/>
                <w:sz w:val="24"/>
                <w:szCs w:val="24"/>
                <w:highlight w:val="none"/>
                <w:lang w:val="en-US" w:eastAsia="zh-CN" w:bidi="ar-SA"/>
              </w:rPr>
              <w:t>允许</w:t>
            </w:r>
            <w:r>
              <w:rPr>
                <w:rFonts w:hint="eastAsia" w:ascii="Times New Roman" w:hAnsi="Times New Roman" w:eastAsia="宋体" w:cs="Times New Roman"/>
                <w:color w:val="auto"/>
                <w:kern w:val="2"/>
                <w:sz w:val="24"/>
                <w:szCs w:val="24"/>
                <w:highlight w:val="none"/>
                <w:lang w:val="en-US" w:eastAsia="zh-CN" w:bidi="ar-SA"/>
              </w:rPr>
              <w:t>类</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kern w:val="2"/>
                <w:sz w:val="24"/>
                <w:szCs w:val="24"/>
                <w:highlight w:val="none"/>
                <w:lang w:val="en-US" w:eastAsia="zh-CN" w:bidi="ar-SA"/>
              </w:rPr>
              <w:t>项目。</w:t>
            </w:r>
            <w:r>
              <w:rPr>
                <w:rFonts w:hint="eastAsia"/>
                <w:color w:val="auto"/>
                <w:sz w:val="24"/>
                <w:highlight w:val="none"/>
              </w:rPr>
              <w:t>因此符合国家产业政策。</w:t>
            </w:r>
          </w:p>
          <w:p w14:paraId="16DFEA6B">
            <w:pPr>
              <w:pStyle w:val="56"/>
              <w:keepNext w:val="0"/>
              <w:keepLines w:val="0"/>
              <w:pageBreakBefore w:val="0"/>
              <w:widowControl w:val="0"/>
              <w:kinsoku/>
              <w:wordWrap/>
              <w:overflowPunct/>
              <w:topLinePunct w:val="0"/>
              <w:autoSpaceDE w:val="0"/>
              <w:autoSpaceDN w:val="0"/>
              <w:bidi w:val="0"/>
              <w:adjustRightInd/>
              <w:snapToGrid/>
              <w:spacing w:line="360" w:lineRule="auto"/>
              <w:ind w:left="0" w:right="0"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eastAsia"/>
                <w:color w:val="auto"/>
                <w:sz w:val="24"/>
                <w:highlight w:val="none"/>
                <w:lang w:eastAsia="zh-CN"/>
              </w:rPr>
              <w:t>根</w:t>
            </w:r>
            <w:r>
              <w:rPr>
                <w:rFonts w:hint="default" w:ascii="Times New Roman" w:hAnsi="Times New Roman" w:cs="Times New Roman"/>
                <w:color w:val="auto"/>
                <w:sz w:val="24"/>
                <w:highlight w:val="none"/>
                <w:lang w:eastAsia="zh-CN"/>
              </w:rPr>
              <w:t>据</w:t>
            </w:r>
            <w:r>
              <w:rPr>
                <w:rFonts w:hint="default" w:ascii="Times New Roman" w:hAnsi="Times New Roman" w:cs="Times New Roman"/>
                <w:color w:val="auto"/>
                <w:sz w:val="24"/>
                <w:szCs w:val="24"/>
                <w:highlight w:val="none"/>
                <w:lang w:val="en-US" w:eastAsia="zh-CN"/>
              </w:rPr>
              <w:t>2025</w:t>
            </w:r>
            <w:r>
              <w:rPr>
                <w:rFonts w:hint="eastAsia"/>
                <w:color w:val="auto"/>
                <w:sz w:val="24"/>
                <w:szCs w:val="24"/>
                <w:highlight w:val="none"/>
                <w:lang w:val="en-US" w:eastAsia="zh-CN"/>
              </w:rPr>
              <w:t>年</w:t>
            </w:r>
            <w:r>
              <w:rPr>
                <w:rFonts w:hint="eastAsia"/>
                <w:color w:val="auto"/>
                <w:sz w:val="24"/>
                <w:szCs w:val="24"/>
                <w:highlight w:val="none"/>
                <w:lang w:eastAsia="zh-CN"/>
              </w:rPr>
              <w:t>《国家污染防治技术指导目录》（环办科财</w:t>
            </w:r>
            <w:r>
              <w:rPr>
                <w:rFonts w:hint="default" w:ascii="Times New Roman" w:hAnsi="Times New Roman" w:cs="Times New Roman"/>
                <w:color w:val="auto"/>
                <w:sz w:val="24"/>
                <w:szCs w:val="24"/>
                <w:highlight w:val="none"/>
                <w:lang w:eastAsia="zh-CN"/>
              </w:rPr>
              <w:t>函〔202</w:t>
            </w:r>
            <w:r>
              <w:rPr>
                <w:rFonts w:hint="default" w:ascii="Times New Roman" w:hAnsi="Times New Roman" w:cs="Times New Roman"/>
                <w:color w:val="auto"/>
                <w:sz w:val="24"/>
                <w:szCs w:val="24"/>
                <w:highlight w:val="none"/>
                <w:lang w:val="en-US" w:eastAsia="zh-CN"/>
              </w:rPr>
              <w:t>5</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197</w:t>
            </w:r>
            <w:r>
              <w:rPr>
                <w:rFonts w:hint="default" w:ascii="Times New Roman" w:hAnsi="Times New Roman" w:cs="Times New Roman"/>
                <w:color w:val="auto"/>
                <w:sz w:val="24"/>
                <w:szCs w:val="24"/>
                <w:highlight w:val="none"/>
              </w:rPr>
              <w:t>号</w:t>
            </w:r>
            <w:r>
              <w:rPr>
                <w:rFonts w:hint="eastAsia"/>
                <w:color w:val="auto"/>
                <w:sz w:val="24"/>
                <w:szCs w:val="24"/>
                <w:highlight w:val="none"/>
                <w:lang w:eastAsia="zh-CN"/>
              </w:rPr>
              <w:t>），本项目废气污染物颗粒物采</w:t>
            </w:r>
            <w:r>
              <w:rPr>
                <w:rFonts w:hint="default" w:ascii="Times New Roman" w:hAnsi="Times New Roman" w:eastAsia="宋体" w:cs="Times New Roman"/>
                <w:color w:val="auto"/>
                <w:sz w:val="24"/>
                <w:szCs w:val="24"/>
                <w:highlight w:val="none"/>
                <w:lang w:eastAsia="zh-CN"/>
              </w:rPr>
              <w:t>用集气罩（</w:t>
            </w:r>
            <w:r>
              <w:rPr>
                <w:rFonts w:hint="eastAsia" w:ascii="Times New Roman" w:hAnsi="Times New Roman" w:eastAsia="宋体" w:cs="Times New Roman"/>
                <w:color w:val="auto"/>
                <w:sz w:val="24"/>
                <w:szCs w:val="24"/>
                <w:highlight w:val="none"/>
                <w:lang w:val="en-US" w:eastAsia="zh-CN"/>
              </w:rPr>
              <w:t>7</w:t>
            </w:r>
            <w:r>
              <w:rPr>
                <w:rFonts w:hint="default" w:ascii="Times New Roman" w:hAnsi="Times New Roman" w:eastAsia="宋体" w:cs="Times New Roman"/>
                <w:color w:val="auto"/>
                <w:sz w:val="24"/>
                <w:szCs w:val="24"/>
                <w:highlight w:val="none"/>
                <w:lang w:val="en-US" w:eastAsia="zh-CN"/>
              </w:rPr>
              <w:t>个</w:t>
            </w:r>
            <w:r>
              <w:rPr>
                <w:rFonts w:hint="default" w:ascii="Times New Roman" w:hAnsi="Times New Roman" w:eastAsia="宋体" w:cs="Times New Roman"/>
                <w:color w:val="auto"/>
                <w:sz w:val="24"/>
                <w:szCs w:val="24"/>
                <w:highlight w:val="none"/>
                <w:lang w:eastAsia="zh-CN"/>
              </w:rPr>
              <w:t>）收集</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eastAsia="zh-CN"/>
              </w:rPr>
              <w:t>布袋除尘器</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eastAsia="zh-CN"/>
              </w:rPr>
              <w:t>15m排气筒（</w:t>
            </w:r>
            <w:r>
              <w:rPr>
                <w:rFonts w:hint="default" w:ascii="Times New Roman" w:hAnsi="Times New Roman" w:eastAsia="宋体" w:cs="Times New Roman"/>
                <w:color w:val="auto"/>
                <w:sz w:val="24"/>
                <w:szCs w:val="24"/>
                <w:highlight w:val="none"/>
                <w:lang w:val="en-US" w:eastAsia="zh-CN"/>
              </w:rPr>
              <w:t>DA001-DA004</w:t>
            </w:r>
            <w:r>
              <w:rPr>
                <w:rFonts w:hint="default" w:ascii="Times New Roman" w:hAnsi="Times New Roman" w:eastAsia="宋体" w:cs="Times New Roman"/>
                <w:color w:val="auto"/>
                <w:sz w:val="24"/>
                <w:szCs w:val="24"/>
                <w:highlight w:val="none"/>
                <w:lang w:eastAsia="zh-CN"/>
              </w:rPr>
              <w:t>）排放，</w:t>
            </w:r>
            <w:r>
              <w:rPr>
                <w:rFonts w:hint="eastAsia" w:ascii="Times New Roman" w:hAnsi="Times New Roman" w:eastAsia="宋体" w:cs="Times New Roman"/>
                <w:color w:val="auto"/>
                <w:sz w:val="24"/>
                <w:szCs w:val="24"/>
                <w:highlight w:val="none"/>
                <w:lang w:eastAsia="zh-CN"/>
              </w:rPr>
              <w:t>辊漆</w:t>
            </w:r>
            <w:r>
              <w:rPr>
                <w:rFonts w:hint="eastAsia" w:ascii="Times New Roman" w:hAnsi="Times New Roman" w:eastAsia="宋体" w:cs="Times New Roman"/>
                <w:color w:val="auto"/>
                <w:sz w:val="24"/>
                <w:szCs w:val="24"/>
                <w:highlight w:val="none"/>
                <w:lang w:val="en-US" w:eastAsia="zh-CN"/>
              </w:rPr>
              <w:t>+紫外光固化废气采用</w:t>
            </w:r>
            <w:r>
              <w:rPr>
                <w:rFonts w:hint="eastAsia" w:ascii="Times New Roman" w:hAnsi="Times New Roman" w:eastAsia="宋体" w:cs="Times New Roman"/>
                <w:color w:val="auto"/>
                <w:sz w:val="24"/>
                <w:szCs w:val="24"/>
                <w:highlight w:val="none"/>
                <w:lang w:eastAsia="zh-CN"/>
              </w:rPr>
              <w:t>集气罩</w:t>
            </w:r>
            <w:r>
              <w:rPr>
                <w:rFonts w:hint="default" w:ascii="Times New Roman" w:hAnsi="Times New Roman" w:eastAsia="宋体" w:cs="Times New Roman"/>
                <w:color w:val="auto"/>
                <w:sz w:val="24"/>
                <w:szCs w:val="24"/>
                <w:highlight w:val="none"/>
                <w:lang w:eastAsia="zh-CN"/>
              </w:rPr>
              <w:t>收集</w:t>
            </w:r>
            <w:r>
              <w:rPr>
                <w:rFonts w:hint="eastAsia" w:ascii="Times New Roman" w:hAnsi="Times New Roman" w:eastAsia="宋体"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lang w:eastAsia="zh-CN"/>
              </w:rPr>
              <w:t>带有自动控制系统的</w:t>
            </w:r>
            <w:r>
              <w:rPr>
                <w:rFonts w:hint="eastAsia" w:ascii="Times New Roman" w:hAnsi="Times New Roman" w:eastAsia="宋体" w:cs="Times New Roman"/>
                <w:color w:val="auto"/>
                <w:sz w:val="24"/>
                <w:szCs w:val="24"/>
                <w:highlight w:val="none"/>
                <w:lang w:val="en-US" w:eastAsia="zh-CN"/>
              </w:rPr>
              <w:t>二级</w:t>
            </w:r>
            <w:r>
              <w:rPr>
                <w:rFonts w:hint="eastAsia" w:ascii="Times New Roman" w:hAnsi="Times New Roman" w:eastAsia="宋体" w:cs="Times New Roman"/>
                <w:color w:val="auto"/>
                <w:sz w:val="24"/>
                <w:szCs w:val="24"/>
                <w:highlight w:val="none"/>
                <w:lang w:eastAsia="zh-CN"/>
              </w:rPr>
              <w:t>活性炭吸附</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eastAsia="zh-CN"/>
              </w:rPr>
              <w:t>15m排气筒</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eastAsia="zh-CN"/>
              </w:rPr>
              <w:t>DA00</w:t>
            </w:r>
            <w:r>
              <w:rPr>
                <w:rFonts w:hint="eastAsia" w:ascii="Times New Roman" w:hAnsi="Times New Roman" w:eastAsia="宋体" w:cs="Times New Roman"/>
                <w:color w:val="auto"/>
                <w:sz w:val="24"/>
                <w:szCs w:val="24"/>
                <w:highlight w:val="none"/>
                <w:lang w:val="en-US" w:eastAsia="zh-CN"/>
              </w:rPr>
              <w:t>5</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eastAsia="zh-CN"/>
              </w:rPr>
              <w:t>排放</w:t>
            </w:r>
            <w:r>
              <w:rPr>
                <w:rFonts w:hint="eastAsia" w:ascii="Times New Roman" w:hAnsi="Times New Roman" w:eastAsia="宋体" w:cs="Times New Roman"/>
                <w:color w:val="auto"/>
                <w:sz w:val="24"/>
                <w:szCs w:val="24"/>
                <w:highlight w:val="none"/>
                <w:lang w:eastAsia="zh-CN"/>
              </w:rPr>
              <w:t>，均不属于低效类技术，因此符合要求。</w:t>
            </w:r>
          </w:p>
          <w:p w14:paraId="24BE9B14">
            <w:pPr>
              <w:rPr>
                <w:b/>
                <w:bCs/>
                <w:color w:val="auto"/>
                <w:sz w:val="24"/>
                <w:highlight w:val="none"/>
              </w:rPr>
            </w:pPr>
            <w:r>
              <w:rPr>
                <w:rFonts w:hint="eastAsia"/>
                <w:b/>
                <w:bCs/>
                <w:color w:val="auto"/>
                <w:sz w:val="24"/>
                <w:highlight w:val="none"/>
              </w:rPr>
              <w:t>二、</w:t>
            </w:r>
            <w:r>
              <w:rPr>
                <w:b/>
                <w:bCs/>
                <w:color w:val="auto"/>
                <w:sz w:val="24"/>
                <w:highlight w:val="none"/>
              </w:rPr>
              <w:t>选址</w:t>
            </w:r>
            <w:r>
              <w:rPr>
                <w:rFonts w:hint="eastAsia"/>
                <w:b/>
                <w:bCs/>
                <w:color w:val="auto"/>
                <w:sz w:val="24"/>
                <w:highlight w:val="none"/>
              </w:rPr>
              <w:t>合理</w:t>
            </w:r>
            <w:r>
              <w:rPr>
                <w:b/>
                <w:bCs/>
                <w:color w:val="auto"/>
                <w:sz w:val="24"/>
                <w:highlight w:val="none"/>
              </w:rPr>
              <w:t>性分析</w:t>
            </w:r>
          </w:p>
          <w:p w14:paraId="227D9DFB">
            <w:pPr>
              <w:pStyle w:val="56"/>
              <w:keepNext w:val="0"/>
              <w:keepLines w:val="0"/>
              <w:pageBreakBefore w:val="0"/>
              <w:widowControl w:val="0"/>
              <w:kinsoku/>
              <w:wordWrap/>
              <w:overflowPunct/>
              <w:topLinePunct w:val="0"/>
              <w:bidi w:val="0"/>
              <w:spacing w:line="360" w:lineRule="auto"/>
              <w:ind w:left="0" w:right="0" w:firstLine="480" w:firstLineChars="200"/>
              <w:jc w:val="left"/>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本项目位于</w:t>
            </w:r>
            <w:r>
              <w:rPr>
                <w:rFonts w:hint="eastAsia"/>
                <w:color w:val="auto"/>
                <w:sz w:val="24"/>
                <w:highlight w:val="none"/>
              </w:rPr>
              <w:t>辽宁省抚顺市抚顺县救兵镇</w:t>
            </w:r>
            <w:r>
              <w:rPr>
                <w:rFonts w:hint="eastAsia"/>
                <w:color w:val="auto"/>
                <w:sz w:val="24"/>
                <w:highlight w:val="none"/>
                <w:lang w:eastAsia="zh-CN"/>
              </w:rPr>
              <w:t>康西</w:t>
            </w:r>
            <w:r>
              <w:rPr>
                <w:rFonts w:hint="eastAsia"/>
                <w:color w:val="auto"/>
                <w:sz w:val="24"/>
                <w:highlight w:val="none"/>
              </w:rPr>
              <w:t>村</w:t>
            </w:r>
            <w:r>
              <w:rPr>
                <w:rFonts w:hint="default" w:ascii="宋体" w:hAnsi="宋体" w:eastAsia="宋体" w:cs="宋体"/>
                <w:color w:val="auto"/>
                <w:sz w:val="24"/>
                <w:highlight w:val="none"/>
              </w:rPr>
              <w:t>，</w:t>
            </w:r>
            <w:r>
              <w:rPr>
                <w:rFonts w:hint="eastAsia" w:ascii="Times New Roman" w:hAnsi="Times New Roman" w:eastAsia="宋体" w:cs="Times New Roman"/>
                <w:color w:val="auto"/>
                <w:sz w:val="24"/>
                <w:szCs w:val="24"/>
                <w:lang w:eastAsia="zh-CN"/>
              </w:rPr>
              <w:t>抚顺县救兵木业和新材料产业园区内，</w:t>
            </w:r>
            <w:r>
              <w:rPr>
                <w:rFonts w:hint="default" w:ascii="宋体" w:hAnsi="宋体" w:eastAsia="宋体" w:cs="宋体"/>
                <w:color w:val="auto"/>
                <w:sz w:val="24"/>
                <w:highlight w:val="none"/>
              </w:rPr>
              <w:t>其租用</w:t>
            </w:r>
            <w:r>
              <w:rPr>
                <w:rFonts w:hint="eastAsia" w:ascii="宋体" w:hAnsi="宋体" w:eastAsia="宋体" w:cs="宋体"/>
                <w:color w:val="auto"/>
                <w:sz w:val="24"/>
                <w:highlight w:val="none"/>
                <w:lang w:eastAsia="zh-CN"/>
              </w:rPr>
              <w:t>位于抚顺县救兵木业和新材料产业园区，租用园</w:t>
            </w:r>
            <w:r>
              <w:rPr>
                <w:rFonts w:hint="default" w:ascii="Times New Roman" w:hAnsi="Times New Roman" w:eastAsia="宋体" w:cs="Times New Roman"/>
                <w:color w:val="auto"/>
                <w:sz w:val="24"/>
                <w:highlight w:val="none"/>
                <w:lang w:eastAsia="zh-CN"/>
              </w:rPr>
              <w:t>区</w:t>
            </w:r>
            <w:r>
              <w:rPr>
                <w:rFonts w:hint="eastAsia" w:ascii="宋体" w:hAnsi="宋体" w:eastAsia="宋体" w:cs="宋体"/>
                <w:color w:val="auto"/>
                <w:sz w:val="24"/>
                <w:highlight w:val="none"/>
                <w:lang w:eastAsia="zh-CN"/>
              </w:rPr>
              <w:t>厂房，</w:t>
            </w:r>
            <w:r>
              <w:rPr>
                <w:rFonts w:ascii="Times New Roman" w:hAnsi="Times New Roman" w:cs="Times New Roman"/>
                <w:color w:val="auto"/>
                <w:sz w:val="24"/>
                <w:szCs w:val="24"/>
                <w:lang w:eastAsia="zh-CN"/>
              </w:rPr>
              <w:t>符合园区总体规划，用地性质为工业用地</w:t>
            </w:r>
            <w:r>
              <w:rPr>
                <w:rFonts w:hint="eastAsia" w:ascii="Times New Roman" w:hAnsi="Times New Roman" w:cs="Times New Roman"/>
                <w:color w:val="auto"/>
                <w:sz w:val="24"/>
                <w:szCs w:val="24"/>
                <w:lang w:eastAsia="zh-CN"/>
              </w:rPr>
              <w:t>，</w:t>
            </w:r>
            <w:r>
              <w:rPr>
                <w:rFonts w:hint="default" w:ascii="Times New Roman" w:hAnsi="Times New Roman" w:eastAsia="宋体" w:cs="Times New Roman"/>
                <w:color w:val="auto"/>
                <w:sz w:val="24"/>
                <w:szCs w:val="24"/>
              </w:rPr>
              <w:t>租用协议见附件</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项目所在区域不涉及自然保</w:t>
            </w:r>
            <w:r>
              <w:rPr>
                <w:rFonts w:hint="eastAsia" w:ascii="Times New Roman" w:hAnsi="Times New Roman" w:eastAsia="宋体" w:cs="Times New Roman"/>
                <w:color w:val="auto"/>
                <w:sz w:val="24"/>
                <w:szCs w:val="24"/>
                <w:lang w:eastAsia="zh-CN"/>
              </w:rPr>
              <w:t>护区</w:t>
            </w:r>
            <w:r>
              <w:rPr>
                <w:rFonts w:hint="default" w:ascii="Times New Roman" w:hAnsi="Times New Roman" w:eastAsia="宋体" w:cs="Times New Roman"/>
                <w:color w:val="auto"/>
                <w:sz w:val="24"/>
                <w:szCs w:val="24"/>
              </w:rPr>
              <w:t>、风景名胜区、饮用水源保护区等特殊环境敏感区域</w:t>
            </w:r>
            <w:r>
              <w:rPr>
                <w:rFonts w:hint="eastAsia" w:ascii="Times New Roman" w:hAnsi="Times New Roman" w:eastAsia="宋体" w:cs="Times New Roman"/>
                <w:color w:val="auto"/>
                <w:sz w:val="24"/>
                <w:szCs w:val="24"/>
                <w:lang w:eastAsia="zh-CN"/>
              </w:rPr>
              <w:t>。</w:t>
            </w:r>
            <w:r>
              <w:rPr>
                <w:color w:val="auto"/>
                <w:sz w:val="24"/>
                <w:highlight w:val="none"/>
              </w:rPr>
              <w:t>本项目厂界外</w:t>
            </w:r>
            <w:r>
              <w:rPr>
                <w:rFonts w:hint="default" w:ascii="Times New Roman" w:hAnsi="Times New Roman" w:cs="Times New Roman"/>
                <w:color w:val="auto"/>
                <w:sz w:val="24"/>
                <w:highlight w:val="none"/>
              </w:rPr>
              <w:t>50米</w:t>
            </w:r>
            <w:r>
              <w:rPr>
                <w:color w:val="auto"/>
                <w:sz w:val="24"/>
                <w:highlight w:val="none"/>
              </w:rPr>
              <w:t>范围内</w:t>
            </w:r>
            <w:r>
              <w:rPr>
                <w:rFonts w:hint="eastAsia"/>
                <w:color w:val="auto"/>
                <w:sz w:val="24"/>
                <w:highlight w:val="none"/>
                <w:lang w:eastAsia="zh-CN"/>
              </w:rPr>
              <w:t>无</w:t>
            </w:r>
            <w:r>
              <w:rPr>
                <w:color w:val="auto"/>
                <w:sz w:val="24"/>
                <w:highlight w:val="none"/>
              </w:rPr>
              <w:t>声环境保护目标</w:t>
            </w:r>
            <w:r>
              <w:rPr>
                <w:rFonts w:hint="eastAsia" w:ascii="Times New Roman" w:hAnsi="Times New Roman" w:eastAsia="宋体" w:cs="Times New Roman"/>
                <w:color w:val="auto"/>
                <w:sz w:val="24"/>
                <w:szCs w:val="24"/>
                <w:lang w:eastAsia="zh-CN"/>
              </w:rPr>
              <w:t>。</w:t>
            </w:r>
            <w:r>
              <w:rPr>
                <w:rFonts w:ascii="Times New Roman" w:hAnsi="Times New Roman" w:cs="Times New Roman"/>
                <w:color w:val="auto"/>
                <w:sz w:val="24"/>
                <w:szCs w:val="24"/>
                <w:lang w:eastAsia="zh-CN"/>
              </w:rPr>
              <w:t>本项目厂界外500米范围内无</w:t>
            </w:r>
            <w:r>
              <w:rPr>
                <w:rFonts w:hint="eastAsia" w:ascii="Times New Roman" w:hAnsi="Times New Roman" w:cs="Times New Roman"/>
                <w:color w:val="auto"/>
                <w:sz w:val="24"/>
                <w:szCs w:val="24"/>
                <w:lang w:eastAsia="zh-CN"/>
              </w:rPr>
              <w:t>居住区、文化区及农村地区中人群较集中的区域</w:t>
            </w:r>
            <w:r>
              <w:rPr>
                <w:rFonts w:ascii="Times New Roman" w:hAnsi="Times New Roman" w:cs="Times New Roman"/>
                <w:color w:val="auto"/>
                <w:sz w:val="24"/>
                <w:szCs w:val="24"/>
                <w:lang w:eastAsia="zh-CN"/>
              </w:rPr>
              <w:t>，废气污染物经过废气处理设施处理后达标排放，对周边环境影响较小；本项目厂界外500米范围内无地下水集中式饮用水水源和热水、矿泉水、温泉等特殊地下水资源，对地下水不会产生影响。</w:t>
            </w:r>
            <w:r>
              <w:rPr>
                <w:rFonts w:hint="eastAsia" w:ascii="Times New Roman" w:hAnsi="Times New Roman" w:eastAsia="宋体" w:cs="Times New Roman"/>
                <w:color w:val="auto"/>
                <w:sz w:val="24"/>
                <w:szCs w:val="24"/>
                <w:lang w:eastAsia="zh-CN"/>
              </w:rPr>
              <w:t>因此项目选址合理</w:t>
            </w:r>
            <w:r>
              <w:rPr>
                <w:rFonts w:hint="eastAsia"/>
                <w:color w:val="auto"/>
                <w:sz w:val="24"/>
                <w:highlight w:val="none"/>
              </w:rPr>
              <w:t>。</w:t>
            </w:r>
          </w:p>
          <w:p w14:paraId="0ECC7F41">
            <w:pPr>
              <w:pStyle w:val="59"/>
              <w:ind w:firstLine="0" w:firstLineChars="0"/>
              <w:rPr>
                <w:b/>
                <w:bCs/>
                <w:color w:val="auto"/>
                <w:sz w:val="24"/>
                <w:highlight w:val="none"/>
              </w:rPr>
            </w:pPr>
            <w:r>
              <w:rPr>
                <w:rFonts w:hint="eastAsia"/>
                <w:b/>
                <w:bCs/>
                <w:color w:val="auto"/>
                <w:sz w:val="24"/>
                <w:highlight w:val="none"/>
              </w:rPr>
              <w:t>三、</w:t>
            </w:r>
            <w:r>
              <w:rPr>
                <w:rFonts w:hint="eastAsia"/>
                <w:b/>
                <w:bCs/>
                <w:color w:val="auto"/>
                <w:sz w:val="24"/>
                <w:highlight w:val="none"/>
                <w:lang w:eastAsia="zh-CN"/>
              </w:rPr>
              <w:t>“</w:t>
            </w:r>
            <w:r>
              <w:rPr>
                <w:rFonts w:hint="eastAsia"/>
                <w:b/>
                <w:bCs/>
                <w:color w:val="auto"/>
                <w:sz w:val="24"/>
                <w:highlight w:val="none"/>
                <w:lang w:eastAsia="zh-CN"/>
              </w:rPr>
              <w:t>生态环境分区管控”</w:t>
            </w:r>
            <w:r>
              <w:rPr>
                <w:b/>
                <w:bCs/>
                <w:color w:val="auto"/>
                <w:sz w:val="24"/>
                <w:highlight w:val="none"/>
              </w:rPr>
              <w:t>符合性分析</w:t>
            </w:r>
          </w:p>
          <w:p w14:paraId="6EE46C34">
            <w:pPr>
              <w:pStyle w:val="59"/>
              <w:spacing w:line="360" w:lineRule="auto"/>
              <w:ind w:firstLine="0" w:firstLineChars="0"/>
              <w:rPr>
                <w:color w:val="auto"/>
                <w:sz w:val="24"/>
                <w:highlight w:val="none"/>
              </w:rPr>
            </w:pPr>
            <w:r>
              <w:rPr>
                <w:rFonts w:hint="eastAsia"/>
                <w:color w:val="auto"/>
                <w:sz w:val="24"/>
                <w:highlight w:val="none"/>
                <w:lang w:val="en-US" w:eastAsia="zh-CN"/>
              </w:rPr>
              <w:t>1</w:t>
            </w:r>
            <w:r>
              <w:rPr>
                <w:rFonts w:hint="eastAsia"/>
                <w:color w:val="auto"/>
                <w:sz w:val="24"/>
                <w:highlight w:val="none"/>
              </w:rPr>
              <w:t>、</w:t>
            </w:r>
            <w:r>
              <w:rPr>
                <w:b/>
                <w:color w:val="auto"/>
                <w:sz w:val="24"/>
                <w:highlight w:val="none"/>
              </w:rPr>
              <w:t>与</w:t>
            </w:r>
            <w:r>
              <w:rPr>
                <w:rFonts w:ascii="Times New Roman" w:hAnsi="Times New Roman" w:eastAsia="宋体" w:cs="Times New Roman"/>
                <w:b/>
                <w:color w:val="auto"/>
                <w:sz w:val="24"/>
                <w:highlight w:val="none"/>
              </w:rPr>
              <w:t>《关于发布抚顺市生态环境分区管控动态更新成果的通知》</w:t>
            </w:r>
            <w:r>
              <w:rPr>
                <w:rFonts w:hint="eastAsia" w:ascii="Times New Roman" w:hAnsi="Times New Roman" w:eastAsia="宋体" w:cs="Times New Roman"/>
                <w:b/>
                <w:color w:val="auto"/>
                <w:sz w:val="24"/>
                <w:highlight w:val="none"/>
                <w:lang w:eastAsia="zh-CN"/>
              </w:rPr>
              <w:t>，</w:t>
            </w:r>
            <w:r>
              <w:rPr>
                <w:rFonts w:ascii="Times New Roman" w:hAnsi="Times New Roman" w:eastAsia="宋体" w:cs="Times New Roman"/>
                <w:b/>
                <w:color w:val="auto"/>
                <w:sz w:val="24"/>
                <w:highlight w:val="none"/>
              </w:rPr>
              <w:t>抚环发〔2024〕144号</w:t>
            </w:r>
            <w:r>
              <w:rPr>
                <w:b/>
                <w:color w:val="auto"/>
                <w:sz w:val="24"/>
                <w:highlight w:val="none"/>
              </w:rPr>
              <w:t>符合性分析</w:t>
            </w:r>
          </w:p>
          <w:p w14:paraId="0092013F">
            <w:pPr>
              <w:pStyle w:val="59"/>
              <w:ind w:firstLine="480"/>
              <w:rPr>
                <w:color w:val="auto"/>
                <w:sz w:val="24"/>
                <w:highlight w:val="none"/>
              </w:rPr>
            </w:pPr>
            <w:r>
              <w:rPr>
                <w:color w:val="auto"/>
                <w:sz w:val="24"/>
                <w:highlight w:val="none"/>
              </w:rPr>
              <w:t>根据抚顺市生态环境局印</w:t>
            </w:r>
            <w:r>
              <w:rPr>
                <w:b w:val="0"/>
                <w:bCs w:val="0"/>
                <w:color w:val="auto"/>
                <w:sz w:val="24"/>
                <w:highlight w:val="none"/>
              </w:rPr>
              <w:t>发</w:t>
            </w:r>
            <w:r>
              <w:rPr>
                <w:rFonts w:ascii="Times New Roman" w:hAnsi="Times New Roman" w:eastAsia="宋体" w:cs="Times New Roman"/>
                <w:b w:val="0"/>
                <w:bCs w:val="0"/>
                <w:color w:val="auto"/>
                <w:sz w:val="24"/>
                <w:highlight w:val="none"/>
              </w:rPr>
              <w:t>《关于发布抚顺市生态环境分区管控动态更新成果的通知》抚环发〔2024〕144号</w:t>
            </w:r>
            <w:r>
              <w:rPr>
                <w:b w:val="0"/>
                <w:bCs w:val="0"/>
                <w:color w:val="auto"/>
                <w:sz w:val="24"/>
                <w:highlight w:val="none"/>
              </w:rPr>
              <w:t>，</w:t>
            </w:r>
            <w:r>
              <w:rPr>
                <w:color w:val="auto"/>
                <w:sz w:val="24"/>
                <w:highlight w:val="none"/>
              </w:rPr>
              <w:t>本项目与《</w:t>
            </w:r>
            <w:r>
              <w:rPr>
                <w:color w:val="auto"/>
                <w:kern w:val="0"/>
                <w:sz w:val="24"/>
                <w:highlight w:val="none"/>
                <w:lang w:bidi="ar"/>
              </w:rPr>
              <w:t>抚顺市生态环境管控基本要求</w:t>
            </w:r>
            <w:r>
              <w:rPr>
                <w:color w:val="auto"/>
                <w:sz w:val="24"/>
                <w:highlight w:val="none"/>
              </w:rPr>
              <w:t>》符合性分析见表</w:t>
            </w:r>
            <w:r>
              <w:rPr>
                <w:rFonts w:hint="eastAsia"/>
                <w:bCs/>
                <w:color w:val="auto"/>
                <w:sz w:val="24"/>
                <w:highlight w:val="none"/>
              </w:rPr>
              <w:t>1</w:t>
            </w:r>
            <w:r>
              <w:rPr>
                <w:bCs/>
                <w:color w:val="auto"/>
                <w:sz w:val="24"/>
                <w:highlight w:val="none"/>
              </w:rPr>
              <w:t>-</w:t>
            </w:r>
            <w:r>
              <w:rPr>
                <w:rFonts w:hint="eastAsia"/>
                <w:bCs/>
                <w:color w:val="auto"/>
                <w:sz w:val="24"/>
                <w:highlight w:val="none"/>
                <w:lang w:val="en-US" w:eastAsia="zh-CN"/>
              </w:rPr>
              <w:t>5</w:t>
            </w:r>
            <w:r>
              <w:rPr>
                <w:color w:val="auto"/>
                <w:sz w:val="24"/>
                <w:highlight w:val="none"/>
              </w:rPr>
              <w:t>，与《</w:t>
            </w:r>
            <w:r>
              <w:rPr>
                <w:rFonts w:hint="eastAsia"/>
                <w:color w:val="auto"/>
                <w:sz w:val="24"/>
                <w:highlight w:val="none"/>
                <w:lang w:eastAsia="zh-CN"/>
              </w:rPr>
              <w:t>抚顺县</w:t>
            </w:r>
            <w:r>
              <w:rPr>
                <w:color w:val="auto"/>
                <w:sz w:val="24"/>
                <w:highlight w:val="none"/>
              </w:rPr>
              <w:t>生态环境总体准入要求》符合性分析见表</w:t>
            </w:r>
            <w:r>
              <w:rPr>
                <w:rFonts w:hint="eastAsia"/>
                <w:bCs/>
                <w:color w:val="auto"/>
                <w:sz w:val="24"/>
                <w:highlight w:val="none"/>
              </w:rPr>
              <w:t>1</w:t>
            </w:r>
            <w:r>
              <w:rPr>
                <w:bCs/>
                <w:color w:val="auto"/>
                <w:sz w:val="24"/>
                <w:highlight w:val="none"/>
              </w:rPr>
              <w:t>-</w:t>
            </w:r>
            <w:r>
              <w:rPr>
                <w:rFonts w:hint="eastAsia"/>
                <w:bCs/>
                <w:color w:val="auto"/>
                <w:sz w:val="24"/>
                <w:highlight w:val="none"/>
                <w:lang w:val="en-US" w:eastAsia="zh-CN"/>
              </w:rPr>
              <w:t>6</w:t>
            </w:r>
            <w:r>
              <w:rPr>
                <w:color w:val="auto"/>
                <w:sz w:val="24"/>
                <w:highlight w:val="none"/>
              </w:rPr>
              <w:t>，与《</w:t>
            </w:r>
            <w:r>
              <w:rPr>
                <w:rFonts w:hint="eastAsia"/>
                <w:color w:val="auto"/>
                <w:sz w:val="24"/>
                <w:highlight w:val="none"/>
                <w:lang w:eastAsia="zh-CN"/>
              </w:rPr>
              <w:t>抚顺县</w:t>
            </w:r>
            <w:r>
              <w:rPr>
                <w:color w:val="auto"/>
                <w:sz w:val="24"/>
                <w:highlight w:val="none"/>
              </w:rPr>
              <w:t>环境管控单元准入清单》符合性分析见表</w:t>
            </w:r>
            <w:r>
              <w:rPr>
                <w:rFonts w:hint="eastAsia"/>
                <w:bCs/>
                <w:color w:val="auto"/>
                <w:sz w:val="24"/>
                <w:highlight w:val="none"/>
              </w:rPr>
              <w:t>1</w:t>
            </w:r>
            <w:r>
              <w:rPr>
                <w:bCs/>
                <w:color w:val="auto"/>
                <w:sz w:val="24"/>
                <w:highlight w:val="none"/>
              </w:rPr>
              <w:t>-</w:t>
            </w:r>
            <w:r>
              <w:rPr>
                <w:rFonts w:hint="eastAsia"/>
                <w:bCs/>
                <w:color w:val="auto"/>
                <w:sz w:val="24"/>
                <w:highlight w:val="none"/>
                <w:lang w:val="en-US" w:eastAsia="zh-CN"/>
              </w:rPr>
              <w:t>7</w:t>
            </w:r>
            <w:r>
              <w:rPr>
                <w:color w:val="auto"/>
                <w:sz w:val="24"/>
                <w:highlight w:val="none"/>
              </w:rPr>
              <w:t>。</w:t>
            </w:r>
          </w:p>
          <w:p w14:paraId="6410A0FE">
            <w:pPr>
              <w:pStyle w:val="75"/>
              <w:keepNext w:val="0"/>
              <w:keepLines w:val="0"/>
              <w:pageBreakBefore w:val="0"/>
              <w:widowControl w:val="0"/>
              <w:numPr>
                <w:ilvl w:val="0"/>
                <w:numId w:val="4"/>
              </w:numPr>
              <w:kinsoku/>
              <w:wordWrap/>
              <w:overflowPunct/>
              <w:topLinePunct w:val="0"/>
              <w:autoSpaceDE/>
              <w:autoSpaceDN/>
              <w:bidi w:val="0"/>
              <w:adjustRightInd/>
              <w:snapToGrid/>
              <w:spacing w:line="360" w:lineRule="auto"/>
              <w:ind w:left="0" w:leftChars="0" w:firstLine="0" w:firstLineChars="0"/>
              <w:jc w:val="center"/>
              <w:textAlignment w:val="auto"/>
              <w:rPr>
                <w:rFonts w:hint="eastAsia" w:ascii="Times New Roman" w:hAnsi="Times New Roman" w:eastAsia="宋体" w:cs="Times New Roman"/>
                <w:b/>
                <w:bCs/>
                <w:color w:val="auto"/>
                <w:sz w:val="21"/>
                <w:szCs w:val="21"/>
                <w:lang w:val="en-US" w:eastAsia="zh-CN"/>
              </w:rPr>
            </w:pPr>
            <w:r>
              <w:rPr>
                <w:rFonts w:hint="eastAsia" w:ascii="Times New Roman" w:hAnsi="Times New Roman" w:eastAsia="宋体" w:cs="Times New Roman"/>
                <w:b/>
                <w:bCs/>
                <w:color w:val="auto"/>
                <w:sz w:val="21"/>
                <w:szCs w:val="21"/>
                <w:lang w:val="en-US" w:eastAsia="zh-CN"/>
              </w:rPr>
              <w:t xml:space="preserve">  抚顺市生态环境管控基本要求</w:t>
            </w:r>
          </w:p>
          <w:tbl>
            <w:tblPr>
              <w:tblStyle w:val="25"/>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6"/>
              <w:gridCol w:w="3877"/>
              <w:gridCol w:w="2153"/>
              <w:gridCol w:w="426"/>
            </w:tblGrid>
            <w:tr w14:paraId="0DF665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5" w:type="pct"/>
                  <w:noWrap w:val="0"/>
                  <w:vAlign w:val="center"/>
                </w:tcPr>
                <w:p w14:paraId="76FA1104">
                  <w:pPr>
                    <w:widowControl/>
                    <w:spacing w:line="240" w:lineRule="auto"/>
                    <w:jc w:val="center"/>
                    <w:rPr>
                      <w:color w:val="auto"/>
                      <w:szCs w:val="21"/>
                      <w:highlight w:val="none"/>
                    </w:rPr>
                  </w:pPr>
                  <w:r>
                    <w:rPr>
                      <w:color w:val="auto"/>
                      <w:kern w:val="0"/>
                      <w:szCs w:val="21"/>
                      <w:highlight w:val="none"/>
                      <w:lang w:bidi="ar"/>
                    </w:rPr>
                    <w:t>管控维度</w:t>
                  </w:r>
                </w:p>
              </w:tc>
              <w:tc>
                <w:tcPr>
                  <w:tcW w:w="3169" w:type="pct"/>
                  <w:noWrap w:val="0"/>
                  <w:vAlign w:val="center"/>
                </w:tcPr>
                <w:p w14:paraId="6D8E0C67">
                  <w:pPr>
                    <w:widowControl/>
                    <w:spacing w:line="240" w:lineRule="auto"/>
                    <w:jc w:val="center"/>
                    <w:rPr>
                      <w:color w:val="auto"/>
                      <w:szCs w:val="21"/>
                      <w:highlight w:val="none"/>
                    </w:rPr>
                  </w:pPr>
                  <w:r>
                    <w:rPr>
                      <w:color w:val="auto"/>
                      <w:kern w:val="0"/>
                      <w:szCs w:val="21"/>
                      <w:highlight w:val="none"/>
                      <w:lang w:bidi="ar"/>
                    </w:rPr>
                    <w:t>管控要求</w:t>
                  </w:r>
                </w:p>
              </w:tc>
              <w:tc>
                <w:tcPr>
                  <w:tcW w:w="932" w:type="pct"/>
                  <w:noWrap w:val="0"/>
                  <w:vAlign w:val="center"/>
                </w:tcPr>
                <w:p w14:paraId="113EAF6B">
                  <w:pPr>
                    <w:pStyle w:val="13"/>
                    <w:spacing w:line="240" w:lineRule="auto"/>
                    <w:jc w:val="center"/>
                    <w:rPr>
                      <w:rFonts w:ascii="Times New Roman" w:hAnsi="Times New Roman"/>
                      <w:color w:val="auto"/>
                      <w:szCs w:val="21"/>
                      <w:highlight w:val="none"/>
                    </w:rPr>
                  </w:pPr>
                  <w:r>
                    <w:rPr>
                      <w:rFonts w:ascii="Times New Roman" w:hAnsi="Times New Roman"/>
                      <w:color w:val="auto"/>
                      <w:szCs w:val="21"/>
                      <w:highlight w:val="none"/>
                    </w:rPr>
                    <w:t>本项目情况</w:t>
                  </w:r>
                </w:p>
              </w:tc>
              <w:tc>
                <w:tcPr>
                  <w:tcW w:w="342" w:type="pct"/>
                  <w:noWrap w:val="0"/>
                  <w:vAlign w:val="center"/>
                </w:tcPr>
                <w:p w14:paraId="60E570C8">
                  <w:pPr>
                    <w:pStyle w:val="13"/>
                    <w:spacing w:line="240" w:lineRule="auto"/>
                    <w:jc w:val="center"/>
                    <w:rPr>
                      <w:rFonts w:ascii="Times New Roman" w:hAnsi="Times New Roman"/>
                      <w:color w:val="auto"/>
                      <w:szCs w:val="21"/>
                      <w:highlight w:val="none"/>
                    </w:rPr>
                  </w:pPr>
                  <w:r>
                    <w:rPr>
                      <w:rFonts w:ascii="Times New Roman" w:hAnsi="Times New Roman"/>
                      <w:color w:val="auto"/>
                      <w:szCs w:val="21"/>
                      <w:highlight w:val="none"/>
                    </w:rPr>
                    <w:t>符合性</w:t>
                  </w:r>
                </w:p>
              </w:tc>
            </w:tr>
            <w:tr w14:paraId="3F10B2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5" w:type="pct"/>
                  <w:noWrap w:val="0"/>
                  <w:vAlign w:val="center"/>
                </w:tcPr>
                <w:p w14:paraId="21C816CB">
                  <w:pPr>
                    <w:widowControl/>
                    <w:spacing w:line="240" w:lineRule="auto"/>
                    <w:jc w:val="center"/>
                    <w:rPr>
                      <w:color w:val="auto"/>
                      <w:szCs w:val="21"/>
                      <w:highlight w:val="none"/>
                    </w:rPr>
                  </w:pPr>
                  <w:r>
                    <w:rPr>
                      <w:color w:val="auto"/>
                      <w:kern w:val="0"/>
                      <w:szCs w:val="21"/>
                      <w:highlight w:val="none"/>
                      <w:lang w:bidi="ar"/>
                    </w:rPr>
                    <w:t>空间布局约束</w:t>
                  </w:r>
                </w:p>
              </w:tc>
              <w:tc>
                <w:tcPr>
                  <w:tcW w:w="3169" w:type="pct"/>
                  <w:noWrap w:val="0"/>
                  <w:vAlign w:val="center"/>
                </w:tcPr>
                <w:p w14:paraId="7FF7DBDA">
                  <w:pPr>
                    <w:widowControl/>
                    <w:spacing w:line="240" w:lineRule="auto"/>
                    <w:rPr>
                      <w:rFonts w:ascii="Times New Roman" w:hAnsi="Times New Roman" w:eastAsia="宋体" w:cs="Times New Roman"/>
                      <w:color w:val="auto"/>
                      <w:kern w:val="0"/>
                      <w:szCs w:val="21"/>
                      <w:highlight w:val="none"/>
                      <w:lang w:bidi="ar"/>
                    </w:rPr>
                  </w:pPr>
                  <w:r>
                    <w:rPr>
                      <w:rFonts w:ascii="Times New Roman" w:hAnsi="Times New Roman" w:eastAsia="宋体" w:cs="Times New Roman"/>
                      <w:color w:val="auto"/>
                      <w:kern w:val="0"/>
                      <w:szCs w:val="21"/>
                      <w:highlight w:val="none"/>
                      <w:lang w:bidi="ar"/>
                    </w:rPr>
                    <w:t>1.</w:t>
                  </w:r>
                  <w:r>
                    <w:rPr>
                      <w:rFonts w:ascii="Times New Roman" w:hAnsi="Times New Roman" w:eastAsia="宋体" w:cs="Times New Roman"/>
                      <w:color w:val="auto"/>
                      <w:kern w:val="0"/>
                      <w:szCs w:val="21"/>
                      <w:highlight w:val="none"/>
                      <w:lang w:val="en-US" w:eastAsia="zh-CN" w:bidi="ar"/>
                    </w:rPr>
                    <w:t>禁止在自然保护区内进行砍伐、放牧、狩猎、捕捞、采药、开垦、烧荒、开矿、采石、挖沙等活动；但是，法律、行政法规另有规定的除外；禁止任何人</w:t>
                  </w:r>
                  <w:r>
                    <w:rPr>
                      <w:rFonts w:hint="eastAsia" w:ascii="Times New Roman" w:hAnsi="Times New Roman" w:eastAsia="宋体" w:cs="Times New Roman"/>
                      <w:color w:val="auto"/>
                      <w:kern w:val="0"/>
                      <w:szCs w:val="21"/>
                      <w:highlight w:val="none"/>
                      <w:lang w:val="en-US" w:eastAsia="zh-CN" w:bidi="ar"/>
                    </w:rPr>
                    <w:t>进入自然保护区的核心区。因科学研究的需要，必须进入核心区从事科学研究观测、调查活动的，应当事先向自然保护区管理机构提交申请和活动计划，并经自然保护区管理机构批准；禁止在自然保护区的缓冲区开展旅游和生产经营活动。因教学科研的目的，需要进入自然保护区的缓冲区从事非破坏性的科学研究、教学实习和标本采集活动的，应当事先向自然保护区管理机构提交申请和活动计划，经自然保护区管理机构批准。在自然保护区的核心区和缓冲区内，不得建设任何生产设施。在自然保护区的实验区内，不得建设污染环境、破坏资源或者景观的生产设施；建设其他项目，其污染物排放不得超过国家和地方规定的污染物排放标准。在自然保护区的实验区内已经建成的设施，其污染物排放超过国家和地方规定的排放标准的，应当限期治理；造成损害的，必须采取补救措施。</w:t>
                  </w:r>
                </w:p>
                <w:p w14:paraId="1B50DCD5">
                  <w:pPr>
                    <w:widowControl/>
                    <w:spacing w:line="240" w:lineRule="auto"/>
                    <w:rPr>
                      <w:rFonts w:ascii="Times New Roman" w:hAnsi="Times New Roman" w:eastAsia="宋体" w:cs="Times New Roman"/>
                      <w:color w:val="auto"/>
                      <w:kern w:val="0"/>
                      <w:szCs w:val="21"/>
                      <w:highlight w:val="none"/>
                      <w:lang w:bidi="ar"/>
                    </w:rPr>
                  </w:pPr>
                  <w:r>
                    <w:rPr>
                      <w:rFonts w:ascii="Times New Roman" w:hAnsi="Times New Roman" w:eastAsia="宋体" w:cs="Times New Roman"/>
                      <w:color w:val="auto"/>
                      <w:kern w:val="0"/>
                      <w:szCs w:val="21"/>
                      <w:highlight w:val="none"/>
                      <w:lang w:bidi="ar"/>
                    </w:rPr>
                    <w:t>2.</w:t>
                  </w:r>
                  <w:r>
                    <w:rPr>
                      <w:rFonts w:ascii="Times New Roman" w:hAnsi="Times New Roman" w:eastAsia="宋体" w:cs="Times New Roman"/>
                      <w:color w:val="auto"/>
                      <w:kern w:val="0"/>
                      <w:szCs w:val="21"/>
                      <w:highlight w:val="none"/>
                      <w:lang w:val="en-US" w:eastAsia="zh-CN" w:bidi="ar"/>
                    </w:rPr>
                    <w:t>生态保护红线区内原则上禁止人为活动，在符合现行法律法规前提下，除国家重大战略项目外，仅允许对生态功能不造成破坏的有限人为活动，主要包</w:t>
                  </w:r>
                  <w:r>
                    <w:rPr>
                      <w:rFonts w:hint="eastAsia" w:ascii="Times New Roman" w:hAnsi="Times New Roman" w:eastAsia="宋体" w:cs="Times New Roman"/>
                      <w:color w:val="auto"/>
                      <w:kern w:val="0"/>
                      <w:szCs w:val="21"/>
                      <w:highlight w:val="none"/>
                      <w:lang w:val="en-US" w:eastAsia="zh-CN" w:bidi="ar"/>
                    </w:rPr>
                    <w:t>括：零星的原住民在不扩大现有建设用地和耕地规模前提下，修缮生产生活设施，保留生活必需的少量种植、放牧、捕捞、养殖；因国家重大能源资源安全需要开展的战略性能源资源勘查，公益性自然资源调查和地质勘查；自然资源、生态环境监测和执法包括水文水资源监测及涉水违法事件的查处等，灾害防治和应急抢险活动；经依法批准进行的非破坏性科学研究观测、标本采集；经依法批准的考古调查发掘和文物保护活动；不破坏生态功能的适度参观旅游和相关的必要公共设施建设；必须且无法避让、符合县级以上国土空间规划的线性基础设施建设、防洪和供水设施建设与运行维护；重要生态修复工程。一般生态空间严格禁止开发性、生产性建设活动。</w:t>
                  </w:r>
                </w:p>
                <w:p w14:paraId="4D220B94">
                  <w:pPr>
                    <w:widowControl/>
                    <w:spacing w:line="240" w:lineRule="auto"/>
                    <w:rPr>
                      <w:rFonts w:ascii="Times New Roman" w:hAnsi="Times New Roman" w:eastAsia="宋体" w:cs="Times New Roman"/>
                      <w:color w:val="auto"/>
                      <w:kern w:val="0"/>
                      <w:szCs w:val="21"/>
                      <w:highlight w:val="none"/>
                      <w:lang w:bidi="ar"/>
                    </w:rPr>
                  </w:pPr>
                  <w:r>
                    <w:rPr>
                      <w:rFonts w:ascii="Times New Roman" w:hAnsi="Times New Roman" w:eastAsia="宋体" w:cs="Times New Roman"/>
                      <w:color w:val="auto"/>
                      <w:kern w:val="0"/>
                      <w:szCs w:val="21"/>
                      <w:highlight w:val="none"/>
                      <w:lang w:bidi="ar"/>
                    </w:rPr>
                    <w:t>3.</w:t>
                  </w:r>
                  <w:r>
                    <w:rPr>
                      <w:rFonts w:ascii="Times New Roman" w:hAnsi="Times New Roman" w:eastAsia="宋体" w:cs="Times New Roman"/>
                      <w:color w:val="auto"/>
                      <w:kern w:val="0"/>
                      <w:szCs w:val="21"/>
                      <w:highlight w:val="none"/>
                      <w:lang w:val="en-US" w:eastAsia="zh-CN" w:bidi="ar"/>
                    </w:rPr>
                    <w:t>饮用水水源保护区：准保护区内禁止新建、扩建对水体污染严重的建设项目；禁止法律、法规规定的其他可能污染准保护区内水源的活动。二级保护区内</w:t>
                  </w:r>
                  <w:r>
                    <w:rPr>
                      <w:rFonts w:hint="eastAsia" w:ascii="Times New Roman" w:hAnsi="Times New Roman" w:eastAsia="宋体" w:cs="Times New Roman"/>
                      <w:color w:val="auto"/>
                      <w:kern w:val="0"/>
                      <w:szCs w:val="21"/>
                      <w:highlight w:val="none"/>
                      <w:lang w:val="en-US" w:eastAsia="zh-CN" w:bidi="ar"/>
                    </w:rPr>
                    <w:t>禁止新建、改建、扩建排放污染物的建设项目；禁止设置排污口；禁止建设畜禽养殖场、养殖小区；禁止新设探矿、采矿项目；禁止法律、法规规定的其他可能污染二级保护区内水源的活动。一级保护区内禁止新建、扩建、改建与供水设施和保护水源无关的建设项目；禁止可能造成水体污染的船舶通行以及设置码头；禁止从事网箱养殖、旅游、游泳、垂钓、种植农作物；禁止采石、挖砂、取土；禁止设置油库；禁止建立墓地和掩埋动物尸体；禁止法律、法规规定的其他可能污染一级保护区内水源的活动。</w:t>
                  </w:r>
                </w:p>
                <w:p w14:paraId="1C4CF563">
                  <w:pPr>
                    <w:widowControl/>
                    <w:spacing w:line="240" w:lineRule="auto"/>
                    <w:rPr>
                      <w:rFonts w:ascii="Times New Roman" w:hAnsi="Times New Roman" w:eastAsia="宋体" w:cs="Times New Roman"/>
                      <w:color w:val="auto"/>
                      <w:kern w:val="0"/>
                      <w:szCs w:val="21"/>
                      <w:highlight w:val="none"/>
                      <w:lang w:bidi="ar"/>
                    </w:rPr>
                  </w:pPr>
                  <w:r>
                    <w:rPr>
                      <w:rFonts w:ascii="Times New Roman" w:hAnsi="Times New Roman" w:eastAsia="宋体" w:cs="Times New Roman"/>
                      <w:color w:val="auto"/>
                      <w:kern w:val="0"/>
                      <w:szCs w:val="21"/>
                      <w:highlight w:val="none"/>
                      <w:lang w:bidi="ar"/>
                    </w:rPr>
                    <w:t>4.</w:t>
                  </w:r>
                  <w:r>
                    <w:rPr>
                      <w:rFonts w:ascii="Times New Roman" w:hAnsi="Times New Roman" w:eastAsia="宋体" w:cs="Times New Roman"/>
                      <w:color w:val="auto"/>
                      <w:kern w:val="0"/>
                      <w:szCs w:val="21"/>
                      <w:highlight w:val="none"/>
                      <w:lang w:val="en-US" w:eastAsia="zh-CN" w:bidi="ar"/>
                    </w:rPr>
                    <w:t>新上</w:t>
                  </w:r>
                  <w:r>
                    <w:rPr>
                      <w:rFonts w:hint="eastAsia" w:ascii="Times New Roman" w:hAnsi="Times New Roman" w:eastAsia="宋体" w:cs="Times New Roman"/>
                      <w:color w:val="auto"/>
                      <w:kern w:val="0"/>
                      <w:szCs w:val="21"/>
                      <w:highlight w:val="none"/>
                      <w:lang w:val="en-US" w:eastAsia="zh-CN" w:bidi="ar"/>
                    </w:rPr>
                    <w:t>“</w:t>
                  </w:r>
                  <w:r>
                    <w:rPr>
                      <w:rFonts w:ascii="Times New Roman" w:hAnsi="Times New Roman" w:eastAsia="宋体" w:cs="Times New Roman"/>
                      <w:color w:val="auto"/>
                      <w:kern w:val="0"/>
                      <w:szCs w:val="21"/>
                      <w:highlight w:val="none"/>
                      <w:lang w:val="en-US" w:eastAsia="zh-CN" w:bidi="ar"/>
                    </w:rPr>
                    <w:t>两高</w:t>
                  </w:r>
                  <w:r>
                    <w:rPr>
                      <w:rFonts w:hint="eastAsia" w:ascii="Times New Roman" w:hAnsi="Times New Roman" w:eastAsia="宋体" w:cs="Times New Roman"/>
                      <w:color w:val="auto"/>
                      <w:kern w:val="0"/>
                      <w:szCs w:val="21"/>
                      <w:highlight w:val="none"/>
                      <w:lang w:val="en-US" w:eastAsia="zh-CN" w:bidi="ar"/>
                    </w:rPr>
                    <w:t>”</w:t>
                  </w:r>
                  <w:r>
                    <w:rPr>
                      <w:rFonts w:ascii="Times New Roman" w:hAnsi="Times New Roman" w:eastAsia="宋体" w:cs="Times New Roman"/>
                      <w:color w:val="auto"/>
                      <w:kern w:val="0"/>
                      <w:szCs w:val="21"/>
                      <w:highlight w:val="none"/>
                      <w:lang w:val="en-US" w:eastAsia="zh-CN" w:bidi="ar"/>
                    </w:rPr>
                    <w:t>项目必须符合国家产业政策且能效达到行业先进水平，属于限制类和淘汰类的新建项目，一律不予审批、核准；属于限制类技术改造的</w:t>
                  </w:r>
                  <w:r>
                    <w:rPr>
                      <w:rFonts w:hint="eastAsia" w:ascii="Times New Roman" w:hAnsi="Times New Roman" w:eastAsia="宋体" w:cs="Times New Roman"/>
                      <w:color w:val="auto"/>
                      <w:kern w:val="0"/>
                      <w:szCs w:val="21"/>
                      <w:highlight w:val="none"/>
                      <w:lang w:val="en-US" w:eastAsia="zh-CN" w:bidi="ar"/>
                    </w:rPr>
                    <w:t>“</w:t>
                  </w:r>
                  <w:r>
                    <w:rPr>
                      <w:rFonts w:ascii="Times New Roman" w:hAnsi="Times New Roman" w:eastAsia="宋体" w:cs="Times New Roman"/>
                      <w:color w:val="auto"/>
                      <w:kern w:val="0"/>
                      <w:szCs w:val="21"/>
                      <w:highlight w:val="none"/>
                      <w:lang w:val="en-US" w:eastAsia="zh-CN" w:bidi="ar"/>
                    </w:rPr>
                    <w:t>两</w:t>
                  </w:r>
                  <w:r>
                    <w:rPr>
                      <w:rFonts w:hint="eastAsia" w:ascii="Times New Roman" w:hAnsi="Times New Roman" w:eastAsia="宋体" w:cs="Times New Roman"/>
                      <w:color w:val="auto"/>
                      <w:kern w:val="0"/>
                      <w:szCs w:val="21"/>
                      <w:highlight w:val="none"/>
                      <w:lang w:val="en-US" w:eastAsia="zh-CN" w:bidi="ar"/>
                    </w:rPr>
                    <w:t>高”项目，确保耗能量、排放量只减不增。</w:t>
                  </w:r>
                </w:p>
                <w:p w14:paraId="3F587AEF">
                  <w:pPr>
                    <w:widowControl/>
                    <w:spacing w:line="240" w:lineRule="auto"/>
                    <w:rPr>
                      <w:rFonts w:ascii="Times New Roman" w:hAnsi="Times New Roman" w:eastAsia="宋体" w:cs="Times New Roman"/>
                      <w:color w:val="auto"/>
                      <w:kern w:val="0"/>
                      <w:szCs w:val="21"/>
                      <w:highlight w:val="none"/>
                      <w:lang w:bidi="ar"/>
                    </w:rPr>
                  </w:pPr>
                  <w:r>
                    <w:rPr>
                      <w:rFonts w:ascii="Times New Roman" w:hAnsi="Times New Roman" w:eastAsia="宋体" w:cs="Times New Roman"/>
                      <w:color w:val="auto"/>
                      <w:kern w:val="0"/>
                      <w:szCs w:val="21"/>
                      <w:highlight w:val="none"/>
                      <w:lang w:bidi="ar"/>
                    </w:rPr>
                    <w:t>5.</w:t>
                  </w:r>
                  <w:r>
                    <w:rPr>
                      <w:rFonts w:ascii="Times New Roman" w:hAnsi="Times New Roman" w:eastAsia="宋体" w:cs="Times New Roman"/>
                      <w:color w:val="auto"/>
                      <w:kern w:val="0"/>
                      <w:szCs w:val="21"/>
                      <w:highlight w:val="none"/>
                      <w:lang w:val="en-US" w:eastAsia="zh-CN" w:bidi="ar"/>
                    </w:rPr>
                    <w:t>严格建设项目环境准入，提高挥发性有机物（</w:t>
                  </w:r>
                  <w:r>
                    <w:rPr>
                      <w:rFonts w:hint="default" w:ascii="Times New Roman" w:hAnsi="Times New Roman" w:eastAsia="宋体" w:cs="Times New Roman"/>
                      <w:color w:val="auto"/>
                      <w:kern w:val="0"/>
                      <w:szCs w:val="21"/>
                      <w:highlight w:val="none"/>
                      <w:lang w:val="en-US" w:eastAsia="zh-CN" w:bidi="ar"/>
                    </w:rPr>
                    <w:t>VOCs</w:t>
                  </w:r>
                  <w:r>
                    <w:rPr>
                      <w:rFonts w:hint="eastAsia" w:ascii="Times New Roman" w:hAnsi="Times New Roman" w:eastAsia="宋体" w:cs="Times New Roman"/>
                      <w:color w:val="auto"/>
                      <w:kern w:val="0"/>
                      <w:szCs w:val="21"/>
                      <w:highlight w:val="none"/>
                      <w:lang w:val="en-US" w:eastAsia="zh-CN" w:bidi="ar"/>
                    </w:rPr>
                    <w:t>）排放重点行业环保准入门槛，严格控制新增</w:t>
                  </w:r>
                  <w:r>
                    <w:rPr>
                      <w:rFonts w:hint="default" w:ascii="Times New Roman" w:hAnsi="Times New Roman" w:eastAsia="宋体" w:cs="Times New Roman"/>
                      <w:color w:val="auto"/>
                      <w:kern w:val="0"/>
                      <w:szCs w:val="21"/>
                      <w:highlight w:val="none"/>
                      <w:lang w:val="en-US" w:eastAsia="zh-CN" w:bidi="ar"/>
                    </w:rPr>
                    <w:t>VOCs</w:t>
                  </w:r>
                  <w:r>
                    <w:rPr>
                      <w:rFonts w:hint="eastAsia" w:ascii="Times New Roman" w:hAnsi="Times New Roman" w:eastAsia="宋体" w:cs="Times New Roman"/>
                      <w:color w:val="auto"/>
                      <w:kern w:val="0"/>
                      <w:szCs w:val="21"/>
                      <w:highlight w:val="none"/>
                      <w:lang w:val="en-US" w:eastAsia="zh-CN" w:bidi="ar"/>
                    </w:rPr>
                    <w:t>排放量。对于新建涉</w:t>
                  </w:r>
                  <w:r>
                    <w:rPr>
                      <w:rFonts w:hint="default" w:ascii="Times New Roman" w:hAnsi="Times New Roman" w:eastAsia="宋体" w:cs="Times New Roman"/>
                      <w:color w:val="auto"/>
                      <w:kern w:val="0"/>
                      <w:szCs w:val="21"/>
                      <w:highlight w:val="none"/>
                      <w:lang w:val="en-US" w:eastAsia="zh-CN" w:bidi="ar"/>
                    </w:rPr>
                    <w:t>VOCs</w:t>
                  </w:r>
                  <w:r>
                    <w:rPr>
                      <w:rFonts w:hint="eastAsia" w:ascii="Times New Roman" w:hAnsi="Times New Roman" w:eastAsia="宋体" w:cs="Times New Roman"/>
                      <w:color w:val="auto"/>
                      <w:kern w:val="0"/>
                      <w:szCs w:val="21"/>
                      <w:highlight w:val="none"/>
                      <w:lang w:val="en-US" w:eastAsia="zh-CN" w:bidi="ar"/>
                    </w:rPr>
                    <w:t>排放的工业企业，应按照建设项目环境影响评价以及产业园区规划环评等要求合理布局。</w:t>
                  </w:r>
                </w:p>
                <w:p w14:paraId="160A1A3D">
                  <w:pPr>
                    <w:widowControl/>
                    <w:spacing w:line="240" w:lineRule="auto"/>
                    <w:rPr>
                      <w:rFonts w:ascii="Times New Roman" w:hAnsi="Times New Roman" w:eastAsia="宋体" w:cs="Times New Roman"/>
                      <w:color w:val="auto"/>
                      <w:kern w:val="0"/>
                      <w:szCs w:val="21"/>
                      <w:highlight w:val="none"/>
                      <w:lang w:bidi="ar"/>
                    </w:rPr>
                  </w:pPr>
                  <w:r>
                    <w:rPr>
                      <w:rFonts w:ascii="Times New Roman" w:hAnsi="Times New Roman" w:eastAsia="宋体" w:cs="Times New Roman"/>
                      <w:color w:val="auto"/>
                      <w:kern w:val="0"/>
                      <w:szCs w:val="21"/>
                      <w:highlight w:val="none"/>
                      <w:lang w:bidi="ar"/>
                    </w:rPr>
                    <w:t>6.</w:t>
                  </w:r>
                  <w:r>
                    <w:rPr>
                      <w:rFonts w:ascii="Times New Roman" w:hAnsi="Times New Roman" w:eastAsia="宋体" w:cs="Times New Roman"/>
                      <w:color w:val="auto"/>
                      <w:kern w:val="0"/>
                      <w:szCs w:val="21"/>
                      <w:highlight w:val="none"/>
                      <w:lang w:val="en-US" w:eastAsia="zh-CN" w:bidi="ar"/>
                    </w:rPr>
                    <w:t>加快城市建成区重污染企业搬迁改造或关闭退出，市政府已明确的退城企业，要明确时间表，逾期不退城的予以停产。</w:t>
                  </w:r>
                </w:p>
                <w:p w14:paraId="4BFB11FC">
                  <w:pPr>
                    <w:widowControl/>
                    <w:spacing w:line="240" w:lineRule="auto"/>
                    <w:rPr>
                      <w:rFonts w:ascii="Times New Roman" w:hAnsi="Times New Roman" w:eastAsia="宋体" w:cs="Times New Roman"/>
                      <w:color w:val="auto"/>
                      <w:kern w:val="0"/>
                      <w:szCs w:val="21"/>
                      <w:highlight w:val="none"/>
                      <w:lang w:bidi="ar"/>
                    </w:rPr>
                  </w:pPr>
                  <w:r>
                    <w:rPr>
                      <w:rFonts w:hint="default" w:ascii="Times New Roman" w:hAnsi="Times New Roman" w:eastAsia="宋体" w:cs="Times New Roman"/>
                      <w:color w:val="auto"/>
                      <w:kern w:val="0"/>
                      <w:szCs w:val="21"/>
                      <w:highlight w:val="none"/>
                      <w:lang w:val="en-US" w:eastAsia="zh-CN" w:bidi="ar"/>
                    </w:rPr>
                    <w:t>7.</w:t>
                  </w:r>
                  <w:r>
                    <w:rPr>
                      <w:rFonts w:ascii="Times New Roman" w:hAnsi="Times New Roman" w:eastAsia="宋体" w:cs="Times New Roman"/>
                      <w:color w:val="auto"/>
                      <w:kern w:val="0"/>
                      <w:szCs w:val="21"/>
                      <w:highlight w:val="none"/>
                      <w:lang w:val="en-US" w:eastAsia="zh-CN" w:bidi="ar"/>
                    </w:rPr>
                    <w:t>新建化工类项目应进入化工园区，要符合园区规划及环保相关要求，不得在化工园区外新建、扩建化工项目。</w:t>
                  </w:r>
                </w:p>
                <w:p w14:paraId="3AE6DF0D">
                  <w:pPr>
                    <w:widowControl/>
                    <w:spacing w:line="240" w:lineRule="auto"/>
                    <w:rPr>
                      <w:color w:val="auto"/>
                      <w:szCs w:val="21"/>
                      <w:highlight w:val="none"/>
                    </w:rPr>
                  </w:pPr>
                  <w:r>
                    <w:rPr>
                      <w:rFonts w:hint="default" w:ascii="Times New Roman" w:hAnsi="Times New Roman" w:eastAsia="宋体" w:cs="Times New Roman"/>
                      <w:color w:val="auto"/>
                      <w:kern w:val="0"/>
                      <w:szCs w:val="21"/>
                      <w:highlight w:val="none"/>
                      <w:lang w:val="en-US" w:eastAsia="zh-CN" w:bidi="ar"/>
                    </w:rPr>
                    <w:t>8.</w:t>
                  </w:r>
                  <w:r>
                    <w:rPr>
                      <w:rFonts w:hint="eastAsia" w:ascii="Times New Roman" w:hAnsi="Times New Roman" w:eastAsia="宋体" w:cs="Times New Roman"/>
                      <w:color w:val="auto"/>
                      <w:kern w:val="0"/>
                      <w:szCs w:val="21"/>
                      <w:highlight w:val="none"/>
                      <w:lang w:val="en-US" w:eastAsia="zh-CN" w:bidi="ar"/>
                    </w:rPr>
                    <w:t>地下水保护区参照《抚顺市地下水污染防治重点区划分方案》执行。</w:t>
                  </w:r>
                </w:p>
              </w:tc>
              <w:tc>
                <w:tcPr>
                  <w:tcW w:w="932" w:type="pct"/>
                  <w:noWrap w:val="0"/>
                  <w:vAlign w:val="center"/>
                </w:tcPr>
                <w:p w14:paraId="3B809A89">
                  <w:pPr>
                    <w:widowControl/>
                    <w:spacing w:line="240" w:lineRule="auto"/>
                    <w:rPr>
                      <w:rFonts w:hint="default" w:eastAsia="宋体"/>
                      <w:color w:val="auto"/>
                      <w:kern w:val="0"/>
                      <w:szCs w:val="21"/>
                      <w:highlight w:val="none"/>
                      <w:lang w:val="en-US" w:eastAsia="zh-CN"/>
                    </w:rPr>
                  </w:pPr>
                  <w:r>
                    <w:rPr>
                      <w:color w:val="auto"/>
                      <w:szCs w:val="21"/>
                      <w:highlight w:val="none"/>
                    </w:rPr>
                    <w:t>本项目不</w:t>
                  </w:r>
                  <w:r>
                    <w:rPr>
                      <w:rFonts w:hint="eastAsia"/>
                      <w:color w:val="auto"/>
                      <w:szCs w:val="21"/>
                      <w:highlight w:val="none"/>
                      <w:lang w:eastAsia="zh-CN"/>
                    </w:rPr>
                    <w:t>在</w:t>
                  </w:r>
                  <w:r>
                    <w:rPr>
                      <w:color w:val="auto"/>
                      <w:szCs w:val="21"/>
                      <w:highlight w:val="none"/>
                    </w:rPr>
                    <w:t>自然保护区</w:t>
                  </w:r>
                  <w:r>
                    <w:rPr>
                      <w:rFonts w:hint="eastAsia"/>
                      <w:color w:val="auto"/>
                      <w:szCs w:val="21"/>
                      <w:highlight w:val="none"/>
                      <w:lang w:eastAsia="zh-CN"/>
                    </w:rPr>
                    <w:t>内（包括核心区、实验区和缓冲区）</w:t>
                  </w:r>
                  <w:r>
                    <w:rPr>
                      <w:rFonts w:hint="eastAsia"/>
                      <w:color w:val="auto"/>
                      <w:szCs w:val="21"/>
                      <w:highlight w:val="none"/>
                    </w:rPr>
                    <w:t>、</w:t>
                  </w:r>
                  <w:r>
                    <w:rPr>
                      <w:color w:val="auto"/>
                      <w:szCs w:val="21"/>
                      <w:highlight w:val="none"/>
                    </w:rPr>
                    <w:t>饮用水水源保护区内，不位于生态保护红线内。本项目符合《产业结构调整指导目录（20</w:t>
                  </w:r>
                  <w:r>
                    <w:rPr>
                      <w:rFonts w:hint="eastAsia"/>
                      <w:color w:val="auto"/>
                      <w:szCs w:val="21"/>
                      <w:highlight w:val="none"/>
                    </w:rPr>
                    <w:t>24年</w:t>
                  </w:r>
                  <w:r>
                    <w:rPr>
                      <w:color w:val="auto"/>
                      <w:szCs w:val="21"/>
                      <w:highlight w:val="none"/>
                    </w:rPr>
                    <w:t>本）》，本项目属于</w:t>
                  </w:r>
                  <w:r>
                    <w:rPr>
                      <w:rFonts w:hint="eastAsia"/>
                      <w:color w:val="auto"/>
                      <w:szCs w:val="21"/>
                      <w:highlight w:val="none"/>
                    </w:rPr>
                    <w:t>允许</w:t>
                  </w:r>
                  <w:r>
                    <w:rPr>
                      <w:color w:val="auto"/>
                      <w:szCs w:val="21"/>
                      <w:highlight w:val="none"/>
                    </w:rPr>
                    <w:t>类项目</w:t>
                  </w:r>
                  <w:r>
                    <w:rPr>
                      <w:rFonts w:hint="eastAsia"/>
                      <w:color w:val="auto"/>
                      <w:kern w:val="0"/>
                      <w:szCs w:val="21"/>
                      <w:highlight w:val="none"/>
                      <w:lang w:bidi="ar"/>
                    </w:rPr>
                    <w:t>。</w:t>
                  </w:r>
                  <w:r>
                    <w:rPr>
                      <w:color w:val="auto"/>
                      <w:kern w:val="0"/>
                      <w:szCs w:val="21"/>
                      <w:highlight w:val="none"/>
                    </w:rPr>
                    <w:t>本项目的建设符合国家及地方产业政策</w:t>
                  </w:r>
                  <w:r>
                    <w:rPr>
                      <w:rFonts w:hint="eastAsia"/>
                      <w:color w:val="auto"/>
                      <w:kern w:val="0"/>
                      <w:szCs w:val="21"/>
                      <w:highlight w:val="none"/>
                    </w:rPr>
                    <w:t>。</w:t>
                  </w:r>
                  <w:r>
                    <w:rPr>
                      <w:rFonts w:hint="eastAsia" w:ascii="Times New Roman" w:hAnsi="Times New Roman" w:eastAsia="宋体" w:cs="Times New Roman"/>
                      <w:color w:val="auto"/>
                      <w:sz w:val="21"/>
                      <w:szCs w:val="21"/>
                      <w:highlight w:val="none"/>
                      <w:lang w:val="en-US" w:eastAsia="zh-CN"/>
                    </w:rPr>
                    <w:t>本项目</w:t>
                  </w:r>
                  <w:r>
                    <w:rPr>
                      <w:rFonts w:hint="default" w:ascii="Times New Roman" w:hAnsi="Times New Roman" w:eastAsia="宋体" w:cs="Times New Roman"/>
                      <w:color w:val="auto"/>
                      <w:sz w:val="21"/>
                      <w:szCs w:val="21"/>
                      <w:highlight w:val="none"/>
                    </w:rPr>
                    <w:t>污染物达标排放</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项目的建设符合环境准入。</w:t>
                  </w:r>
                  <w:r>
                    <w:rPr>
                      <w:rFonts w:hint="eastAsia"/>
                      <w:color w:val="auto"/>
                      <w:kern w:val="0"/>
                      <w:szCs w:val="21"/>
                      <w:highlight w:val="none"/>
                      <w:lang w:val="en-US" w:eastAsia="zh-CN"/>
                    </w:rPr>
                    <w:t>本项目不在地下水保护区及管控区范围。</w:t>
                  </w:r>
                </w:p>
              </w:tc>
              <w:tc>
                <w:tcPr>
                  <w:tcW w:w="342" w:type="pct"/>
                  <w:noWrap w:val="0"/>
                  <w:vAlign w:val="center"/>
                </w:tcPr>
                <w:p w14:paraId="7D0A055F">
                  <w:pPr>
                    <w:pStyle w:val="13"/>
                    <w:spacing w:line="240" w:lineRule="auto"/>
                    <w:jc w:val="center"/>
                    <w:rPr>
                      <w:rFonts w:ascii="Times New Roman" w:hAnsi="Times New Roman"/>
                      <w:color w:val="auto"/>
                      <w:szCs w:val="21"/>
                      <w:highlight w:val="none"/>
                    </w:rPr>
                  </w:pPr>
                  <w:r>
                    <w:rPr>
                      <w:rFonts w:ascii="Times New Roman" w:hAnsi="Times New Roman"/>
                      <w:color w:val="auto"/>
                      <w:szCs w:val="21"/>
                      <w:highlight w:val="none"/>
                    </w:rPr>
                    <w:t>符合</w:t>
                  </w:r>
                </w:p>
              </w:tc>
            </w:tr>
            <w:tr w14:paraId="4952D8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5" w:type="pct"/>
                  <w:noWrap w:val="0"/>
                  <w:vAlign w:val="center"/>
                </w:tcPr>
                <w:p w14:paraId="4387897C">
                  <w:pPr>
                    <w:pStyle w:val="13"/>
                    <w:spacing w:line="240" w:lineRule="auto"/>
                    <w:jc w:val="center"/>
                    <w:rPr>
                      <w:rFonts w:ascii="Times New Roman" w:hAnsi="Times New Roman"/>
                      <w:color w:val="auto"/>
                      <w:szCs w:val="21"/>
                      <w:highlight w:val="none"/>
                    </w:rPr>
                  </w:pPr>
                  <w:r>
                    <w:rPr>
                      <w:rFonts w:ascii="Times New Roman" w:hAnsi="Times New Roman"/>
                      <w:color w:val="auto"/>
                      <w:szCs w:val="21"/>
                      <w:highlight w:val="none"/>
                    </w:rPr>
                    <w:t>污</w:t>
                  </w:r>
                  <w:r>
                    <w:rPr>
                      <w:rFonts w:ascii="Times New Roman" w:hAnsi="Times New Roman"/>
                      <w:color w:val="auto"/>
                      <w:sz w:val="24"/>
                      <w:szCs w:val="24"/>
                      <w:highlight w:val="none"/>
                    </w:rPr>
                    <w:t>染物排放管控</w:t>
                  </w:r>
                </w:p>
              </w:tc>
              <w:tc>
                <w:tcPr>
                  <w:tcW w:w="3169" w:type="pct"/>
                  <w:noWrap w:val="0"/>
                  <w:vAlign w:val="center"/>
                </w:tcPr>
                <w:p w14:paraId="77392A40">
                  <w:pPr>
                    <w:widowControl/>
                    <w:numPr>
                      <w:ilvl w:val="0"/>
                      <w:numId w:val="0"/>
                    </w:numPr>
                    <w:spacing w:line="240" w:lineRule="auto"/>
                    <w:rPr>
                      <w:color w:val="auto"/>
                      <w:kern w:val="0"/>
                      <w:szCs w:val="21"/>
                      <w:highlight w:val="none"/>
                      <w:lang w:bidi="ar"/>
                    </w:rPr>
                  </w:pPr>
                  <w:r>
                    <w:rPr>
                      <w:rFonts w:hint="eastAsia"/>
                      <w:color w:val="auto"/>
                      <w:kern w:val="0"/>
                      <w:szCs w:val="21"/>
                      <w:highlight w:val="none"/>
                      <w:lang w:val="en-US" w:eastAsia="zh-CN" w:bidi="ar"/>
                    </w:rPr>
                    <w:t>1.</w:t>
                  </w:r>
                  <w:r>
                    <w:rPr>
                      <w:color w:val="auto"/>
                      <w:kern w:val="0"/>
                      <w:szCs w:val="21"/>
                      <w:highlight w:val="none"/>
                      <w:lang w:bidi="ar"/>
                    </w:rPr>
                    <w:t>推进实行特别排放限值和超低排放。新、改、扩建环评项目执行大气污染物特别排放限值，其中城市建成区燃煤锅炉项目大气污染物排放浓度要求满足超低排放要求（在基准氧含量6%条件下，烟尘、二氧化硫、氮氧化物排放浓度不得高于10、35、50毫克/立方米）。</w:t>
                  </w:r>
                </w:p>
                <w:p w14:paraId="66B66614">
                  <w:pPr>
                    <w:widowControl/>
                    <w:numPr>
                      <w:ilvl w:val="0"/>
                      <w:numId w:val="0"/>
                    </w:numPr>
                    <w:spacing w:line="240" w:lineRule="auto"/>
                    <w:ind w:leftChars="0"/>
                    <w:rPr>
                      <w:color w:val="auto"/>
                      <w:kern w:val="0"/>
                      <w:szCs w:val="21"/>
                      <w:highlight w:val="none"/>
                      <w:lang w:bidi="ar"/>
                    </w:rPr>
                  </w:pPr>
                  <w:r>
                    <w:rPr>
                      <w:rFonts w:hint="eastAsia"/>
                      <w:color w:val="auto"/>
                      <w:kern w:val="0"/>
                      <w:szCs w:val="21"/>
                      <w:highlight w:val="none"/>
                      <w:lang w:val="en-US" w:eastAsia="zh-CN" w:bidi="ar"/>
                    </w:rPr>
                    <w:t>2.</w:t>
                  </w:r>
                  <w:r>
                    <w:rPr>
                      <w:rFonts w:hint="eastAsia"/>
                      <w:color w:val="auto"/>
                      <w:kern w:val="0"/>
                      <w:szCs w:val="21"/>
                      <w:highlight w:val="none"/>
                      <w:lang w:eastAsia="zh-CN" w:bidi="ar"/>
                    </w:rPr>
                    <w:t>加快</w:t>
                  </w:r>
                  <w:r>
                    <w:rPr>
                      <w:color w:val="auto"/>
                      <w:kern w:val="0"/>
                      <w:szCs w:val="21"/>
                      <w:highlight w:val="none"/>
                      <w:lang w:bidi="ar"/>
                    </w:rPr>
                    <w:t>推动实施钢铁等行业超低排放改造，对废气进行收集处理。强化工业企业无组织排放管控，开展钢铁、建材、火电、铸造等重点行业及燃煤锅炉无组织排放排查，建立管理台账，对物料（含废渣）运输、装卸、储存、转移和工艺过程等无组织排放实施深度治理。</w:t>
                  </w:r>
                </w:p>
                <w:p w14:paraId="44C8EF77">
                  <w:pPr>
                    <w:widowControl/>
                    <w:numPr>
                      <w:ilvl w:val="0"/>
                      <w:numId w:val="0"/>
                    </w:numPr>
                    <w:spacing w:line="240" w:lineRule="auto"/>
                    <w:ind w:leftChars="0"/>
                    <w:rPr>
                      <w:rFonts w:hint="default" w:ascii="Times New Roman" w:hAnsi="Times New Roman" w:eastAsia="宋体" w:cs="Times New Roman"/>
                      <w:color w:val="auto"/>
                      <w:kern w:val="0"/>
                      <w:szCs w:val="21"/>
                      <w:highlight w:val="none"/>
                      <w:lang w:val="en-US" w:eastAsia="zh-CN" w:bidi="ar"/>
                    </w:rPr>
                  </w:pPr>
                  <w:r>
                    <w:rPr>
                      <w:rFonts w:hint="eastAsia" w:ascii="Times New Roman" w:hAnsi="Times New Roman" w:eastAsia="宋体" w:cs="Times New Roman"/>
                      <w:color w:val="auto"/>
                      <w:kern w:val="0"/>
                      <w:szCs w:val="21"/>
                      <w:highlight w:val="none"/>
                      <w:lang w:val="en-US" w:eastAsia="zh-CN" w:bidi="ar"/>
                    </w:rPr>
                    <w:t>3.</w:t>
                  </w:r>
                  <w:r>
                    <w:rPr>
                      <w:rFonts w:ascii="Times New Roman" w:hAnsi="Times New Roman" w:eastAsia="宋体" w:cs="Times New Roman"/>
                      <w:color w:val="auto"/>
                      <w:kern w:val="0"/>
                      <w:szCs w:val="21"/>
                      <w:highlight w:val="none"/>
                      <w:lang w:val="en-US" w:eastAsia="zh-CN" w:bidi="ar"/>
                    </w:rPr>
                    <w:t>加大不达标工业炉窑淘汰力度，加快淘汰中小型煤气发生炉。加大落后燃煤锅炉和燃煤小热电退出力度，推动以工业余热、电厂余热、清洁能源等替代煤</w:t>
                  </w:r>
                  <w:r>
                    <w:rPr>
                      <w:rFonts w:hint="eastAsia" w:ascii="Times New Roman" w:hAnsi="Times New Roman" w:eastAsia="宋体" w:cs="Times New Roman"/>
                      <w:color w:val="auto"/>
                      <w:kern w:val="0"/>
                      <w:szCs w:val="21"/>
                      <w:highlight w:val="none"/>
                      <w:lang w:val="en-US" w:eastAsia="zh-CN" w:bidi="ar"/>
                    </w:rPr>
                    <w:t>炭供热（蒸汽）。</w:t>
                  </w:r>
                </w:p>
                <w:p w14:paraId="14536CFD">
                  <w:pPr>
                    <w:widowControl/>
                    <w:numPr>
                      <w:ilvl w:val="0"/>
                      <w:numId w:val="0"/>
                    </w:numPr>
                    <w:spacing w:line="240" w:lineRule="auto"/>
                    <w:ind w:leftChars="0"/>
                    <w:rPr>
                      <w:rFonts w:ascii="Times New Roman" w:hAnsi="Times New Roman" w:eastAsia="宋体" w:cs="Times New Roman"/>
                      <w:color w:val="auto"/>
                      <w:kern w:val="0"/>
                      <w:szCs w:val="21"/>
                      <w:highlight w:val="none"/>
                      <w:lang w:val="en-US" w:eastAsia="zh-CN" w:bidi="ar"/>
                    </w:rPr>
                  </w:pPr>
                  <w:r>
                    <w:rPr>
                      <w:rFonts w:hint="eastAsia" w:ascii="Times New Roman" w:hAnsi="Times New Roman" w:eastAsia="宋体" w:cs="Times New Roman"/>
                      <w:color w:val="auto"/>
                      <w:kern w:val="0"/>
                      <w:szCs w:val="21"/>
                      <w:highlight w:val="none"/>
                      <w:lang w:val="en-US" w:eastAsia="zh-CN" w:bidi="ar"/>
                    </w:rPr>
                    <w:t>4.</w:t>
                  </w:r>
                  <w:r>
                    <w:rPr>
                      <w:rFonts w:ascii="Times New Roman" w:hAnsi="Times New Roman" w:eastAsia="宋体" w:cs="Times New Roman"/>
                      <w:color w:val="auto"/>
                      <w:kern w:val="0"/>
                      <w:szCs w:val="21"/>
                      <w:highlight w:val="none"/>
                      <w:lang w:val="en-US" w:eastAsia="zh-CN" w:bidi="ar"/>
                    </w:rPr>
                    <w:t>深入推进碳达峰行动。以钢铁、有色金属建材、石化、化工等行业为重点，推动以二氧化碳为主的温室气体减排，严格落实省下达的碳排放达峰行动目标。实施大气减污降碳协同增效行动。</w:t>
                  </w:r>
                </w:p>
                <w:p w14:paraId="593668C0">
                  <w:pPr>
                    <w:widowControl/>
                    <w:numPr>
                      <w:ilvl w:val="0"/>
                      <w:numId w:val="0"/>
                    </w:numPr>
                    <w:spacing w:line="240" w:lineRule="auto"/>
                    <w:ind w:leftChars="0"/>
                    <w:rPr>
                      <w:rFonts w:hint="eastAsia" w:ascii="Times New Roman" w:hAnsi="Times New Roman" w:eastAsia="宋体" w:cs="Times New Roman"/>
                      <w:color w:val="auto"/>
                      <w:kern w:val="0"/>
                      <w:szCs w:val="21"/>
                      <w:highlight w:val="none"/>
                      <w:lang w:val="en-US" w:eastAsia="zh-CN" w:bidi="ar"/>
                    </w:rPr>
                  </w:pPr>
                  <w:r>
                    <w:rPr>
                      <w:rFonts w:hint="eastAsia" w:ascii="Times New Roman" w:hAnsi="Times New Roman" w:eastAsia="宋体" w:cs="Times New Roman"/>
                      <w:color w:val="auto"/>
                      <w:kern w:val="0"/>
                      <w:szCs w:val="21"/>
                      <w:highlight w:val="none"/>
                      <w:lang w:val="en-US" w:eastAsia="zh-CN" w:bidi="ar"/>
                    </w:rPr>
                    <w:t>5.</w:t>
                  </w:r>
                  <w:r>
                    <w:rPr>
                      <w:rFonts w:ascii="Times New Roman" w:hAnsi="Times New Roman" w:eastAsia="宋体" w:cs="Times New Roman"/>
                      <w:color w:val="auto"/>
                      <w:kern w:val="0"/>
                      <w:szCs w:val="21"/>
                      <w:highlight w:val="none"/>
                      <w:lang w:val="en-US" w:eastAsia="zh-CN" w:bidi="ar"/>
                    </w:rPr>
                    <w:t>水环境质量目标要完成省级控制指标。到</w:t>
                  </w:r>
                  <w:r>
                    <w:rPr>
                      <w:rFonts w:hint="default" w:ascii="Times New Roman" w:hAnsi="Times New Roman" w:eastAsia="宋体" w:cs="Times New Roman"/>
                      <w:color w:val="auto"/>
                      <w:kern w:val="0"/>
                      <w:szCs w:val="21"/>
                      <w:highlight w:val="none"/>
                      <w:lang w:val="en-US" w:eastAsia="zh-CN" w:bidi="ar"/>
                    </w:rPr>
                    <w:t>2025</w:t>
                  </w:r>
                  <w:r>
                    <w:rPr>
                      <w:rFonts w:hint="eastAsia" w:ascii="Times New Roman" w:hAnsi="Times New Roman" w:eastAsia="宋体" w:cs="Times New Roman"/>
                      <w:color w:val="auto"/>
                      <w:kern w:val="0"/>
                      <w:szCs w:val="21"/>
                      <w:highlight w:val="none"/>
                      <w:lang w:val="en-US" w:eastAsia="zh-CN" w:bidi="ar"/>
                    </w:rPr>
                    <w:t>年全市河流水质（Ⅲ类及以上水质）优良比例达</w:t>
                  </w:r>
                  <w:r>
                    <w:rPr>
                      <w:rFonts w:hint="default" w:ascii="Times New Roman" w:hAnsi="Times New Roman" w:eastAsia="宋体" w:cs="Times New Roman"/>
                      <w:color w:val="auto"/>
                      <w:kern w:val="0"/>
                      <w:szCs w:val="21"/>
                      <w:highlight w:val="none"/>
                      <w:lang w:val="en-US" w:eastAsia="zh-CN" w:bidi="ar"/>
                    </w:rPr>
                    <w:t>100%</w:t>
                  </w:r>
                  <w:r>
                    <w:rPr>
                      <w:rFonts w:hint="eastAsia" w:ascii="Times New Roman" w:hAnsi="Times New Roman" w:eastAsia="宋体" w:cs="Times New Roman"/>
                      <w:color w:val="auto"/>
                      <w:kern w:val="0"/>
                      <w:szCs w:val="21"/>
                      <w:highlight w:val="none"/>
                      <w:lang w:val="en-US" w:eastAsia="zh-CN" w:bidi="ar"/>
                    </w:rPr>
                    <w:t>以上，城市建成区黑臭水体得到消除，城市集中式饮用水水源地水质优良比例达</w:t>
                  </w:r>
                  <w:r>
                    <w:rPr>
                      <w:rFonts w:hint="default" w:ascii="Times New Roman" w:hAnsi="Times New Roman" w:eastAsia="宋体" w:cs="Times New Roman"/>
                      <w:color w:val="auto"/>
                      <w:kern w:val="0"/>
                      <w:szCs w:val="21"/>
                      <w:highlight w:val="none"/>
                      <w:lang w:val="en-US" w:eastAsia="zh-CN" w:bidi="ar"/>
                    </w:rPr>
                    <w:t>100%</w:t>
                  </w:r>
                  <w:r>
                    <w:rPr>
                      <w:rFonts w:hint="eastAsia" w:ascii="Times New Roman" w:hAnsi="Times New Roman" w:eastAsia="宋体" w:cs="Times New Roman"/>
                      <w:color w:val="auto"/>
                      <w:kern w:val="0"/>
                      <w:szCs w:val="21"/>
                      <w:highlight w:val="none"/>
                      <w:lang w:val="en-US" w:eastAsia="zh-CN" w:bidi="ar"/>
                    </w:rPr>
                    <w:t>，全市地下水水质不下降。到</w:t>
                  </w:r>
                  <w:r>
                    <w:rPr>
                      <w:rFonts w:hint="default" w:ascii="Times New Roman" w:hAnsi="Times New Roman" w:eastAsia="宋体" w:cs="Times New Roman"/>
                      <w:color w:val="auto"/>
                      <w:kern w:val="0"/>
                      <w:szCs w:val="21"/>
                      <w:highlight w:val="none"/>
                      <w:lang w:val="en-US" w:eastAsia="zh-CN" w:bidi="ar"/>
                    </w:rPr>
                    <w:t>2035</w:t>
                  </w:r>
                  <w:r>
                    <w:rPr>
                      <w:rFonts w:hint="eastAsia" w:ascii="Times New Roman" w:hAnsi="Times New Roman" w:eastAsia="宋体" w:cs="Times New Roman"/>
                      <w:color w:val="auto"/>
                      <w:kern w:val="0"/>
                      <w:szCs w:val="21"/>
                      <w:highlight w:val="none"/>
                      <w:lang w:val="en-US" w:eastAsia="zh-CN" w:bidi="ar"/>
                    </w:rPr>
                    <w:t>年，全市河流水质优良比例进一步提高，巩固城市黑臭水体治理成果，巩固城市集中式饮用水水源地水质优良比例成果，全市地下水质量不下降。</w:t>
                  </w:r>
                  <w:r>
                    <w:rPr>
                      <w:rFonts w:hint="default" w:ascii="Times New Roman" w:hAnsi="Times New Roman" w:eastAsia="宋体" w:cs="Times New Roman"/>
                      <w:color w:val="auto"/>
                      <w:kern w:val="0"/>
                      <w:szCs w:val="21"/>
                      <w:highlight w:val="none"/>
                      <w:lang w:val="en-US" w:eastAsia="zh-CN" w:bidi="ar"/>
                    </w:rPr>
                    <w:t>2025</w:t>
                  </w:r>
                  <w:r>
                    <w:rPr>
                      <w:rFonts w:hint="eastAsia" w:ascii="Times New Roman" w:hAnsi="Times New Roman" w:eastAsia="宋体" w:cs="Times New Roman"/>
                      <w:color w:val="auto"/>
                      <w:kern w:val="0"/>
                      <w:szCs w:val="21"/>
                      <w:highlight w:val="none"/>
                      <w:lang w:val="en-US" w:eastAsia="zh-CN" w:bidi="ar"/>
                    </w:rPr>
                    <w:t>年区域内水环境污染物</w:t>
                  </w:r>
                  <w:r>
                    <w:rPr>
                      <w:rFonts w:hint="default" w:ascii="Times New Roman" w:hAnsi="Times New Roman" w:eastAsia="宋体" w:cs="Times New Roman"/>
                      <w:color w:val="auto"/>
                      <w:kern w:val="0"/>
                      <w:szCs w:val="21"/>
                      <w:highlight w:val="none"/>
                      <w:lang w:val="en-US" w:eastAsia="zh-CN" w:bidi="ar"/>
                    </w:rPr>
                    <w:t>COD</w:t>
                  </w:r>
                  <w:r>
                    <w:rPr>
                      <w:rFonts w:hint="eastAsia" w:ascii="Times New Roman" w:hAnsi="Times New Roman" w:eastAsia="宋体" w:cs="Times New Roman"/>
                      <w:color w:val="auto"/>
                      <w:kern w:val="0"/>
                      <w:szCs w:val="21"/>
                      <w:highlight w:val="none"/>
                      <w:lang w:val="en-US" w:eastAsia="zh-CN" w:bidi="ar"/>
                    </w:rPr>
                    <w:t>和氨氮排放量较</w:t>
                  </w:r>
                  <w:r>
                    <w:rPr>
                      <w:rFonts w:hint="default" w:ascii="Times New Roman" w:hAnsi="Times New Roman" w:eastAsia="宋体" w:cs="Times New Roman"/>
                      <w:color w:val="auto"/>
                      <w:kern w:val="0"/>
                      <w:szCs w:val="21"/>
                      <w:highlight w:val="none"/>
                      <w:lang w:val="en-US" w:eastAsia="zh-CN" w:bidi="ar"/>
                    </w:rPr>
                    <w:t>2020</w:t>
                  </w:r>
                  <w:r>
                    <w:rPr>
                      <w:rFonts w:hint="eastAsia" w:ascii="Times New Roman" w:hAnsi="Times New Roman" w:eastAsia="宋体" w:cs="Times New Roman"/>
                      <w:color w:val="auto"/>
                      <w:kern w:val="0"/>
                      <w:szCs w:val="21"/>
                      <w:highlight w:val="none"/>
                      <w:lang w:val="en-US" w:eastAsia="zh-CN" w:bidi="ar"/>
                    </w:rPr>
                    <w:t>年下降，</w:t>
                  </w:r>
                  <w:r>
                    <w:rPr>
                      <w:rFonts w:hint="default" w:ascii="Times New Roman" w:hAnsi="Times New Roman" w:eastAsia="宋体" w:cs="Times New Roman"/>
                      <w:color w:val="auto"/>
                      <w:kern w:val="0"/>
                      <w:szCs w:val="21"/>
                      <w:highlight w:val="none"/>
                      <w:lang w:val="en-US" w:eastAsia="zh-CN" w:bidi="ar"/>
                    </w:rPr>
                    <w:t>2035</w:t>
                  </w:r>
                  <w:r>
                    <w:rPr>
                      <w:rFonts w:hint="eastAsia" w:ascii="Times New Roman" w:hAnsi="Times New Roman" w:eastAsia="宋体" w:cs="Times New Roman"/>
                      <w:color w:val="auto"/>
                      <w:kern w:val="0"/>
                      <w:szCs w:val="21"/>
                      <w:highlight w:val="none"/>
                      <w:lang w:val="en-US" w:eastAsia="zh-CN" w:bidi="ar"/>
                    </w:rPr>
                    <w:t>年</w:t>
                  </w:r>
                  <w:r>
                    <w:rPr>
                      <w:rFonts w:hint="default" w:ascii="Times New Roman" w:hAnsi="Times New Roman" w:eastAsia="宋体" w:cs="Times New Roman"/>
                      <w:color w:val="auto"/>
                      <w:kern w:val="0"/>
                      <w:szCs w:val="21"/>
                      <w:highlight w:val="none"/>
                      <w:lang w:val="en-US" w:eastAsia="zh-CN" w:bidi="ar"/>
                    </w:rPr>
                    <w:t>COD</w:t>
                  </w:r>
                  <w:r>
                    <w:rPr>
                      <w:rFonts w:hint="eastAsia" w:ascii="Times New Roman" w:hAnsi="Times New Roman" w:eastAsia="宋体" w:cs="Times New Roman"/>
                      <w:color w:val="auto"/>
                      <w:kern w:val="0"/>
                      <w:szCs w:val="21"/>
                      <w:highlight w:val="none"/>
                      <w:lang w:val="en-US" w:eastAsia="zh-CN" w:bidi="ar"/>
                    </w:rPr>
                    <w:t>和氨氮排放量进一步下降。</w:t>
                  </w:r>
                </w:p>
                <w:p w14:paraId="41F438D8">
                  <w:pPr>
                    <w:widowControl/>
                    <w:numPr>
                      <w:ilvl w:val="0"/>
                      <w:numId w:val="0"/>
                    </w:numPr>
                    <w:spacing w:line="240" w:lineRule="auto"/>
                    <w:ind w:leftChars="0"/>
                    <w:rPr>
                      <w:rFonts w:ascii="Times New Roman" w:hAnsi="Times New Roman" w:eastAsia="宋体" w:cs="Times New Roman"/>
                      <w:color w:val="auto"/>
                      <w:kern w:val="0"/>
                      <w:szCs w:val="21"/>
                      <w:highlight w:val="none"/>
                      <w:lang w:bidi="ar"/>
                    </w:rPr>
                  </w:pPr>
                  <w:r>
                    <w:rPr>
                      <w:rFonts w:hint="eastAsia" w:ascii="Times New Roman" w:hAnsi="Times New Roman" w:eastAsia="宋体" w:cs="Times New Roman"/>
                      <w:color w:val="auto"/>
                      <w:kern w:val="0"/>
                      <w:szCs w:val="21"/>
                      <w:highlight w:val="none"/>
                      <w:lang w:val="en-US" w:eastAsia="zh-CN" w:bidi="ar"/>
                    </w:rPr>
                    <w:t>6.</w:t>
                  </w:r>
                  <w:r>
                    <w:rPr>
                      <w:rFonts w:ascii="Times New Roman" w:hAnsi="Times New Roman" w:eastAsia="宋体" w:cs="Times New Roman"/>
                      <w:color w:val="auto"/>
                      <w:kern w:val="0"/>
                      <w:szCs w:val="21"/>
                      <w:highlight w:val="none"/>
                      <w:lang w:bidi="ar"/>
                    </w:rPr>
                    <w:t>大气环境质量目标要完成省级控制指标。2025年PM2.5平均浓度达到35ug/m</w:t>
                  </w:r>
                  <w:r>
                    <w:rPr>
                      <w:rFonts w:ascii="Times New Roman" w:hAnsi="Times New Roman" w:eastAsia="宋体" w:cs="Times New Roman"/>
                      <w:color w:val="auto"/>
                      <w:kern w:val="0"/>
                      <w:szCs w:val="21"/>
                      <w:highlight w:val="none"/>
                      <w:vertAlign w:val="superscript"/>
                      <w:lang w:bidi="ar"/>
                    </w:rPr>
                    <w:t>3</w:t>
                  </w:r>
                  <w:r>
                    <w:rPr>
                      <w:rFonts w:ascii="Times New Roman" w:hAnsi="Times New Roman" w:eastAsia="宋体" w:cs="Times New Roman"/>
                      <w:color w:val="auto"/>
                      <w:kern w:val="0"/>
                      <w:szCs w:val="21"/>
                      <w:highlight w:val="none"/>
                      <w:lang w:bidi="ar"/>
                    </w:rPr>
                    <w:t>的目标，2035年空气质量进一步得到改善。2025年区域内大气环境污染物二氧化硫、氮氧化物、细颗粒物、VOCs排放量较2020年减少，2035年大气环境污染物排放量进一步减少。</w:t>
                  </w:r>
                </w:p>
                <w:p w14:paraId="5C19CC35">
                  <w:pPr>
                    <w:widowControl/>
                    <w:numPr>
                      <w:ilvl w:val="0"/>
                      <w:numId w:val="0"/>
                    </w:numPr>
                    <w:spacing w:line="240" w:lineRule="auto"/>
                    <w:ind w:leftChars="0"/>
                    <w:rPr>
                      <w:rFonts w:hint="eastAsia" w:ascii="Times New Roman" w:hAnsi="Times New Roman" w:eastAsia="宋体" w:cs="Times New Roman"/>
                      <w:color w:val="auto"/>
                      <w:kern w:val="0"/>
                      <w:szCs w:val="21"/>
                      <w:highlight w:val="none"/>
                      <w:lang w:val="en-US" w:eastAsia="zh-CN" w:bidi="ar"/>
                    </w:rPr>
                  </w:pPr>
                  <w:r>
                    <w:rPr>
                      <w:rFonts w:hint="eastAsia" w:ascii="Times New Roman" w:hAnsi="Times New Roman" w:eastAsia="宋体" w:cs="Times New Roman"/>
                      <w:color w:val="auto"/>
                      <w:kern w:val="0"/>
                      <w:szCs w:val="21"/>
                      <w:highlight w:val="none"/>
                      <w:lang w:val="en-US" w:eastAsia="zh-CN" w:bidi="ar"/>
                    </w:rPr>
                    <w:t>7.</w:t>
                  </w:r>
                  <w:r>
                    <w:rPr>
                      <w:rFonts w:ascii="Times New Roman" w:hAnsi="Times New Roman" w:eastAsia="宋体" w:cs="Times New Roman"/>
                      <w:color w:val="auto"/>
                      <w:kern w:val="0"/>
                      <w:szCs w:val="21"/>
                      <w:highlight w:val="none"/>
                      <w:lang w:val="en-US" w:eastAsia="zh-CN" w:bidi="ar"/>
                    </w:rPr>
                    <w:t>产生一般工业固体废物或危险废物的单位必须建立产生、收集、贮存、运输、利用、处置全过程管理台账，且保存期限不少于</w:t>
                  </w:r>
                  <w:r>
                    <w:rPr>
                      <w:rFonts w:hint="default" w:ascii="Times New Roman" w:hAnsi="Times New Roman" w:eastAsia="宋体" w:cs="Times New Roman"/>
                      <w:color w:val="auto"/>
                      <w:kern w:val="0"/>
                      <w:szCs w:val="21"/>
                      <w:highlight w:val="none"/>
                      <w:lang w:val="en-US" w:eastAsia="zh-CN" w:bidi="ar"/>
                    </w:rPr>
                    <w:t>5</w:t>
                  </w:r>
                  <w:r>
                    <w:rPr>
                      <w:rFonts w:hint="eastAsia" w:ascii="Times New Roman" w:hAnsi="Times New Roman" w:eastAsia="宋体" w:cs="Times New Roman"/>
                      <w:color w:val="auto"/>
                      <w:kern w:val="0"/>
                      <w:szCs w:val="21"/>
                      <w:highlight w:val="none"/>
                      <w:lang w:val="en-US" w:eastAsia="zh-CN" w:bidi="ar"/>
                    </w:rPr>
                    <w:t>年。</w:t>
                  </w:r>
                </w:p>
                <w:p w14:paraId="4C880638">
                  <w:pPr>
                    <w:widowControl/>
                    <w:numPr>
                      <w:ilvl w:val="0"/>
                      <w:numId w:val="0"/>
                    </w:numPr>
                    <w:spacing w:line="240" w:lineRule="auto"/>
                    <w:ind w:leftChars="0"/>
                    <w:rPr>
                      <w:color w:val="auto"/>
                      <w:kern w:val="0"/>
                      <w:szCs w:val="21"/>
                      <w:highlight w:val="none"/>
                      <w:lang w:bidi="ar"/>
                    </w:rPr>
                  </w:pPr>
                  <w:r>
                    <w:rPr>
                      <w:rFonts w:hint="default" w:ascii="Times New Roman" w:hAnsi="Times New Roman" w:eastAsia="宋体" w:cs="Times New Roman"/>
                      <w:color w:val="auto"/>
                      <w:kern w:val="0"/>
                      <w:szCs w:val="21"/>
                      <w:highlight w:val="none"/>
                      <w:lang w:val="en-US" w:eastAsia="zh-CN" w:bidi="ar"/>
                    </w:rPr>
                    <w:t>8.</w:t>
                  </w:r>
                  <w:r>
                    <w:rPr>
                      <w:rFonts w:hint="eastAsia" w:ascii="Times New Roman" w:hAnsi="Times New Roman" w:eastAsia="宋体" w:cs="Times New Roman"/>
                      <w:color w:val="auto"/>
                      <w:kern w:val="0"/>
                      <w:szCs w:val="21"/>
                      <w:highlight w:val="none"/>
                      <w:lang w:val="en-US" w:eastAsia="zh-CN" w:bidi="ar"/>
                    </w:rPr>
                    <w:t>国控点位地下水监测点位达到或优于地下水环境质量</w:t>
                  </w:r>
                  <w:r>
                    <w:rPr>
                      <w:rFonts w:hint="default" w:ascii="Times New Roman" w:hAnsi="Times New Roman" w:eastAsia="宋体" w:cs="Times New Roman"/>
                      <w:color w:val="auto"/>
                      <w:kern w:val="0"/>
                      <w:szCs w:val="21"/>
                      <w:highlight w:val="none"/>
                      <w:lang w:val="en-US" w:eastAsia="zh-CN" w:bidi="ar"/>
                    </w:rPr>
                    <w:t>V</w:t>
                  </w:r>
                  <w:r>
                    <w:rPr>
                      <w:rFonts w:hint="eastAsia" w:ascii="Times New Roman" w:hAnsi="Times New Roman" w:eastAsia="宋体" w:cs="Times New Roman"/>
                      <w:color w:val="auto"/>
                      <w:kern w:val="0"/>
                      <w:szCs w:val="21"/>
                      <w:highlight w:val="none"/>
                      <w:lang w:val="en-US" w:eastAsia="zh-CN" w:bidi="ar"/>
                    </w:rPr>
                    <w:t>类水质要求。</w:t>
                  </w:r>
                </w:p>
              </w:tc>
              <w:tc>
                <w:tcPr>
                  <w:tcW w:w="932" w:type="pct"/>
                  <w:noWrap w:val="0"/>
                  <w:vAlign w:val="center"/>
                </w:tcPr>
                <w:p w14:paraId="18477D70">
                  <w:pPr>
                    <w:spacing w:line="240" w:lineRule="auto"/>
                    <w:rPr>
                      <w:rFonts w:hint="default" w:ascii="Times New Roman" w:hAnsi="Times New Roman" w:eastAsia="宋体" w:cs="Times New Roman"/>
                      <w:color w:val="auto"/>
                      <w:spacing w:val="-4"/>
                      <w:sz w:val="21"/>
                      <w:szCs w:val="21"/>
                      <w:highlight w:val="none"/>
                      <w:lang w:eastAsia="zh-CN"/>
                    </w:rPr>
                  </w:pPr>
                  <w:r>
                    <w:rPr>
                      <w:rFonts w:hint="eastAsia" w:ascii="Times New Roman" w:hAnsi="Times New Roman" w:eastAsia="宋体" w:cs="Times New Roman"/>
                      <w:color w:val="auto"/>
                      <w:spacing w:val="-4"/>
                      <w:sz w:val="21"/>
                      <w:szCs w:val="21"/>
                      <w:highlight w:val="none"/>
                      <w:lang w:eastAsia="zh-CN"/>
                    </w:rPr>
                    <w:t>1.本项目废气污染物排放执行《大气污染物综合排放标准》（GB16297-1996）表2及</w:t>
                  </w:r>
                  <w:r>
                    <w:rPr>
                      <w:rFonts w:ascii="Times New Roman" w:hAnsi="Times New Roman" w:cs="Times New Roman"/>
                      <w:color w:val="auto"/>
                      <w:sz w:val="21"/>
                      <w:szCs w:val="21"/>
                    </w:rPr>
                    <w:t>《工业涂装工序挥发性有机物排放标准》（DB21/3160-2019）</w:t>
                  </w:r>
                  <w:r>
                    <w:rPr>
                      <w:rFonts w:hint="eastAsia" w:ascii="Times New Roman" w:hAnsi="Times New Roman" w:eastAsia="宋体" w:cs="Times New Roman"/>
                      <w:color w:val="auto"/>
                      <w:spacing w:val="-4"/>
                      <w:sz w:val="21"/>
                      <w:szCs w:val="21"/>
                      <w:highlight w:val="none"/>
                      <w:lang w:eastAsia="zh-CN"/>
                    </w:rPr>
                    <w:t>排放限值要求。本项目不涉及锅炉；</w:t>
                  </w:r>
                  <w:r>
                    <w:rPr>
                      <w:rFonts w:hint="default" w:ascii="Times New Roman" w:hAnsi="Times New Roman" w:eastAsia="宋体" w:cs="Times New Roman"/>
                      <w:color w:val="auto"/>
                      <w:spacing w:val="-4"/>
                      <w:sz w:val="21"/>
                      <w:szCs w:val="21"/>
                      <w:highlight w:val="none"/>
                      <w:lang w:eastAsia="zh-CN"/>
                    </w:rPr>
                    <w:t>不属于钢铁、建材、火电、铸造等重点行业；不涉及工业炉窑。</w:t>
                  </w:r>
                </w:p>
                <w:p w14:paraId="7981E819">
                  <w:pPr>
                    <w:spacing w:line="240" w:lineRule="auto"/>
                    <w:rPr>
                      <w:rFonts w:hint="eastAsia" w:ascii="Times New Roman" w:hAnsi="Times New Roman" w:eastAsia="宋体" w:cs="Times New Roman"/>
                      <w:color w:val="auto"/>
                      <w:spacing w:val="-4"/>
                      <w:sz w:val="21"/>
                      <w:szCs w:val="21"/>
                      <w:highlight w:val="none"/>
                      <w:lang w:val="en-US" w:eastAsia="zh-CN"/>
                    </w:rPr>
                  </w:pPr>
                  <w:r>
                    <w:rPr>
                      <w:rFonts w:hint="eastAsia"/>
                      <w:color w:val="auto"/>
                      <w:kern w:val="0"/>
                      <w:szCs w:val="21"/>
                      <w:highlight w:val="none"/>
                      <w:lang w:val="en-US" w:eastAsia="zh-CN" w:bidi="ar"/>
                    </w:rPr>
                    <w:t>2.</w:t>
                  </w:r>
                  <w:r>
                    <w:rPr>
                      <w:rFonts w:hint="eastAsia" w:ascii="Times New Roman" w:hAnsi="Times New Roman" w:cs="Times New Roman"/>
                      <w:color w:val="auto"/>
                      <w:spacing w:val="-4"/>
                      <w:sz w:val="21"/>
                      <w:szCs w:val="21"/>
                      <w:highlight w:val="none"/>
                      <w:lang w:eastAsia="zh-CN"/>
                    </w:rPr>
                    <w:t>本项目车间厂房密闭，物料贮存、输送均在密闭车间内进行。</w:t>
                  </w:r>
                </w:p>
                <w:p w14:paraId="6EF8052B">
                  <w:pPr>
                    <w:spacing w:line="240" w:lineRule="auto"/>
                    <w:rPr>
                      <w:rFonts w:hint="eastAsia"/>
                      <w:color w:val="auto"/>
                      <w:kern w:val="0"/>
                      <w:szCs w:val="21"/>
                      <w:highlight w:val="none"/>
                      <w:lang w:bidi="ar"/>
                    </w:rPr>
                  </w:pPr>
                  <w:r>
                    <w:rPr>
                      <w:rFonts w:hint="eastAsia"/>
                      <w:color w:val="auto"/>
                      <w:kern w:val="0"/>
                      <w:szCs w:val="21"/>
                      <w:highlight w:val="none"/>
                      <w:lang w:val="en-US" w:eastAsia="zh-CN" w:bidi="ar"/>
                    </w:rPr>
                    <w:t>3</w:t>
                  </w:r>
                  <w:r>
                    <w:rPr>
                      <w:color w:val="auto"/>
                      <w:kern w:val="0"/>
                      <w:szCs w:val="21"/>
                      <w:highlight w:val="none"/>
                      <w:lang w:bidi="ar"/>
                    </w:rPr>
                    <w:t>.</w:t>
                  </w:r>
                  <w:r>
                    <w:rPr>
                      <w:rFonts w:hint="eastAsia"/>
                      <w:color w:val="auto"/>
                      <w:kern w:val="0"/>
                      <w:szCs w:val="21"/>
                      <w:highlight w:val="none"/>
                      <w:lang w:bidi="ar"/>
                    </w:rPr>
                    <w:t>本项目</w:t>
                  </w:r>
                  <w:r>
                    <w:rPr>
                      <w:rFonts w:hint="eastAsia" w:ascii="Times New Roman" w:hAnsi="Times New Roman" w:eastAsia="宋体" w:cs="Times New Roman"/>
                      <w:color w:val="auto"/>
                      <w:sz w:val="21"/>
                      <w:szCs w:val="21"/>
                      <w:lang w:eastAsia="zh-CN"/>
                    </w:rPr>
                    <w:t>无生产废水产生，生活污水排入抚顺县救兵镇污水处理厂处理</w:t>
                  </w:r>
                  <w:r>
                    <w:rPr>
                      <w:rFonts w:hint="eastAsia"/>
                      <w:color w:val="auto"/>
                      <w:kern w:val="0"/>
                      <w:szCs w:val="21"/>
                      <w:highlight w:val="none"/>
                      <w:lang w:bidi="ar"/>
                    </w:rPr>
                    <w:t>。</w:t>
                  </w:r>
                </w:p>
                <w:p w14:paraId="4ACB4F00">
                  <w:pPr>
                    <w:spacing w:line="240" w:lineRule="auto"/>
                    <w:rPr>
                      <w:rFonts w:hint="default" w:ascii="Times New Roman" w:hAnsi="Times New Roman" w:eastAsia="宋体" w:cs="Times New Roman"/>
                      <w:color w:val="auto"/>
                      <w:kern w:val="0"/>
                      <w:szCs w:val="21"/>
                      <w:highlight w:val="none"/>
                      <w:lang w:val="en-US" w:eastAsia="zh-CN" w:bidi="ar"/>
                    </w:rPr>
                  </w:pPr>
                  <w:r>
                    <w:rPr>
                      <w:rFonts w:hint="eastAsia"/>
                      <w:color w:val="auto"/>
                      <w:kern w:val="0"/>
                      <w:szCs w:val="21"/>
                      <w:highlight w:val="none"/>
                      <w:lang w:val="en-US" w:eastAsia="zh-CN" w:bidi="ar"/>
                    </w:rPr>
                    <w:t>4.</w:t>
                  </w:r>
                  <w:r>
                    <w:rPr>
                      <w:rFonts w:hint="eastAsia" w:ascii="Times New Roman" w:hAnsi="Times New Roman" w:eastAsia="宋体" w:cs="Times New Roman"/>
                      <w:color w:val="auto"/>
                      <w:kern w:val="0"/>
                      <w:sz w:val="21"/>
                      <w:szCs w:val="21"/>
                      <w:lang w:val="en-US" w:eastAsia="zh-CN" w:bidi="ar"/>
                    </w:rPr>
                    <w:t>建立</w:t>
                  </w:r>
                  <w:r>
                    <w:rPr>
                      <w:rFonts w:ascii="Times New Roman" w:hAnsi="Times New Roman" w:eastAsia="宋体" w:cs="Times New Roman"/>
                      <w:color w:val="auto"/>
                      <w:kern w:val="0"/>
                      <w:szCs w:val="21"/>
                      <w:highlight w:val="none"/>
                      <w:lang w:val="en-US" w:eastAsia="zh-CN" w:bidi="ar"/>
                    </w:rPr>
                    <w:t>一般工业固体废物</w:t>
                  </w:r>
                  <w:r>
                    <w:rPr>
                      <w:rFonts w:hint="eastAsia" w:ascii="Times New Roman" w:hAnsi="Times New Roman" w:eastAsia="宋体" w:cs="Times New Roman"/>
                      <w:color w:val="auto"/>
                      <w:kern w:val="0"/>
                      <w:szCs w:val="21"/>
                      <w:highlight w:val="none"/>
                      <w:lang w:val="en-US" w:eastAsia="zh-CN" w:bidi="ar"/>
                    </w:rPr>
                    <w:t>及</w:t>
                  </w:r>
                  <w:r>
                    <w:rPr>
                      <w:rFonts w:ascii="Times New Roman" w:hAnsi="Times New Roman" w:eastAsia="宋体" w:cs="Times New Roman"/>
                      <w:color w:val="auto"/>
                      <w:kern w:val="0"/>
                      <w:szCs w:val="21"/>
                      <w:highlight w:val="none"/>
                      <w:lang w:val="en-US" w:eastAsia="zh-CN" w:bidi="ar"/>
                    </w:rPr>
                    <w:t>危险废物</w:t>
                  </w:r>
                  <w:r>
                    <w:rPr>
                      <w:rFonts w:hint="eastAsia" w:ascii="Times New Roman" w:hAnsi="Times New Roman" w:eastAsia="宋体" w:cs="Times New Roman"/>
                      <w:color w:val="auto"/>
                      <w:kern w:val="0"/>
                      <w:sz w:val="21"/>
                      <w:szCs w:val="21"/>
                      <w:lang w:val="en-US" w:eastAsia="zh-CN" w:bidi="ar"/>
                    </w:rPr>
                    <w:t>产生、收集、贮存、运输、利用、处置全过程管理台账，且保存期限不少于5年。</w:t>
                  </w:r>
                </w:p>
              </w:tc>
              <w:tc>
                <w:tcPr>
                  <w:tcW w:w="342" w:type="pct"/>
                  <w:noWrap w:val="0"/>
                  <w:vAlign w:val="center"/>
                </w:tcPr>
                <w:p w14:paraId="354BAAAA">
                  <w:pPr>
                    <w:pStyle w:val="13"/>
                    <w:spacing w:line="240" w:lineRule="auto"/>
                    <w:jc w:val="center"/>
                    <w:rPr>
                      <w:rFonts w:ascii="Times New Roman" w:hAnsi="Times New Roman"/>
                      <w:color w:val="auto"/>
                      <w:szCs w:val="21"/>
                      <w:highlight w:val="none"/>
                    </w:rPr>
                  </w:pPr>
                  <w:r>
                    <w:rPr>
                      <w:rFonts w:ascii="Times New Roman" w:hAnsi="Times New Roman"/>
                      <w:color w:val="auto"/>
                      <w:szCs w:val="21"/>
                      <w:highlight w:val="none"/>
                    </w:rPr>
                    <w:t>符合</w:t>
                  </w:r>
                </w:p>
              </w:tc>
            </w:tr>
            <w:tr w14:paraId="70E778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5" w:type="pct"/>
                  <w:noWrap w:val="0"/>
                  <w:vAlign w:val="center"/>
                </w:tcPr>
                <w:p w14:paraId="7C5D3E56">
                  <w:pPr>
                    <w:widowControl/>
                    <w:spacing w:line="240" w:lineRule="auto"/>
                    <w:jc w:val="center"/>
                    <w:rPr>
                      <w:rFonts w:ascii="Times New Roman" w:hAnsi="Times New Roman"/>
                      <w:color w:val="auto"/>
                      <w:szCs w:val="21"/>
                      <w:highlight w:val="none"/>
                    </w:rPr>
                  </w:pPr>
                  <w:r>
                    <w:rPr>
                      <w:color w:val="auto"/>
                      <w:kern w:val="0"/>
                      <w:szCs w:val="21"/>
                      <w:highlight w:val="none"/>
                      <w:lang w:bidi="ar"/>
                    </w:rPr>
                    <w:t>环境风险防控</w:t>
                  </w:r>
                </w:p>
              </w:tc>
              <w:tc>
                <w:tcPr>
                  <w:tcW w:w="3169" w:type="pct"/>
                  <w:noWrap w:val="0"/>
                  <w:vAlign w:val="center"/>
                </w:tcPr>
                <w:p w14:paraId="5D65367A">
                  <w:pPr>
                    <w:widowControl/>
                    <w:spacing w:line="240" w:lineRule="auto"/>
                    <w:rPr>
                      <w:color w:val="auto"/>
                      <w:szCs w:val="21"/>
                      <w:highlight w:val="none"/>
                    </w:rPr>
                  </w:pPr>
                  <w:r>
                    <w:rPr>
                      <w:rFonts w:hint="default" w:ascii="Times New Roman" w:hAnsi="Times New Roman" w:eastAsia="宋体" w:cs="Times New Roman"/>
                      <w:color w:val="auto"/>
                      <w:kern w:val="0"/>
                      <w:sz w:val="18"/>
                      <w:szCs w:val="18"/>
                      <w:highlight w:val="none"/>
                      <w:lang w:val="en-US" w:eastAsia="zh-CN" w:bidi="ar"/>
                    </w:rPr>
                    <w:t>1</w:t>
                  </w:r>
                  <w:r>
                    <w:rPr>
                      <w:rFonts w:hint="default" w:ascii="Times New Roman" w:hAnsi="Times New Roman" w:eastAsia="宋体" w:cs="Times New Roman"/>
                      <w:color w:val="auto"/>
                      <w:kern w:val="0"/>
                      <w:szCs w:val="21"/>
                      <w:highlight w:val="none"/>
                      <w:lang w:val="en-US" w:eastAsia="zh-CN" w:bidi="ar"/>
                    </w:rPr>
                    <w:t>.</w:t>
                  </w:r>
                  <w:r>
                    <w:rPr>
                      <w:rFonts w:hint="eastAsia" w:ascii="Times New Roman" w:hAnsi="Times New Roman" w:eastAsia="宋体" w:cs="Times New Roman"/>
                      <w:color w:val="auto"/>
                      <w:kern w:val="0"/>
                      <w:szCs w:val="21"/>
                      <w:highlight w:val="none"/>
                      <w:lang w:val="en-US" w:eastAsia="zh-CN" w:bidi="ar"/>
                    </w:rPr>
                    <w:t>严控土壤污染风险，对有色金属矿采选、有色金属冶炼、石油加工、化工、电镀等土壤污染高风险行业企业高度监管。新（改、扩）建涉及有毒有害物质可能造成土壤污染的建设项目，提出并落实土壤和地下水污染防治要求。</w:t>
                  </w:r>
                  <w:r>
                    <w:rPr>
                      <w:rFonts w:hint="default" w:ascii="Times New Roman" w:hAnsi="Times New Roman" w:eastAsia="宋体" w:cs="Times New Roman"/>
                      <w:color w:val="auto"/>
                      <w:kern w:val="0"/>
                      <w:szCs w:val="21"/>
                      <w:highlight w:val="none"/>
                      <w:lang w:val="en-US" w:eastAsia="zh-CN" w:bidi="ar"/>
                    </w:rPr>
                    <w:t>2.</w:t>
                  </w:r>
                  <w:r>
                    <w:rPr>
                      <w:rFonts w:hint="eastAsia" w:ascii="Times New Roman" w:hAnsi="Times New Roman" w:eastAsia="宋体" w:cs="Times New Roman"/>
                      <w:color w:val="auto"/>
                      <w:kern w:val="0"/>
                      <w:szCs w:val="21"/>
                      <w:highlight w:val="none"/>
                      <w:lang w:val="en-US" w:eastAsia="zh-CN" w:bidi="ar"/>
                    </w:rPr>
                    <w:t>定期评估饮用水水源保护区、沿河（湖、库）工业企业、工业聚集区环境和健康风险，落实防控措施。评估现有化学物质环境和健康风险，按照国家公布的优先控制目录，严格限制其生产、使用和排放，并逐步淘汰替代。</w:t>
                  </w:r>
                  <w:r>
                    <w:rPr>
                      <w:rFonts w:hint="default" w:ascii="Times New Roman" w:hAnsi="Times New Roman" w:eastAsia="宋体" w:cs="Times New Roman"/>
                      <w:color w:val="auto"/>
                      <w:kern w:val="0"/>
                      <w:szCs w:val="21"/>
                      <w:highlight w:val="none"/>
                      <w:lang w:val="en-US" w:eastAsia="zh-CN" w:bidi="ar"/>
                    </w:rPr>
                    <w:t>3.</w:t>
                  </w:r>
                  <w:r>
                    <w:rPr>
                      <w:rFonts w:hint="eastAsia" w:ascii="Times New Roman" w:hAnsi="Times New Roman" w:eastAsia="宋体" w:cs="Times New Roman"/>
                      <w:color w:val="auto"/>
                      <w:kern w:val="0"/>
                      <w:szCs w:val="21"/>
                      <w:highlight w:val="none"/>
                      <w:lang w:val="en-US" w:eastAsia="zh-CN" w:bidi="ar"/>
                    </w:rPr>
                    <w:t>提高危险废物处置利用企业准入标准，推动产业升级，逐步淘汰规模小、工艺水平低的企业。</w:t>
                  </w:r>
                  <w:r>
                    <w:rPr>
                      <w:rFonts w:hint="default" w:ascii="Times New Roman" w:hAnsi="Times New Roman" w:eastAsia="宋体" w:cs="Times New Roman"/>
                      <w:color w:val="auto"/>
                      <w:kern w:val="0"/>
                      <w:szCs w:val="21"/>
                      <w:highlight w:val="none"/>
                      <w:lang w:val="en-US" w:eastAsia="zh-CN" w:bidi="ar"/>
                    </w:rPr>
                    <w:t>4.</w:t>
                  </w:r>
                  <w:r>
                    <w:rPr>
                      <w:rFonts w:hint="eastAsia" w:ascii="Times New Roman" w:hAnsi="Times New Roman" w:eastAsia="宋体" w:cs="Times New Roman"/>
                      <w:color w:val="auto"/>
                      <w:kern w:val="0"/>
                      <w:szCs w:val="21"/>
                      <w:highlight w:val="none"/>
                      <w:lang w:val="en-US" w:eastAsia="zh-CN" w:bidi="ar"/>
                    </w:rPr>
                    <w:t>饮用水水源保护区内：尾矿库企业要建立完善在线安全监测系统，湿排尾矿库要实现对浸润线、库水位等在线监测和重要部位视频监控。</w:t>
                  </w:r>
                  <w:r>
                    <w:rPr>
                      <w:rFonts w:hint="default" w:ascii="Times New Roman" w:hAnsi="Times New Roman" w:eastAsia="宋体" w:cs="Times New Roman"/>
                      <w:color w:val="auto"/>
                      <w:kern w:val="0"/>
                      <w:szCs w:val="21"/>
                      <w:highlight w:val="none"/>
                      <w:lang w:val="en-US" w:eastAsia="zh-CN" w:bidi="ar"/>
                    </w:rPr>
                    <w:t>5.</w:t>
                  </w:r>
                  <w:r>
                    <w:rPr>
                      <w:rFonts w:hint="eastAsia" w:ascii="Times New Roman" w:hAnsi="Times New Roman" w:eastAsia="宋体" w:cs="Times New Roman"/>
                      <w:color w:val="auto"/>
                      <w:kern w:val="0"/>
                      <w:szCs w:val="21"/>
                      <w:highlight w:val="none"/>
                      <w:lang w:val="en-US" w:eastAsia="zh-CN" w:bidi="ar"/>
                    </w:rPr>
                    <w:t>对土壤污染状况普查、详查和监测、现场检查表明有土壤污染风险的建设用地地块，土地使用权人按照规定进行土壤污染状况调查。用途变更为住宅、公共管理与公共服务用地的，变更前应当按照规定进行土壤污染状况调查。</w:t>
                  </w:r>
                  <w:r>
                    <w:rPr>
                      <w:rFonts w:hint="default" w:ascii="Times New Roman" w:hAnsi="Times New Roman" w:eastAsia="宋体" w:cs="Times New Roman"/>
                      <w:color w:val="auto"/>
                      <w:kern w:val="0"/>
                      <w:szCs w:val="21"/>
                      <w:highlight w:val="none"/>
                      <w:lang w:val="en-US" w:eastAsia="zh-CN" w:bidi="ar"/>
                    </w:rPr>
                    <w:t>6.</w:t>
                  </w:r>
                  <w:r>
                    <w:rPr>
                      <w:rFonts w:hint="eastAsia" w:ascii="Times New Roman" w:hAnsi="Times New Roman" w:eastAsia="宋体" w:cs="Times New Roman"/>
                      <w:color w:val="auto"/>
                      <w:kern w:val="0"/>
                      <w:szCs w:val="21"/>
                      <w:highlight w:val="none"/>
                      <w:lang w:val="en-US" w:eastAsia="zh-CN" w:bidi="ar"/>
                    </w:rPr>
                    <w:t>土壤重点监管单位新、改、扩建项目，应当在开展建设项目环境影响评价时，按照国家有关技术规范开展工矿用地土壤和地下水环境现状调查，编制调查报告，并按规定上报环境影响评价基础数据库。</w:t>
                  </w:r>
                  <w:r>
                    <w:rPr>
                      <w:rFonts w:hint="default" w:ascii="Times New Roman" w:hAnsi="Times New Roman" w:eastAsia="宋体" w:cs="Times New Roman"/>
                      <w:color w:val="auto"/>
                      <w:kern w:val="0"/>
                      <w:szCs w:val="21"/>
                      <w:highlight w:val="none"/>
                      <w:lang w:val="en-US" w:eastAsia="zh-CN" w:bidi="ar"/>
                    </w:rPr>
                    <w:t>7.</w:t>
                  </w:r>
                  <w:r>
                    <w:rPr>
                      <w:rFonts w:hint="eastAsia" w:ascii="Times New Roman" w:hAnsi="Times New Roman" w:eastAsia="宋体" w:cs="Times New Roman"/>
                      <w:color w:val="auto"/>
                      <w:kern w:val="0"/>
                      <w:szCs w:val="21"/>
                      <w:highlight w:val="none"/>
                      <w:lang w:val="en-US" w:eastAsia="zh-CN" w:bidi="ar"/>
                    </w:rPr>
                    <w:t>土壤和地下水重点监管单位应严格控制有毒有害物质排放，并按年度向生态环境主管部门报告排放情况。土壤重点监管单位应建立土壤污染隐患排查制度，保证持续有效防止有毒有害物质渗漏、流失、扬散。土壤和地下水重点监管单位应制定、实施自行监测方案，并将监测数据报生态环境主管部门。</w:t>
                  </w:r>
                  <w:r>
                    <w:rPr>
                      <w:rFonts w:hint="default" w:ascii="Times New Roman" w:hAnsi="Times New Roman" w:eastAsia="宋体" w:cs="Times New Roman"/>
                      <w:color w:val="auto"/>
                      <w:kern w:val="0"/>
                      <w:szCs w:val="21"/>
                      <w:highlight w:val="none"/>
                      <w:lang w:val="en-US" w:eastAsia="zh-CN" w:bidi="ar"/>
                    </w:rPr>
                    <w:t>8.</w:t>
                  </w:r>
                  <w:r>
                    <w:rPr>
                      <w:rFonts w:hint="eastAsia" w:ascii="Times New Roman" w:hAnsi="Times New Roman" w:eastAsia="宋体" w:cs="Times New Roman"/>
                      <w:color w:val="auto"/>
                      <w:kern w:val="0"/>
                      <w:szCs w:val="21"/>
                      <w:highlight w:val="none"/>
                      <w:lang w:val="en-US" w:eastAsia="zh-CN" w:bidi="ar"/>
                    </w:rPr>
                    <w:t>新（改、扩）建涉及有毒有害物质可能造成土壤污染的建设项目，提出并落实土壤和地下水污染防治要求。</w:t>
                  </w:r>
                  <w:r>
                    <w:rPr>
                      <w:rFonts w:hint="default" w:ascii="Times New Roman" w:hAnsi="Times New Roman" w:eastAsia="宋体" w:cs="Times New Roman"/>
                      <w:color w:val="auto"/>
                      <w:kern w:val="0"/>
                      <w:szCs w:val="21"/>
                      <w:highlight w:val="none"/>
                      <w:lang w:val="en-US" w:eastAsia="zh-CN" w:bidi="ar"/>
                    </w:rPr>
                    <w:t>9.</w:t>
                  </w:r>
                  <w:r>
                    <w:rPr>
                      <w:rFonts w:hint="eastAsia" w:ascii="Times New Roman" w:hAnsi="Times New Roman" w:eastAsia="宋体" w:cs="Times New Roman"/>
                      <w:color w:val="auto"/>
                      <w:kern w:val="0"/>
                      <w:szCs w:val="21"/>
                      <w:highlight w:val="none"/>
                      <w:lang w:val="en-US" w:eastAsia="zh-CN" w:bidi="ar"/>
                    </w:rPr>
                    <w:t>永久基本农田集中区域禁止规划新建可能造成土壤污染的建设项目。</w:t>
                  </w:r>
                  <w:r>
                    <w:rPr>
                      <w:rFonts w:hint="default" w:ascii="Times New Roman" w:hAnsi="Times New Roman" w:eastAsia="宋体" w:cs="Times New Roman"/>
                      <w:color w:val="auto"/>
                      <w:kern w:val="0"/>
                      <w:szCs w:val="21"/>
                      <w:highlight w:val="none"/>
                      <w:lang w:val="en-US" w:eastAsia="zh-CN" w:bidi="ar"/>
                    </w:rPr>
                    <w:t>10.</w:t>
                  </w:r>
                  <w:r>
                    <w:rPr>
                      <w:rFonts w:hint="eastAsia" w:ascii="Times New Roman" w:hAnsi="Times New Roman" w:eastAsia="宋体" w:cs="Times New Roman"/>
                      <w:color w:val="auto"/>
                      <w:kern w:val="0"/>
                      <w:szCs w:val="21"/>
                      <w:highlight w:val="none"/>
                      <w:lang w:val="en-US" w:eastAsia="zh-CN" w:bidi="ar"/>
                    </w:rPr>
                    <w:t>严禁未依法完成土壤污染状况调查和风险评估以及未达到风险管控和修复目标的地块开工建设。</w:t>
                  </w:r>
                </w:p>
              </w:tc>
              <w:tc>
                <w:tcPr>
                  <w:tcW w:w="932" w:type="pct"/>
                  <w:noWrap w:val="0"/>
                  <w:vAlign w:val="center"/>
                </w:tcPr>
                <w:p w14:paraId="1E1DC41C">
                  <w:pPr>
                    <w:widowControl/>
                    <w:spacing w:line="240" w:lineRule="auto"/>
                    <w:rPr>
                      <w:rFonts w:hint="eastAsia"/>
                      <w:color w:val="auto"/>
                      <w:kern w:val="0"/>
                      <w:szCs w:val="21"/>
                      <w:highlight w:val="none"/>
                      <w:lang w:bidi="ar"/>
                    </w:rPr>
                  </w:pPr>
                  <w:r>
                    <w:rPr>
                      <w:rFonts w:hint="eastAsia"/>
                      <w:color w:val="auto"/>
                      <w:kern w:val="0"/>
                      <w:szCs w:val="21"/>
                      <w:highlight w:val="none"/>
                      <w:lang w:val="en-US" w:eastAsia="zh-CN" w:bidi="ar"/>
                    </w:rPr>
                    <w:t>1.</w:t>
                  </w:r>
                  <w:r>
                    <w:rPr>
                      <w:color w:val="auto"/>
                      <w:kern w:val="0"/>
                      <w:szCs w:val="21"/>
                      <w:highlight w:val="none"/>
                      <w:lang w:bidi="ar"/>
                    </w:rPr>
                    <w:t>本项</w:t>
                  </w:r>
                  <w:r>
                    <w:rPr>
                      <w:color w:val="auto"/>
                      <w:kern w:val="0"/>
                      <w:sz w:val="21"/>
                      <w:szCs w:val="21"/>
                      <w:highlight w:val="none"/>
                      <w:lang w:bidi="ar"/>
                    </w:rPr>
                    <w:t>目</w:t>
                  </w:r>
                  <w:r>
                    <w:rPr>
                      <w:rFonts w:hint="eastAsia"/>
                      <w:color w:val="auto"/>
                      <w:kern w:val="0"/>
                      <w:sz w:val="21"/>
                      <w:szCs w:val="21"/>
                      <w:highlight w:val="none"/>
                      <w:lang w:bidi="ar"/>
                    </w:rPr>
                    <w:t>位于</w:t>
                  </w:r>
                  <w:r>
                    <w:rPr>
                      <w:rFonts w:hint="eastAsia"/>
                      <w:color w:val="auto"/>
                      <w:sz w:val="21"/>
                      <w:szCs w:val="21"/>
                      <w:highlight w:val="none"/>
                    </w:rPr>
                    <w:t>辽宁省抚顺市抚顺县救兵镇</w:t>
                  </w:r>
                  <w:r>
                    <w:rPr>
                      <w:rFonts w:hint="eastAsia"/>
                      <w:color w:val="auto"/>
                      <w:sz w:val="21"/>
                      <w:szCs w:val="21"/>
                      <w:highlight w:val="none"/>
                      <w:lang w:eastAsia="zh-CN"/>
                    </w:rPr>
                    <w:t>康西</w:t>
                  </w:r>
                  <w:r>
                    <w:rPr>
                      <w:rFonts w:hint="eastAsia"/>
                      <w:color w:val="auto"/>
                      <w:sz w:val="21"/>
                      <w:szCs w:val="21"/>
                      <w:highlight w:val="none"/>
                    </w:rPr>
                    <w:t>村</w:t>
                  </w:r>
                  <w:r>
                    <w:rPr>
                      <w:rFonts w:hint="eastAsia"/>
                      <w:color w:val="auto"/>
                      <w:kern w:val="0"/>
                      <w:sz w:val="21"/>
                      <w:szCs w:val="21"/>
                      <w:highlight w:val="none"/>
                      <w:lang w:bidi="ar"/>
                    </w:rPr>
                    <w:t>，</w:t>
                  </w:r>
                  <w:r>
                    <w:rPr>
                      <w:rFonts w:hint="eastAsia" w:ascii="宋体" w:hAnsi="宋体" w:eastAsia="宋体" w:cs="宋体"/>
                      <w:color w:val="auto"/>
                      <w:sz w:val="21"/>
                      <w:szCs w:val="21"/>
                      <w:lang w:eastAsia="zh-CN"/>
                    </w:rPr>
                    <w:t>位于抚顺县救兵木业和新材料产业园区内，</w:t>
                  </w:r>
                  <w:r>
                    <w:rPr>
                      <w:rFonts w:hint="eastAsia"/>
                      <w:color w:val="auto"/>
                      <w:kern w:val="0"/>
                      <w:sz w:val="21"/>
                      <w:szCs w:val="21"/>
                      <w:highlight w:val="none"/>
                      <w:lang w:eastAsia="zh-CN" w:bidi="ar"/>
                    </w:rPr>
                    <w:t>为木地板制造项目，</w:t>
                  </w:r>
                  <w:r>
                    <w:rPr>
                      <w:rFonts w:hint="eastAsia"/>
                      <w:color w:val="auto"/>
                      <w:kern w:val="0"/>
                      <w:szCs w:val="21"/>
                      <w:highlight w:val="none"/>
                      <w:lang w:bidi="ar"/>
                    </w:rPr>
                    <w:t>不属于</w:t>
                  </w:r>
                  <w:r>
                    <w:rPr>
                      <w:color w:val="auto"/>
                      <w:kern w:val="0"/>
                      <w:szCs w:val="21"/>
                      <w:highlight w:val="none"/>
                      <w:lang w:bidi="ar"/>
                    </w:rPr>
                    <w:t>有色金属矿采选、有色金属冶炼、石油加工、化工、电镀等土壤污染高风险行业</w:t>
                  </w:r>
                  <w:r>
                    <w:rPr>
                      <w:rFonts w:hint="eastAsia"/>
                      <w:color w:val="auto"/>
                      <w:kern w:val="0"/>
                      <w:szCs w:val="21"/>
                      <w:highlight w:val="none"/>
                      <w:lang w:bidi="ar"/>
                    </w:rPr>
                    <w:t>。</w:t>
                  </w:r>
                </w:p>
                <w:p w14:paraId="401DA16B">
                  <w:pPr>
                    <w:widowControl/>
                    <w:spacing w:line="240" w:lineRule="auto"/>
                    <w:rPr>
                      <w:rFonts w:hint="eastAsia"/>
                      <w:color w:val="auto"/>
                      <w:kern w:val="0"/>
                      <w:szCs w:val="21"/>
                      <w:highlight w:val="none"/>
                      <w:lang w:val="en-US" w:eastAsia="zh-CN" w:bidi="ar"/>
                    </w:rPr>
                  </w:pPr>
                  <w:r>
                    <w:rPr>
                      <w:rFonts w:hint="eastAsia"/>
                      <w:color w:val="auto"/>
                      <w:kern w:val="0"/>
                      <w:szCs w:val="21"/>
                      <w:highlight w:val="none"/>
                      <w:lang w:val="en-US" w:eastAsia="zh-CN" w:bidi="ar"/>
                    </w:rPr>
                    <w:t>2.本项目不在饮用水水源保护区，为</w:t>
                  </w:r>
                  <w:r>
                    <w:rPr>
                      <w:rFonts w:hint="eastAsia"/>
                      <w:color w:val="auto"/>
                      <w:kern w:val="0"/>
                      <w:sz w:val="21"/>
                      <w:szCs w:val="21"/>
                      <w:highlight w:val="none"/>
                      <w:lang w:eastAsia="zh-CN" w:bidi="ar"/>
                    </w:rPr>
                    <w:t>木地板</w:t>
                  </w:r>
                  <w:r>
                    <w:rPr>
                      <w:rFonts w:hint="eastAsia"/>
                      <w:color w:val="auto"/>
                      <w:kern w:val="0"/>
                      <w:szCs w:val="21"/>
                      <w:highlight w:val="none"/>
                      <w:lang w:val="en-US" w:eastAsia="zh-CN" w:bidi="ar"/>
                    </w:rPr>
                    <w:t>制造项目，不属于土壤和地下水重点监管单位，</w:t>
                  </w:r>
                  <w:r>
                    <w:rPr>
                      <w:rFonts w:hint="default" w:ascii="Times New Roman" w:hAnsi="Times New Roman" w:eastAsia="宋体" w:cs="Times New Roman"/>
                      <w:color w:val="auto"/>
                      <w:sz w:val="21"/>
                      <w:szCs w:val="21"/>
                      <w:highlight w:val="none"/>
                    </w:rPr>
                    <w:t>污染区按照不同分区要求，采取不同等级的防渗措施，并确保其可靠性和有效性。</w:t>
                  </w:r>
                  <w:r>
                    <w:rPr>
                      <w:rFonts w:hint="default" w:ascii="Times New Roman" w:hAnsi="Times New Roman" w:cs="Times New Roman"/>
                      <w:color w:val="auto"/>
                      <w:szCs w:val="21"/>
                    </w:rPr>
                    <w:t>运营期间不会污染土壤及饮用水水源保护区，无导致土壤环境质量下降的活动</w:t>
                  </w:r>
                  <w:r>
                    <w:rPr>
                      <w:rFonts w:hint="eastAsia"/>
                      <w:color w:val="auto"/>
                      <w:kern w:val="0"/>
                      <w:szCs w:val="21"/>
                      <w:highlight w:val="none"/>
                      <w:lang w:val="en-US" w:eastAsia="zh-CN" w:bidi="ar"/>
                    </w:rPr>
                    <w:t>。</w:t>
                  </w:r>
                </w:p>
                <w:p w14:paraId="459A58D8">
                  <w:pPr>
                    <w:widowControl/>
                    <w:spacing w:line="240" w:lineRule="auto"/>
                    <w:jc w:val="both"/>
                    <w:rPr>
                      <w:rFonts w:hint="default" w:eastAsia="宋体"/>
                      <w:color w:val="auto"/>
                      <w:kern w:val="0"/>
                      <w:szCs w:val="21"/>
                      <w:highlight w:val="none"/>
                      <w:lang w:val="en-US" w:eastAsia="zh-CN" w:bidi="ar"/>
                    </w:rPr>
                  </w:pPr>
                  <w:r>
                    <w:rPr>
                      <w:rFonts w:hint="eastAsia" w:ascii="Times New Roman" w:hAnsi="Times New Roman" w:cs="Times New Roman"/>
                      <w:color w:val="auto"/>
                      <w:sz w:val="21"/>
                      <w:szCs w:val="21"/>
                      <w:highlight w:val="none"/>
                      <w:lang w:val="en-US" w:eastAsia="zh-CN"/>
                    </w:rPr>
                    <w:t>3.本项目产生的固体废物</w:t>
                  </w:r>
                  <w:r>
                    <w:rPr>
                      <w:rFonts w:hint="default" w:ascii="Times New Roman" w:hAnsi="Times New Roman" w:eastAsia="宋体" w:cs="Times New Roman"/>
                      <w:color w:val="auto"/>
                      <w:sz w:val="21"/>
                      <w:szCs w:val="21"/>
                      <w:highlight w:val="none"/>
                      <w:lang w:eastAsia="zh-CN"/>
                    </w:rPr>
                    <w:t>满足《一般工业固体废物贮存和处置场污染控制标准》（GB18599-2020）</w:t>
                  </w:r>
                  <w:r>
                    <w:rPr>
                      <w:rFonts w:hint="eastAsia" w:ascii="Times New Roman" w:hAnsi="Times New Roman" w:eastAsia="宋体" w:cs="Times New Roman"/>
                      <w:color w:val="auto"/>
                      <w:sz w:val="21"/>
                      <w:szCs w:val="21"/>
                      <w:highlight w:val="none"/>
                      <w:lang w:eastAsia="zh-CN"/>
                    </w:rPr>
                    <w:t>、</w:t>
                  </w:r>
                  <w:r>
                    <w:rPr>
                      <w:rFonts w:ascii="Times New Roman" w:hAnsi="Times New Roman" w:cs="Times New Roman"/>
                      <w:color w:val="auto"/>
                    </w:rPr>
                    <w:t>《危险废物贮存污染控制标准》（GB18597-2023）</w:t>
                  </w:r>
                  <w:r>
                    <w:rPr>
                      <w:rFonts w:hint="default" w:ascii="Times New Roman" w:hAnsi="Times New Roman" w:eastAsia="宋体" w:cs="Times New Roman"/>
                      <w:color w:val="auto"/>
                      <w:sz w:val="21"/>
                      <w:szCs w:val="21"/>
                      <w:highlight w:val="none"/>
                      <w:lang w:eastAsia="zh-CN"/>
                    </w:rPr>
                    <w:t>以及《环境影响评价技术导则</w:t>
                  </w:r>
                  <w:r>
                    <w:rPr>
                      <w:rFonts w:hint="eastAsia" w:ascii="Times New Roman" w:hAnsi="Times New Roman" w:eastAsia="宋体" w:cs="Times New Roman"/>
                      <w:color w:val="auto"/>
                      <w:sz w:val="21"/>
                      <w:szCs w:val="21"/>
                      <w:highlight w:val="none"/>
                      <w:lang w:eastAsia="zh-CN"/>
                    </w:rPr>
                    <w:t xml:space="preserve"> 地下水</w:t>
                  </w:r>
                  <w:r>
                    <w:rPr>
                      <w:rFonts w:hint="default" w:ascii="Times New Roman" w:hAnsi="Times New Roman" w:eastAsia="宋体" w:cs="Times New Roman"/>
                      <w:color w:val="auto"/>
                      <w:sz w:val="21"/>
                      <w:szCs w:val="21"/>
                      <w:highlight w:val="none"/>
                      <w:lang w:eastAsia="zh-CN"/>
                    </w:rPr>
                    <w:t>环境》（</w:t>
                  </w:r>
                  <w:r>
                    <w:rPr>
                      <w:rFonts w:hint="eastAsia" w:ascii="Times New Roman" w:hAnsi="Times New Roman" w:eastAsia="宋体" w:cs="Times New Roman"/>
                      <w:color w:val="auto"/>
                      <w:sz w:val="21"/>
                      <w:szCs w:val="21"/>
                      <w:highlight w:val="none"/>
                      <w:lang w:eastAsia="zh-CN"/>
                    </w:rPr>
                    <w:t>HJ 610-2016</w:t>
                  </w:r>
                  <w:r>
                    <w:rPr>
                      <w:rFonts w:hint="default" w:ascii="Times New Roman" w:hAnsi="Times New Roman" w:eastAsia="宋体" w:cs="Times New Roman"/>
                      <w:color w:val="auto"/>
                      <w:sz w:val="21"/>
                      <w:szCs w:val="21"/>
                      <w:highlight w:val="none"/>
                      <w:lang w:eastAsia="zh-CN"/>
                    </w:rPr>
                    <w:t>）相关要求。</w:t>
                  </w:r>
                </w:p>
              </w:tc>
              <w:tc>
                <w:tcPr>
                  <w:tcW w:w="342" w:type="pct"/>
                  <w:noWrap w:val="0"/>
                  <w:vAlign w:val="center"/>
                </w:tcPr>
                <w:p w14:paraId="033E104B">
                  <w:pPr>
                    <w:pStyle w:val="13"/>
                    <w:spacing w:line="240" w:lineRule="auto"/>
                    <w:jc w:val="center"/>
                    <w:rPr>
                      <w:rFonts w:ascii="Times New Roman" w:hAnsi="Times New Roman"/>
                      <w:color w:val="auto"/>
                      <w:szCs w:val="21"/>
                      <w:highlight w:val="none"/>
                    </w:rPr>
                  </w:pPr>
                  <w:r>
                    <w:rPr>
                      <w:rFonts w:ascii="Times New Roman" w:hAnsi="Times New Roman"/>
                      <w:color w:val="auto"/>
                      <w:szCs w:val="21"/>
                      <w:highlight w:val="none"/>
                    </w:rPr>
                    <w:t>符合</w:t>
                  </w:r>
                </w:p>
              </w:tc>
            </w:tr>
            <w:tr w14:paraId="223296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5" w:type="pct"/>
                  <w:noWrap w:val="0"/>
                  <w:vAlign w:val="center"/>
                </w:tcPr>
                <w:p w14:paraId="7BE2294E">
                  <w:pPr>
                    <w:widowControl/>
                    <w:jc w:val="center"/>
                    <w:rPr>
                      <w:rFonts w:ascii="Times New Roman" w:hAnsi="Times New Roman"/>
                      <w:color w:val="auto"/>
                      <w:szCs w:val="21"/>
                      <w:highlight w:val="none"/>
                    </w:rPr>
                  </w:pPr>
                  <w:r>
                    <w:rPr>
                      <w:color w:val="auto"/>
                      <w:kern w:val="0"/>
                      <w:szCs w:val="21"/>
                      <w:highlight w:val="none"/>
                      <w:lang w:bidi="ar"/>
                    </w:rPr>
                    <w:t>资源开发效率要求</w:t>
                  </w:r>
                </w:p>
              </w:tc>
              <w:tc>
                <w:tcPr>
                  <w:tcW w:w="3169" w:type="pct"/>
                  <w:noWrap w:val="0"/>
                  <w:vAlign w:val="center"/>
                </w:tcPr>
                <w:p w14:paraId="70C9ACF4">
                  <w:pPr>
                    <w:widowControl/>
                    <w:spacing w:line="240" w:lineRule="auto"/>
                    <w:rPr>
                      <w:color w:val="auto"/>
                      <w:szCs w:val="21"/>
                      <w:highlight w:val="none"/>
                    </w:rPr>
                  </w:pPr>
                  <w:r>
                    <w:rPr>
                      <w:rFonts w:hint="default" w:ascii="Times New Roman" w:hAnsi="Times New Roman" w:eastAsia="宋体" w:cs="Times New Roman"/>
                      <w:color w:val="auto"/>
                      <w:kern w:val="0"/>
                      <w:szCs w:val="21"/>
                      <w:highlight w:val="none"/>
                      <w:lang w:val="en-US" w:eastAsia="zh-CN" w:bidi="ar"/>
                    </w:rPr>
                    <w:t>1.</w:t>
                  </w:r>
                  <w:r>
                    <w:rPr>
                      <w:rFonts w:hint="eastAsia" w:ascii="Times New Roman" w:hAnsi="Times New Roman" w:eastAsia="宋体" w:cs="Times New Roman"/>
                      <w:color w:val="auto"/>
                      <w:kern w:val="0"/>
                      <w:szCs w:val="21"/>
                      <w:highlight w:val="none"/>
                      <w:lang w:val="en-US" w:eastAsia="zh-CN" w:bidi="ar"/>
                    </w:rPr>
                    <w:t>到</w:t>
                  </w:r>
                  <w:r>
                    <w:rPr>
                      <w:rFonts w:hint="default" w:ascii="Times New Roman" w:hAnsi="Times New Roman" w:eastAsia="宋体" w:cs="Times New Roman"/>
                      <w:color w:val="auto"/>
                      <w:kern w:val="0"/>
                      <w:szCs w:val="21"/>
                      <w:highlight w:val="none"/>
                      <w:lang w:val="en-US" w:eastAsia="zh-CN" w:bidi="ar"/>
                    </w:rPr>
                    <w:t>2025</w:t>
                  </w:r>
                  <w:r>
                    <w:rPr>
                      <w:rFonts w:hint="eastAsia" w:ascii="Times New Roman" w:hAnsi="Times New Roman" w:eastAsia="宋体" w:cs="Times New Roman"/>
                      <w:color w:val="auto"/>
                      <w:kern w:val="0"/>
                      <w:szCs w:val="21"/>
                      <w:highlight w:val="none"/>
                      <w:lang w:val="en-US" w:eastAsia="zh-CN" w:bidi="ar"/>
                    </w:rPr>
                    <w:t>年，全市生产总值能耗比</w:t>
                  </w:r>
                  <w:r>
                    <w:rPr>
                      <w:rFonts w:hint="default" w:ascii="Times New Roman" w:hAnsi="Times New Roman" w:eastAsia="宋体" w:cs="Times New Roman"/>
                      <w:color w:val="auto"/>
                      <w:kern w:val="0"/>
                      <w:szCs w:val="21"/>
                      <w:highlight w:val="none"/>
                      <w:lang w:val="en-US" w:eastAsia="zh-CN" w:bidi="ar"/>
                    </w:rPr>
                    <w:t>2020</w:t>
                  </w:r>
                  <w:r>
                    <w:rPr>
                      <w:rFonts w:hint="eastAsia" w:ascii="Times New Roman" w:hAnsi="Times New Roman" w:eastAsia="宋体" w:cs="Times New Roman"/>
                      <w:color w:val="auto"/>
                      <w:kern w:val="0"/>
                      <w:szCs w:val="21"/>
                      <w:highlight w:val="none"/>
                      <w:lang w:val="en-US" w:eastAsia="zh-CN" w:bidi="ar"/>
                    </w:rPr>
                    <w:t>年下降，煤炭占能源消费总量比重下降，电煤占煤炭消费量比重提高，非石化能源消费占能源消费总量比重提高，天然气消费比重提高。新生产燃煤工业锅炉效率和燃气锅炉效率提高。</w:t>
                  </w:r>
                  <w:r>
                    <w:rPr>
                      <w:rFonts w:hint="default" w:ascii="Times New Roman" w:hAnsi="Times New Roman" w:eastAsia="宋体" w:cs="Times New Roman"/>
                      <w:color w:val="auto"/>
                      <w:kern w:val="0"/>
                      <w:szCs w:val="21"/>
                      <w:highlight w:val="none"/>
                      <w:lang w:val="en-US" w:eastAsia="zh-CN" w:bidi="ar"/>
                    </w:rPr>
                    <w:t>2.</w:t>
                  </w:r>
                  <w:r>
                    <w:rPr>
                      <w:rFonts w:hint="eastAsia" w:ascii="Times New Roman" w:hAnsi="Times New Roman" w:eastAsia="宋体" w:cs="Times New Roman"/>
                      <w:color w:val="auto"/>
                      <w:kern w:val="0"/>
                      <w:szCs w:val="21"/>
                      <w:highlight w:val="none"/>
                      <w:lang w:val="en-US" w:eastAsia="zh-CN" w:bidi="ar"/>
                    </w:rPr>
                    <w:t>到</w:t>
                  </w:r>
                  <w:r>
                    <w:rPr>
                      <w:rFonts w:hint="default" w:ascii="Times New Roman" w:hAnsi="Times New Roman" w:eastAsia="宋体" w:cs="Times New Roman"/>
                      <w:color w:val="auto"/>
                      <w:kern w:val="0"/>
                      <w:szCs w:val="21"/>
                      <w:highlight w:val="none"/>
                      <w:lang w:val="en-US" w:eastAsia="zh-CN" w:bidi="ar"/>
                    </w:rPr>
                    <w:t>2025</w:t>
                  </w:r>
                  <w:r>
                    <w:rPr>
                      <w:rFonts w:hint="eastAsia" w:ascii="Times New Roman" w:hAnsi="Times New Roman" w:eastAsia="宋体" w:cs="Times New Roman"/>
                      <w:color w:val="auto"/>
                      <w:kern w:val="0"/>
                      <w:szCs w:val="21"/>
                      <w:highlight w:val="none"/>
                      <w:lang w:val="en-US" w:eastAsia="zh-CN" w:bidi="ar"/>
                    </w:rPr>
                    <w:t>年，单位地区生产总值二氧化碳排放比</w:t>
                  </w:r>
                  <w:r>
                    <w:rPr>
                      <w:rFonts w:hint="default" w:ascii="Times New Roman" w:hAnsi="Times New Roman" w:eastAsia="宋体" w:cs="Times New Roman"/>
                      <w:color w:val="auto"/>
                      <w:kern w:val="0"/>
                      <w:szCs w:val="21"/>
                      <w:highlight w:val="none"/>
                      <w:lang w:val="en-US" w:eastAsia="zh-CN" w:bidi="ar"/>
                    </w:rPr>
                    <w:t>2020</w:t>
                  </w:r>
                  <w:r>
                    <w:rPr>
                      <w:rFonts w:hint="eastAsia" w:ascii="Times New Roman" w:hAnsi="Times New Roman" w:eastAsia="宋体" w:cs="Times New Roman"/>
                      <w:color w:val="auto"/>
                      <w:kern w:val="0"/>
                      <w:szCs w:val="21"/>
                      <w:highlight w:val="none"/>
                      <w:lang w:val="en-US" w:eastAsia="zh-CN" w:bidi="ar"/>
                    </w:rPr>
                    <w:t>年下降确保完成辽宁省下达指标。</w:t>
                  </w:r>
                  <w:r>
                    <w:rPr>
                      <w:rFonts w:hint="default" w:ascii="Times New Roman" w:hAnsi="Times New Roman" w:eastAsia="宋体" w:cs="Times New Roman"/>
                      <w:color w:val="auto"/>
                      <w:kern w:val="0"/>
                      <w:szCs w:val="21"/>
                      <w:highlight w:val="none"/>
                      <w:lang w:val="en-US" w:eastAsia="zh-CN" w:bidi="ar"/>
                    </w:rPr>
                    <w:t>3.</w:t>
                  </w:r>
                  <w:r>
                    <w:rPr>
                      <w:rFonts w:hint="eastAsia" w:ascii="Times New Roman" w:hAnsi="Times New Roman" w:eastAsia="宋体" w:cs="Times New Roman"/>
                      <w:color w:val="auto"/>
                      <w:kern w:val="0"/>
                      <w:szCs w:val="21"/>
                      <w:highlight w:val="none"/>
                      <w:lang w:val="en-US" w:eastAsia="zh-CN" w:bidi="ar"/>
                    </w:rPr>
                    <w:t>除依据城市供热专项规划确需保留的供暖锅炉以外，城市建成区</w:t>
                  </w:r>
                  <w:r>
                    <w:rPr>
                      <w:rFonts w:hint="default" w:ascii="Times New Roman" w:hAnsi="Times New Roman" w:eastAsia="宋体" w:cs="Times New Roman"/>
                      <w:color w:val="auto"/>
                      <w:kern w:val="0"/>
                      <w:szCs w:val="21"/>
                      <w:highlight w:val="none"/>
                      <w:lang w:val="en-US" w:eastAsia="zh-CN" w:bidi="ar"/>
                    </w:rPr>
                    <w:t>20</w:t>
                  </w:r>
                  <w:r>
                    <w:rPr>
                      <w:rFonts w:hint="eastAsia" w:ascii="Times New Roman" w:hAnsi="Times New Roman" w:eastAsia="宋体" w:cs="Times New Roman"/>
                      <w:color w:val="auto"/>
                      <w:kern w:val="0"/>
                      <w:szCs w:val="21"/>
                      <w:highlight w:val="none"/>
                      <w:lang w:val="en-US" w:eastAsia="zh-CN" w:bidi="ar"/>
                    </w:rPr>
                    <w:t>蒸吨</w:t>
                  </w:r>
                  <w:r>
                    <w:rPr>
                      <w:rFonts w:hint="default" w:ascii="Times New Roman" w:hAnsi="Times New Roman" w:eastAsia="宋体" w:cs="Times New Roman"/>
                      <w:color w:val="auto"/>
                      <w:kern w:val="0"/>
                      <w:szCs w:val="21"/>
                      <w:highlight w:val="none"/>
                      <w:lang w:val="en-US" w:eastAsia="zh-CN" w:bidi="ar"/>
                    </w:rPr>
                    <w:t>/</w:t>
                  </w:r>
                  <w:r>
                    <w:rPr>
                      <w:rFonts w:hint="eastAsia" w:ascii="Times New Roman" w:hAnsi="Times New Roman" w:eastAsia="宋体" w:cs="Times New Roman"/>
                      <w:color w:val="auto"/>
                      <w:kern w:val="0"/>
                      <w:szCs w:val="21"/>
                      <w:highlight w:val="none"/>
                      <w:lang w:val="en-US" w:eastAsia="zh-CN" w:bidi="ar"/>
                    </w:rPr>
                    <w:t>小时（或</w:t>
                  </w:r>
                  <w:r>
                    <w:rPr>
                      <w:rFonts w:hint="default" w:ascii="Times New Roman" w:hAnsi="Times New Roman" w:eastAsia="宋体" w:cs="Times New Roman"/>
                      <w:color w:val="auto"/>
                      <w:kern w:val="0"/>
                      <w:szCs w:val="21"/>
                      <w:highlight w:val="none"/>
                      <w:lang w:val="en-US" w:eastAsia="zh-CN" w:bidi="ar"/>
                    </w:rPr>
                    <w:t>14</w:t>
                  </w:r>
                  <w:r>
                    <w:rPr>
                      <w:rFonts w:hint="eastAsia" w:ascii="Times New Roman" w:hAnsi="Times New Roman" w:eastAsia="宋体" w:cs="Times New Roman"/>
                      <w:color w:val="auto"/>
                      <w:kern w:val="0"/>
                      <w:szCs w:val="21"/>
                      <w:highlight w:val="none"/>
                      <w:lang w:val="en-US" w:eastAsia="zh-CN" w:bidi="ar"/>
                    </w:rPr>
                    <w:t>兆瓦）及以下燃煤锅炉全部予以淘汰。</w:t>
                  </w:r>
                  <w:r>
                    <w:rPr>
                      <w:rFonts w:hint="default" w:ascii="Times New Roman" w:hAnsi="Times New Roman" w:eastAsia="宋体" w:cs="Times New Roman"/>
                      <w:color w:val="auto"/>
                      <w:kern w:val="0"/>
                      <w:szCs w:val="21"/>
                      <w:highlight w:val="none"/>
                      <w:lang w:val="en-US" w:eastAsia="zh-CN" w:bidi="ar"/>
                    </w:rPr>
                    <w:t>4.</w:t>
                  </w:r>
                  <w:r>
                    <w:rPr>
                      <w:rFonts w:hint="eastAsia" w:ascii="Times New Roman" w:hAnsi="Times New Roman" w:eastAsia="宋体" w:cs="Times New Roman"/>
                      <w:color w:val="auto"/>
                      <w:kern w:val="0"/>
                      <w:szCs w:val="21"/>
                      <w:highlight w:val="none"/>
                      <w:lang w:val="en-US" w:eastAsia="zh-CN" w:bidi="ar"/>
                    </w:rPr>
                    <w:t>禁燃区内不得新建、扩建高污染燃料燃用设施，对于禁燃区内现有的高污染燃料燃用设施，应按照市、区政府规定的期限予以拆除或者改用天然气、液化石油气、电等清洁能源。禁燃区内禁止销售、使用高污染燃料，包括除单台出力大于等于</w:t>
                  </w:r>
                  <w:r>
                    <w:rPr>
                      <w:rFonts w:hint="default" w:ascii="Times New Roman" w:hAnsi="Times New Roman" w:eastAsia="宋体" w:cs="Times New Roman"/>
                      <w:color w:val="auto"/>
                      <w:kern w:val="0"/>
                      <w:szCs w:val="21"/>
                      <w:highlight w:val="none"/>
                      <w:lang w:val="en-US" w:eastAsia="zh-CN" w:bidi="ar"/>
                    </w:rPr>
                    <w:t>20</w:t>
                  </w:r>
                  <w:r>
                    <w:rPr>
                      <w:rFonts w:hint="eastAsia" w:ascii="Times New Roman" w:hAnsi="Times New Roman" w:eastAsia="宋体" w:cs="Times New Roman"/>
                      <w:color w:val="auto"/>
                      <w:kern w:val="0"/>
                      <w:szCs w:val="21"/>
                      <w:highlight w:val="none"/>
                      <w:lang w:val="en-US" w:eastAsia="zh-CN" w:bidi="ar"/>
                    </w:rPr>
                    <w:t>蒸吨</w:t>
                  </w:r>
                  <w:r>
                    <w:rPr>
                      <w:rFonts w:hint="default" w:ascii="Times New Roman" w:hAnsi="Times New Roman" w:eastAsia="宋体" w:cs="Times New Roman"/>
                      <w:color w:val="auto"/>
                      <w:kern w:val="0"/>
                      <w:szCs w:val="21"/>
                      <w:highlight w:val="none"/>
                      <w:lang w:val="en-US" w:eastAsia="zh-CN" w:bidi="ar"/>
                    </w:rPr>
                    <w:t>/</w:t>
                  </w:r>
                  <w:r>
                    <w:rPr>
                      <w:rFonts w:hint="eastAsia" w:ascii="Times New Roman" w:hAnsi="Times New Roman" w:eastAsia="宋体" w:cs="Times New Roman"/>
                      <w:color w:val="auto"/>
                      <w:kern w:val="0"/>
                      <w:szCs w:val="21"/>
                      <w:highlight w:val="none"/>
                      <w:lang w:val="en-US" w:eastAsia="zh-CN" w:bidi="ar"/>
                    </w:rPr>
                    <w:t>小时锅炉以外燃用的煤炭及其制品；石油焦、油页岩、原油、重油、渣油、煤焦油。对于新建、扩建燃用高污染燃料设施，销售、燃用高污染燃料以及超标排放大气污染物的，由生态环境、市场监管等部门依法查处。</w:t>
                  </w:r>
                  <w:r>
                    <w:rPr>
                      <w:rFonts w:hint="default" w:ascii="Times New Roman" w:hAnsi="Times New Roman" w:eastAsia="宋体" w:cs="Times New Roman"/>
                      <w:color w:val="auto"/>
                      <w:kern w:val="0"/>
                      <w:szCs w:val="21"/>
                      <w:highlight w:val="none"/>
                      <w:lang w:val="en-US" w:eastAsia="zh-CN" w:bidi="ar"/>
                    </w:rPr>
                    <w:t>5.2025</w:t>
                  </w:r>
                  <w:r>
                    <w:rPr>
                      <w:rFonts w:hint="eastAsia" w:ascii="Times New Roman" w:hAnsi="Times New Roman" w:eastAsia="宋体" w:cs="Times New Roman"/>
                      <w:color w:val="auto"/>
                      <w:kern w:val="0"/>
                      <w:szCs w:val="21"/>
                      <w:highlight w:val="none"/>
                      <w:lang w:val="en-US" w:eastAsia="zh-CN" w:bidi="ar"/>
                    </w:rPr>
                    <w:t>年区域用水总量比</w:t>
                  </w:r>
                  <w:r>
                    <w:rPr>
                      <w:rFonts w:hint="default" w:ascii="Times New Roman" w:hAnsi="Times New Roman" w:eastAsia="宋体" w:cs="Times New Roman"/>
                      <w:color w:val="auto"/>
                      <w:kern w:val="0"/>
                      <w:szCs w:val="21"/>
                      <w:highlight w:val="none"/>
                      <w:lang w:val="en-US" w:eastAsia="zh-CN" w:bidi="ar"/>
                    </w:rPr>
                    <w:t>2020</w:t>
                  </w:r>
                  <w:r>
                    <w:rPr>
                      <w:rFonts w:hint="eastAsia" w:ascii="Times New Roman" w:hAnsi="Times New Roman" w:eastAsia="宋体" w:cs="Times New Roman"/>
                      <w:color w:val="auto"/>
                      <w:kern w:val="0"/>
                      <w:szCs w:val="21"/>
                      <w:highlight w:val="none"/>
                      <w:lang w:val="en-US" w:eastAsia="zh-CN" w:bidi="ar"/>
                    </w:rPr>
                    <w:t>年减少，农田灌溉水有效利用系数高于</w:t>
                  </w:r>
                  <w:r>
                    <w:rPr>
                      <w:rFonts w:hint="default" w:ascii="Times New Roman" w:hAnsi="Times New Roman" w:eastAsia="宋体" w:cs="Times New Roman"/>
                      <w:color w:val="auto"/>
                      <w:kern w:val="0"/>
                      <w:szCs w:val="21"/>
                      <w:highlight w:val="none"/>
                      <w:lang w:val="en-US" w:eastAsia="zh-CN" w:bidi="ar"/>
                    </w:rPr>
                    <w:t>0.587</w:t>
                  </w:r>
                  <w:r>
                    <w:rPr>
                      <w:rFonts w:hint="eastAsia" w:ascii="Times New Roman" w:hAnsi="Times New Roman" w:eastAsia="宋体" w:cs="Times New Roman"/>
                      <w:color w:val="auto"/>
                      <w:kern w:val="0"/>
                      <w:szCs w:val="21"/>
                      <w:highlight w:val="none"/>
                      <w:lang w:val="en-US" w:eastAsia="zh-CN" w:bidi="ar"/>
                    </w:rPr>
                    <w:t>，万元工业增加值用水量比</w:t>
                  </w:r>
                  <w:r>
                    <w:rPr>
                      <w:rFonts w:hint="default" w:ascii="Times New Roman" w:hAnsi="Times New Roman" w:eastAsia="宋体" w:cs="Times New Roman"/>
                      <w:color w:val="auto"/>
                      <w:kern w:val="0"/>
                      <w:szCs w:val="21"/>
                      <w:highlight w:val="none"/>
                      <w:lang w:val="en-US" w:eastAsia="zh-CN" w:bidi="ar"/>
                    </w:rPr>
                    <w:t>2020</w:t>
                  </w:r>
                  <w:r>
                    <w:rPr>
                      <w:rFonts w:hint="eastAsia" w:ascii="Times New Roman" w:hAnsi="Times New Roman" w:eastAsia="宋体" w:cs="Times New Roman"/>
                      <w:color w:val="auto"/>
                      <w:kern w:val="0"/>
                      <w:szCs w:val="21"/>
                      <w:highlight w:val="none"/>
                      <w:lang w:val="en-US" w:eastAsia="zh-CN" w:bidi="ar"/>
                    </w:rPr>
                    <w:t>年降低，万元</w:t>
                  </w:r>
                  <w:r>
                    <w:rPr>
                      <w:rFonts w:hint="default" w:ascii="Times New Roman" w:hAnsi="Times New Roman" w:eastAsia="宋体" w:cs="Times New Roman"/>
                      <w:color w:val="auto"/>
                      <w:kern w:val="0"/>
                      <w:szCs w:val="21"/>
                      <w:highlight w:val="none"/>
                      <w:lang w:val="en-US" w:eastAsia="zh-CN" w:bidi="ar"/>
                    </w:rPr>
                    <w:t>GDP</w:t>
                  </w:r>
                  <w:r>
                    <w:rPr>
                      <w:rFonts w:hint="eastAsia" w:ascii="Times New Roman" w:hAnsi="Times New Roman" w:eastAsia="宋体" w:cs="Times New Roman"/>
                      <w:color w:val="auto"/>
                      <w:kern w:val="0"/>
                      <w:szCs w:val="21"/>
                      <w:highlight w:val="none"/>
                      <w:lang w:val="en-US" w:eastAsia="zh-CN" w:bidi="ar"/>
                    </w:rPr>
                    <w:t>用水量比</w:t>
                  </w:r>
                  <w:r>
                    <w:rPr>
                      <w:rFonts w:hint="default" w:ascii="Times New Roman" w:hAnsi="Times New Roman" w:eastAsia="宋体" w:cs="Times New Roman"/>
                      <w:color w:val="auto"/>
                      <w:kern w:val="0"/>
                      <w:szCs w:val="21"/>
                      <w:highlight w:val="none"/>
                      <w:lang w:val="en-US" w:eastAsia="zh-CN" w:bidi="ar"/>
                    </w:rPr>
                    <w:t>2020</w:t>
                  </w:r>
                  <w:r>
                    <w:rPr>
                      <w:rFonts w:hint="eastAsia" w:ascii="Times New Roman" w:hAnsi="Times New Roman" w:eastAsia="宋体" w:cs="Times New Roman"/>
                      <w:color w:val="auto"/>
                      <w:kern w:val="0"/>
                      <w:szCs w:val="21"/>
                      <w:highlight w:val="none"/>
                      <w:lang w:val="en-US" w:eastAsia="zh-CN" w:bidi="ar"/>
                    </w:rPr>
                    <w:t>年降低。</w:t>
                  </w:r>
                  <w:r>
                    <w:rPr>
                      <w:rFonts w:hint="default" w:ascii="Times New Roman" w:hAnsi="Times New Roman" w:eastAsia="宋体" w:cs="Times New Roman"/>
                      <w:color w:val="auto"/>
                      <w:kern w:val="0"/>
                      <w:szCs w:val="21"/>
                      <w:highlight w:val="none"/>
                      <w:lang w:val="en-US" w:eastAsia="zh-CN" w:bidi="ar"/>
                    </w:rPr>
                    <w:t>6.</w:t>
                  </w:r>
                  <w:r>
                    <w:rPr>
                      <w:rFonts w:hint="eastAsia" w:ascii="Times New Roman" w:hAnsi="Times New Roman" w:eastAsia="宋体" w:cs="Times New Roman"/>
                      <w:color w:val="auto"/>
                      <w:kern w:val="0"/>
                      <w:szCs w:val="21"/>
                      <w:highlight w:val="none"/>
                      <w:lang w:val="en-US" w:eastAsia="zh-CN" w:bidi="ar"/>
                    </w:rPr>
                    <w:t>严禁未依法完成土壤污染状况调查和风险评估以及未达到风险管控和修复目标的地块开工建设。</w:t>
                  </w:r>
                  <w:r>
                    <w:rPr>
                      <w:rFonts w:hint="default" w:ascii="Times New Roman" w:hAnsi="Times New Roman" w:eastAsia="宋体" w:cs="Times New Roman"/>
                      <w:color w:val="auto"/>
                      <w:kern w:val="0"/>
                      <w:szCs w:val="21"/>
                      <w:highlight w:val="none"/>
                      <w:lang w:val="en-US" w:eastAsia="zh-CN" w:bidi="ar"/>
                    </w:rPr>
                    <w:t>7.</w:t>
                  </w:r>
                  <w:r>
                    <w:rPr>
                      <w:rFonts w:hint="eastAsia" w:ascii="Times New Roman" w:hAnsi="Times New Roman" w:eastAsia="宋体" w:cs="Times New Roman"/>
                      <w:color w:val="auto"/>
                      <w:kern w:val="0"/>
                      <w:szCs w:val="21"/>
                      <w:highlight w:val="none"/>
                      <w:lang w:val="en-US" w:eastAsia="zh-CN" w:bidi="ar"/>
                    </w:rPr>
                    <w:t>永久基本农田集中区域禁止规划新建可能造成土壤污染的建设项目。</w:t>
                  </w:r>
                </w:p>
              </w:tc>
              <w:tc>
                <w:tcPr>
                  <w:tcW w:w="932" w:type="pct"/>
                  <w:noWrap w:val="0"/>
                  <w:vAlign w:val="center"/>
                </w:tcPr>
                <w:p w14:paraId="1BA0E2BC">
                  <w:pPr>
                    <w:spacing w:line="240" w:lineRule="auto"/>
                    <w:rPr>
                      <w:rFonts w:ascii="Times New Roman" w:hAnsi="Times New Roman"/>
                      <w:color w:val="auto"/>
                      <w:szCs w:val="21"/>
                      <w:highlight w:val="none"/>
                    </w:rPr>
                  </w:pPr>
                  <w:r>
                    <w:rPr>
                      <w:rFonts w:ascii="Times New Roman" w:hAnsi="Times New Roman"/>
                      <w:color w:val="auto"/>
                      <w:szCs w:val="21"/>
                      <w:highlight w:val="none"/>
                    </w:rPr>
                    <w:t>本项目</w:t>
                  </w:r>
                  <w:r>
                    <w:rPr>
                      <w:rFonts w:hint="default" w:ascii="Times New Roman" w:hAnsi="Times New Roman" w:eastAsia="宋体" w:cs="Times New Roman"/>
                      <w:color w:val="auto"/>
                      <w:sz w:val="21"/>
                      <w:szCs w:val="21"/>
                      <w:highlight w:val="none"/>
                    </w:rPr>
                    <w:t>不涉及</w:t>
                  </w:r>
                  <w:r>
                    <w:rPr>
                      <w:rFonts w:hint="eastAsia" w:ascii="Times New Roman" w:hAnsi="Times New Roman" w:eastAsia="宋体" w:cs="Times New Roman"/>
                      <w:color w:val="auto"/>
                      <w:sz w:val="21"/>
                      <w:szCs w:val="21"/>
                      <w:highlight w:val="none"/>
                      <w:lang w:eastAsia="zh-CN"/>
                    </w:rPr>
                    <w:t>锅炉</w:t>
                  </w:r>
                  <w:r>
                    <w:rPr>
                      <w:rFonts w:hint="eastAsia" w:ascii="Times New Roman" w:hAnsi="Times New Roman"/>
                      <w:color w:val="auto"/>
                      <w:szCs w:val="21"/>
                      <w:highlight w:val="none"/>
                      <w:lang w:eastAsia="zh-CN"/>
                    </w:rPr>
                    <w:t>，不使用燃料；</w:t>
                  </w:r>
                  <w:r>
                    <w:rPr>
                      <w:rFonts w:hint="eastAsia" w:ascii="Times New Roman" w:hAnsi="Times New Roman"/>
                      <w:color w:val="auto"/>
                      <w:szCs w:val="21"/>
                      <w:highlight w:val="none"/>
                    </w:rPr>
                    <w:t>用水仅为</w:t>
                  </w:r>
                  <w:r>
                    <w:rPr>
                      <w:rFonts w:hint="eastAsia" w:ascii="Times New Roman" w:hAnsi="Times New Roman"/>
                      <w:color w:val="auto"/>
                      <w:szCs w:val="21"/>
                      <w:highlight w:val="none"/>
                      <w:lang w:eastAsia="zh-CN"/>
                    </w:rPr>
                    <w:t>生活用水</w:t>
                  </w:r>
                  <w:r>
                    <w:rPr>
                      <w:rFonts w:ascii="Times New Roman" w:hAnsi="Times New Roman"/>
                      <w:color w:val="auto"/>
                      <w:szCs w:val="21"/>
                      <w:highlight w:val="none"/>
                    </w:rPr>
                    <w:t>，</w:t>
                  </w:r>
                  <w:r>
                    <w:rPr>
                      <w:rFonts w:hint="eastAsia" w:ascii="Times New Roman" w:hAnsi="Times New Roman" w:eastAsia="宋体" w:cs="Times New Roman"/>
                      <w:color w:val="auto"/>
                      <w:sz w:val="21"/>
                      <w:szCs w:val="21"/>
                      <w:lang w:eastAsia="zh-CN"/>
                    </w:rPr>
                    <w:t>生活污水排入抚顺县救兵镇污水处理厂处理</w:t>
                  </w:r>
                  <w:r>
                    <w:rPr>
                      <w:rFonts w:ascii="Times New Roman" w:hAnsi="Times New Roman"/>
                      <w:color w:val="auto"/>
                      <w:szCs w:val="21"/>
                      <w:highlight w:val="none"/>
                    </w:rPr>
                    <w:t>。</w:t>
                  </w:r>
                </w:p>
              </w:tc>
              <w:tc>
                <w:tcPr>
                  <w:tcW w:w="342" w:type="pct"/>
                  <w:noWrap w:val="0"/>
                  <w:vAlign w:val="center"/>
                </w:tcPr>
                <w:p w14:paraId="1F05D06F">
                  <w:pPr>
                    <w:pStyle w:val="13"/>
                    <w:spacing w:line="240" w:lineRule="auto"/>
                    <w:jc w:val="center"/>
                    <w:rPr>
                      <w:rFonts w:ascii="Times New Roman" w:hAnsi="Times New Roman"/>
                      <w:color w:val="auto"/>
                      <w:szCs w:val="21"/>
                      <w:highlight w:val="none"/>
                    </w:rPr>
                  </w:pPr>
                  <w:r>
                    <w:rPr>
                      <w:rFonts w:ascii="Times New Roman" w:hAnsi="Times New Roman"/>
                      <w:color w:val="auto"/>
                      <w:szCs w:val="21"/>
                      <w:highlight w:val="none"/>
                    </w:rPr>
                    <w:t>符合</w:t>
                  </w:r>
                </w:p>
              </w:tc>
            </w:tr>
          </w:tbl>
          <w:p w14:paraId="302BC04A">
            <w:pPr>
              <w:spacing w:line="240" w:lineRule="auto"/>
              <w:jc w:val="center"/>
              <w:rPr>
                <w:b/>
                <w:color w:val="auto"/>
                <w:sz w:val="24"/>
                <w:highlight w:val="none"/>
              </w:rPr>
            </w:pPr>
          </w:p>
          <w:p w14:paraId="1D5F6D51">
            <w:pPr>
              <w:pStyle w:val="75"/>
              <w:keepNext w:val="0"/>
              <w:keepLines w:val="0"/>
              <w:pageBreakBefore w:val="0"/>
              <w:widowControl w:val="0"/>
              <w:numPr>
                <w:ilvl w:val="0"/>
                <w:numId w:val="4"/>
              </w:numPr>
              <w:kinsoku/>
              <w:wordWrap/>
              <w:overflowPunct/>
              <w:topLinePunct w:val="0"/>
              <w:autoSpaceDE/>
              <w:autoSpaceDN/>
              <w:bidi w:val="0"/>
              <w:adjustRightInd/>
              <w:snapToGrid/>
              <w:spacing w:line="360" w:lineRule="auto"/>
              <w:ind w:left="0" w:leftChars="0" w:firstLine="0" w:firstLineChars="0"/>
              <w:jc w:val="center"/>
              <w:textAlignment w:val="auto"/>
              <w:rPr>
                <w:rFonts w:hint="eastAsia" w:ascii="Times New Roman" w:hAnsi="Times New Roman" w:eastAsia="宋体" w:cs="Times New Roman"/>
                <w:b/>
                <w:bCs/>
                <w:color w:val="auto"/>
                <w:sz w:val="21"/>
                <w:szCs w:val="21"/>
                <w:lang w:val="en-US" w:eastAsia="zh-CN"/>
              </w:rPr>
            </w:pPr>
            <w:r>
              <w:rPr>
                <w:rFonts w:hint="eastAsia" w:ascii="Times New Roman" w:hAnsi="Times New Roman" w:eastAsia="宋体" w:cs="Times New Roman"/>
                <w:b/>
                <w:bCs/>
                <w:color w:val="auto"/>
                <w:sz w:val="21"/>
                <w:szCs w:val="21"/>
                <w:lang w:val="en-US" w:eastAsia="zh-CN"/>
              </w:rPr>
              <w:t xml:space="preserve">  抚顺县生态环境总体准入要求</w:t>
            </w:r>
          </w:p>
          <w:tbl>
            <w:tblPr>
              <w:tblStyle w:val="25"/>
              <w:tblW w:w="4993"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724"/>
              <w:gridCol w:w="3223"/>
              <w:gridCol w:w="2106"/>
              <w:gridCol w:w="427"/>
            </w:tblGrid>
            <w:tr w14:paraId="65AF78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21" w:type="pct"/>
                  <w:noWrap w:val="0"/>
                  <w:vAlign w:val="center"/>
                </w:tcPr>
                <w:p w14:paraId="3600940D">
                  <w:pPr>
                    <w:widowControl/>
                    <w:spacing w:line="240" w:lineRule="auto"/>
                    <w:jc w:val="center"/>
                    <w:rPr>
                      <w:color w:val="auto"/>
                      <w:kern w:val="0"/>
                      <w:szCs w:val="21"/>
                      <w:highlight w:val="none"/>
                      <w:lang w:bidi="ar"/>
                    </w:rPr>
                  </w:pPr>
                  <w:r>
                    <w:rPr>
                      <w:color w:val="auto"/>
                      <w:kern w:val="0"/>
                      <w:szCs w:val="21"/>
                      <w:highlight w:val="none"/>
                      <w:lang w:bidi="ar"/>
                    </w:rPr>
                    <w:t>管控</w:t>
                  </w:r>
                </w:p>
                <w:p w14:paraId="238B6C58">
                  <w:pPr>
                    <w:widowControl/>
                    <w:spacing w:line="240" w:lineRule="auto"/>
                    <w:jc w:val="center"/>
                    <w:rPr>
                      <w:color w:val="auto"/>
                      <w:szCs w:val="21"/>
                      <w:highlight w:val="none"/>
                    </w:rPr>
                  </w:pPr>
                  <w:r>
                    <w:rPr>
                      <w:color w:val="auto"/>
                      <w:kern w:val="0"/>
                      <w:szCs w:val="21"/>
                      <w:highlight w:val="none"/>
                      <w:lang w:bidi="ar"/>
                    </w:rPr>
                    <w:t>维度</w:t>
                  </w:r>
                </w:p>
              </w:tc>
              <w:tc>
                <w:tcPr>
                  <w:tcW w:w="617" w:type="pct"/>
                  <w:noWrap w:val="0"/>
                  <w:vAlign w:val="center"/>
                </w:tcPr>
                <w:p w14:paraId="5B16DFD1">
                  <w:pPr>
                    <w:widowControl/>
                    <w:spacing w:line="240" w:lineRule="auto"/>
                    <w:jc w:val="center"/>
                    <w:rPr>
                      <w:color w:val="auto"/>
                      <w:kern w:val="0"/>
                      <w:szCs w:val="21"/>
                      <w:highlight w:val="none"/>
                      <w:lang w:bidi="ar"/>
                    </w:rPr>
                  </w:pPr>
                  <w:r>
                    <w:rPr>
                      <w:color w:val="auto"/>
                      <w:kern w:val="0"/>
                      <w:szCs w:val="21"/>
                      <w:highlight w:val="none"/>
                      <w:lang w:bidi="ar"/>
                    </w:rPr>
                    <w:t>清单编制要求</w:t>
                  </w:r>
                </w:p>
              </w:tc>
              <w:tc>
                <w:tcPr>
                  <w:tcW w:w="2393" w:type="pct"/>
                  <w:noWrap w:val="0"/>
                  <w:vAlign w:val="center"/>
                </w:tcPr>
                <w:p w14:paraId="3D357738">
                  <w:pPr>
                    <w:widowControl/>
                    <w:spacing w:line="240" w:lineRule="auto"/>
                    <w:jc w:val="center"/>
                    <w:rPr>
                      <w:color w:val="auto"/>
                      <w:szCs w:val="21"/>
                      <w:highlight w:val="none"/>
                    </w:rPr>
                  </w:pPr>
                  <w:r>
                    <w:rPr>
                      <w:color w:val="auto"/>
                      <w:kern w:val="0"/>
                      <w:szCs w:val="21"/>
                      <w:highlight w:val="none"/>
                      <w:lang w:bidi="ar"/>
                    </w:rPr>
                    <w:t>管控要求</w:t>
                  </w:r>
                </w:p>
              </w:tc>
              <w:tc>
                <w:tcPr>
                  <w:tcW w:w="1342" w:type="pct"/>
                  <w:noWrap w:val="0"/>
                  <w:vAlign w:val="center"/>
                </w:tcPr>
                <w:p w14:paraId="473ECE19">
                  <w:pPr>
                    <w:pStyle w:val="13"/>
                    <w:spacing w:line="240" w:lineRule="auto"/>
                    <w:jc w:val="center"/>
                    <w:rPr>
                      <w:rFonts w:ascii="Times New Roman" w:hAnsi="Times New Roman"/>
                      <w:color w:val="auto"/>
                      <w:szCs w:val="21"/>
                      <w:highlight w:val="none"/>
                    </w:rPr>
                  </w:pPr>
                  <w:r>
                    <w:rPr>
                      <w:rFonts w:ascii="Times New Roman" w:hAnsi="Times New Roman"/>
                      <w:color w:val="auto"/>
                      <w:szCs w:val="21"/>
                      <w:highlight w:val="none"/>
                    </w:rPr>
                    <w:t>本项目情况</w:t>
                  </w:r>
                </w:p>
              </w:tc>
              <w:tc>
                <w:tcPr>
                  <w:tcW w:w="324" w:type="pct"/>
                  <w:noWrap w:val="0"/>
                  <w:vAlign w:val="center"/>
                </w:tcPr>
                <w:p w14:paraId="2C328DEE">
                  <w:pPr>
                    <w:pStyle w:val="13"/>
                    <w:spacing w:line="240" w:lineRule="auto"/>
                    <w:jc w:val="center"/>
                    <w:rPr>
                      <w:rFonts w:ascii="Times New Roman" w:hAnsi="Times New Roman"/>
                      <w:color w:val="auto"/>
                      <w:szCs w:val="21"/>
                      <w:highlight w:val="none"/>
                    </w:rPr>
                  </w:pPr>
                  <w:r>
                    <w:rPr>
                      <w:rFonts w:ascii="Times New Roman" w:hAnsi="Times New Roman"/>
                      <w:color w:val="auto"/>
                      <w:szCs w:val="21"/>
                      <w:highlight w:val="none"/>
                    </w:rPr>
                    <w:t>符合性</w:t>
                  </w:r>
                </w:p>
              </w:tc>
            </w:tr>
            <w:tr w14:paraId="3C579F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21" w:type="pct"/>
                  <w:vMerge w:val="restart"/>
                  <w:noWrap w:val="0"/>
                  <w:vAlign w:val="center"/>
                </w:tcPr>
                <w:p w14:paraId="7AE10453">
                  <w:pPr>
                    <w:widowControl/>
                    <w:spacing w:line="240" w:lineRule="auto"/>
                    <w:rPr>
                      <w:color w:val="auto"/>
                      <w:szCs w:val="21"/>
                      <w:highlight w:val="none"/>
                    </w:rPr>
                  </w:pPr>
                  <w:r>
                    <w:rPr>
                      <w:color w:val="auto"/>
                      <w:kern w:val="0"/>
                      <w:szCs w:val="21"/>
                      <w:highlight w:val="none"/>
                      <w:lang w:bidi="ar"/>
                    </w:rPr>
                    <w:t>空间布局约束</w:t>
                  </w:r>
                </w:p>
                <w:p w14:paraId="5EEE9BAE">
                  <w:pPr>
                    <w:pStyle w:val="13"/>
                    <w:spacing w:line="240" w:lineRule="auto"/>
                    <w:rPr>
                      <w:rFonts w:ascii="Times New Roman" w:hAnsi="Times New Roman"/>
                      <w:color w:val="auto"/>
                      <w:szCs w:val="21"/>
                      <w:highlight w:val="none"/>
                    </w:rPr>
                  </w:pPr>
                </w:p>
              </w:tc>
              <w:tc>
                <w:tcPr>
                  <w:tcW w:w="617" w:type="pct"/>
                  <w:noWrap w:val="0"/>
                  <w:vAlign w:val="center"/>
                </w:tcPr>
                <w:p w14:paraId="74F81277">
                  <w:pPr>
                    <w:pStyle w:val="13"/>
                    <w:spacing w:line="240" w:lineRule="auto"/>
                    <w:jc w:val="center"/>
                    <w:rPr>
                      <w:rFonts w:ascii="Times New Roman" w:hAnsi="Times New Roman"/>
                      <w:color w:val="auto"/>
                      <w:szCs w:val="21"/>
                      <w:highlight w:val="none"/>
                    </w:rPr>
                  </w:pPr>
                  <w:r>
                    <w:rPr>
                      <w:rFonts w:ascii="Times New Roman" w:hAnsi="Times New Roman"/>
                      <w:color w:val="auto"/>
                      <w:kern w:val="0"/>
                      <w:szCs w:val="21"/>
                      <w:highlight w:val="none"/>
                      <w:lang w:bidi="ar"/>
                    </w:rPr>
                    <w:t>禁止开发建设活动的要求</w:t>
                  </w:r>
                </w:p>
              </w:tc>
              <w:tc>
                <w:tcPr>
                  <w:tcW w:w="2393" w:type="pct"/>
                  <w:noWrap w:val="0"/>
                  <w:vAlign w:val="center"/>
                </w:tcPr>
                <w:p w14:paraId="72F569A3">
                  <w:pPr>
                    <w:widowControl/>
                    <w:numPr>
                      <w:ilvl w:val="0"/>
                      <w:numId w:val="0"/>
                    </w:numPr>
                    <w:spacing w:line="240" w:lineRule="auto"/>
                    <w:rPr>
                      <w:rFonts w:hint="eastAsia" w:ascii="Times New Roman" w:hAnsi="Times New Roman" w:eastAsia="宋体" w:cs="Times New Roman"/>
                      <w:color w:val="auto"/>
                      <w:kern w:val="0"/>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执行辽宁省</w:t>
                  </w:r>
                  <w:r>
                    <w:rPr>
                      <w:rFonts w:hint="eastAsia" w:ascii="Times New Roman" w:hAnsi="Times New Roman" w:eastAsia="宋体" w:cs="Times New Roman"/>
                      <w:color w:val="auto"/>
                      <w:kern w:val="0"/>
                      <w:szCs w:val="21"/>
                      <w:highlight w:val="none"/>
                      <w:lang w:val="en-US" w:eastAsia="zh-CN" w:bidi="ar"/>
                    </w:rPr>
                    <w:t>“</w:t>
                  </w:r>
                  <w:r>
                    <w:rPr>
                      <w:rFonts w:hint="default" w:ascii="Times New Roman" w:hAnsi="Times New Roman" w:eastAsia="宋体" w:cs="Times New Roman"/>
                      <w:color w:val="auto"/>
                      <w:kern w:val="0"/>
                      <w:szCs w:val="21"/>
                      <w:highlight w:val="none"/>
                      <w:lang w:val="en-US" w:eastAsia="zh-CN" w:bidi="ar"/>
                    </w:rPr>
                    <w:t>三线一单</w:t>
                  </w:r>
                  <w:r>
                    <w:rPr>
                      <w:rFonts w:hint="eastAsia" w:ascii="Times New Roman" w:hAnsi="Times New Roman" w:eastAsia="宋体" w:cs="Times New Roman"/>
                      <w:color w:val="auto"/>
                      <w:kern w:val="0"/>
                      <w:szCs w:val="21"/>
                      <w:highlight w:val="none"/>
                      <w:lang w:val="en-US" w:eastAsia="zh-CN" w:bidi="ar"/>
                    </w:rPr>
                    <w:t>”</w:t>
                  </w:r>
                  <w:r>
                    <w:rPr>
                      <w:rFonts w:hint="default" w:ascii="Times New Roman" w:hAnsi="Times New Roman" w:eastAsia="宋体" w:cs="Times New Roman"/>
                      <w:color w:val="auto"/>
                      <w:kern w:val="0"/>
                      <w:szCs w:val="21"/>
                      <w:highlight w:val="none"/>
                      <w:lang w:val="en-US" w:eastAsia="zh-CN" w:bidi="ar"/>
                    </w:rPr>
                    <w:t>各类空间管控要求及抚顺市总体准入要求</w:t>
                  </w:r>
                  <w:r>
                    <w:rPr>
                      <w:rFonts w:hint="eastAsia" w:ascii="Times New Roman" w:hAnsi="Times New Roman" w:eastAsia="宋体" w:cs="Times New Roman"/>
                      <w:color w:val="auto"/>
                      <w:kern w:val="0"/>
                      <w:szCs w:val="21"/>
                      <w:highlight w:val="none"/>
                      <w:lang w:val="en-US" w:eastAsia="zh-CN" w:bidi="ar"/>
                    </w:rPr>
                    <w:t>；</w:t>
                  </w:r>
                  <w:r>
                    <w:rPr>
                      <w:rFonts w:hint="default" w:ascii="Times New Roman" w:hAnsi="Times New Roman" w:eastAsia="宋体" w:cs="Times New Roman"/>
                      <w:color w:val="auto"/>
                      <w:kern w:val="0"/>
                      <w:szCs w:val="21"/>
                      <w:highlight w:val="none"/>
                      <w:lang w:val="en-US" w:eastAsia="zh-CN" w:bidi="ar"/>
                    </w:rPr>
                    <w:t>生态保护红线和风景名胜区、森林公园、自然保护区、水源地、重要湿地</w:t>
                  </w:r>
                  <w:r>
                    <w:rPr>
                      <w:rFonts w:hint="eastAsia" w:ascii="Times New Roman" w:hAnsi="Times New Roman" w:eastAsia="宋体" w:cs="Times New Roman"/>
                      <w:color w:val="auto"/>
                      <w:kern w:val="0"/>
                      <w:szCs w:val="21"/>
                      <w:highlight w:val="none"/>
                      <w:lang w:val="en-US" w:eastAsia="zh-CN" w:bidi="ar"/>
                    </w:rPr>
                    <w:t>、</w:t>
                  </w:r>
                  <w:r>
                    <w:rPr>
                      <w:rFonts w:hint="default" w:ascii="Times New Roman" w:hAnsi="Times New Roman" w:eastAsia="宋体" w:cs="Times New Roman"/>
                      <w:color w:val="auto"/>
                      <w:kern w:val="0"/>
                      <w:szCs w:val="21"/>
                      <w:highlight w:val="none"/>
                      <w:lang w:val="en-US" w:eastAsia="zh-CN" w:bidi="ar"/>
                    </w:rPr>
                    <w:t>湿</w:t>
                  </w:r>
                  <w:r>
                    <w:rPr>
                      <w:rFonts w:hint="default" w:ascii="Times New Roman" w:hAnsi="Times New Roman" w:eastAsia="宋体" w:cs="Times New Roman"/>
                      <w:color w:val="auto"/>
                      <w:kern w:val="0"/>
                      <w:szCs w:val="21"/>
                      <w:highlight w:val="none"/>
                      <w:lang w:val="en-US" w:eastAsia="zh-CN" w:bidi="ar"/>
                    </w:rPr>
                    <w:t>地公园等各类保护地要严格按照《生态保护红线管理办法》《风景名胜区条例》《辽宁省风</w:t>
                  </w:r>
                  <w:r>
                    <w:rPr>
                      <w:rFonts w:hint="eastAsia" w:ascii="Times New Roman" w:hAnsi="Times New Roman" w:eastAsia="宋体" w:cs="Times New Roman"/>
                      <w:color w:val="auto"/>
                      <w:kern w:val="0"/>
                      <w:szCs w:val="21"/>
                      <w:highlight w:val="none"/>
                      <w:lang w:val="en-US" w:eastAsia="zh-CN" w:bidi="ar"/>
                    </w:rPr>
                    <w:t>景</w:t>
                  </w:r>
                  <w:r>
                    <w:rPr>
                      <w:rFonts w:hint="default" w:ascii="Times New Roman" w:hAnsi="Times New Roman" w:eastAsia="宋体" w:cs="Times New Roman"/>
                      <w:color w:val="auto"/>
                      <w:kern w:val="0"/>
                      <w:szCs w:val="21"/>
                      <w:highlight w:val="none"/>
                      <w:lang w:val="en-US" w:eastAsia="zh-CN" w:bidi="ar"/>
                    </w:rPr>
                    <w:t>名胜保护管理暂行条例》《中华人民共和国水污染防治法》《辽宁省大伙房饮用水水源保护条例》</w:t>
                  </w:r>
                  <w:r>
                    <w:rPr>
                      <w:rFonts w:hint="eastAsia" w:ascii="Times New Roman" w:hAnsi="Times New Roman" w:eastAsia="宋体" w:cs="Times New Roman"/>
                      <w:color w:val="auto"/>
                      <w:kern w:val="0"/>
                      <w:szCs w:val="21"/>
                      <w:highlight w:val="none"/>
                      <w:lang w:val="en-US" w:eastAsia="zh-CN" w:bidi="ar"/>
                    </w:rPr>
                    <w:t>（</w:t>
                  </w:r>
                  <w:r>
                    <w:rPr>
                      <w:rFonts w:hint="default" w:ascii="Times New Roman" w:hAnsi="Times New Roman" w:eastAsia="宋体" w:cs="Times New Roman"/>
                      <w:color w:val="auto"/>
                      <w:kern w:val="0"/>
                      <w:szCs w:val="21"/>
                      <w:highlight w:val="none"/>
                      <w:lang w:val="en-US" w:eastAsia="zh-CN" w:bidi="ar"/>
                    </w:rPr>
                    <w:t>2020年3月30日第二次修正</w:t>
                  </w:r>
                  <w:r>
                    <w:rPr>
                      <w:rFonts w:hint="eastAsia" w:ascii="Times New Roman" w:hAnsi="Times New Roman" w:eastAsia="宋体" w:cs="Times New Roman"/>
                      <w:color w:val="auto"/>
                      <w:kern w:val="0"/>
                      <w:szCs w:val="21"/>
                      <w:highlight w:val="none"/>
                      <w:lang w:val="en-US" w:eastAsia="zh-CN" w:bidi="ar"/>
                    </w:rPr>
                    <w:t>）</w:t>
                  </w:r>
                  <w:r>
                    <w:rPr>
                      <w:rFonts w:hint="default" w:ascii="Times New Roman" w:hAnsi="Times New Roman" w:eastAsia="宋体" w:cs="Times New Roman"/>
                      <w:color w:val="auto"/>
                      <w:kern w:val="0"/>
                      <w:szCs w:val="21"/>
                      <w:highlight w:val="none"/>
                      <w:lang w:val="en-US" w:eastAsia="zh-CN" w:bidi="ar"/>
                    </w:rPr>
                    <w:t>《国家湿地公园管理办法》《辽宁省省级湿地公园管理办法》</w:t>
                  </w:r>
                  <w:r>
                    <w:rPr>
                      <w:rFonts w:hint="eastAsia" w:ascii="Times New Roman" w:hAnsi="Times New Roman" w:eastAsia="宋体" w:cs="Times New Roman"/>
                      <w:color w:val="auto"/>
                      <w:kern w:val="0"/>
                      <w:szCs w:val="21"/>
                      <w:highlight w:val="none"/>
                      <w:lang w:val="en-US" w:eastAsia="zh-CN" w:bidi="ar"/>
                    </w:rPr>
                    <w:t>（</w:t>
                  </w:r>
                  <w:r>
                    <w:rPr>
                      <w:rFonts w:hint="default" w:ascii="Times New Roman" w:hAnsi="Times New Roman" w:eastAsia="宋体" w:cs="Times New Roman"/>
                      <w:color w:val="auto"/>
                      <w:kern w:val="0"/>
                      <w:szCs w:val="21"/>
                      <w:highlight w:val="none"/>
                      <w:lang w:val="en-US" w:eastAsia="zh-CN" w:bidi="ar"/>
                    </w:rPr>
                    <w:t>试行</w:t>
                  </w:r>
                  <w:r>
                    <w:rPr>
                      <w:rFonts w:hint="eastAsia" w:ascii="Times New Roman" w:hAnsi="Times New Roman" w:eastAsia="宋体" w:cs="Times New Roman"/>
                      <w:color w:val="auto"/>
                      <w:kern w:val="0"/>
                      <w:szCs w:val="21"/>
                      <w:highlight w:val="none"/>
                      <w:lang w:val="en-US" w:eastAsia="zh-CN" w:bidi="ar"/>
                    </w:rPr>
                    <w:t>）</w:t>
                  </w:r>
                  <w:r>
                    <w:rPr>
                      <w:rFonts w:hint="default" w:ascii="Times New Roman" w:hAnsi="Times New Roman" w:eastAsia="宋体" w:cs="Times New Roman"/>
                      <w:color w:val="auto"/>
                      <w:kern w:val="0"/>
                      <w:szCs w:val="21"/>
                      <w:highlight w:val="none"/>
                      <w:lang w:val="en-US" w:eastAsia="zh-CN" w:bidi="ar"/>
                    </w:rPr>
                    <w:t>《中华人民共和国自然保护区条例》《辽宁省林业厅关于加强自然保护区建设和管理工作的通知》</w:t>
                  </w:r>
                  <w:r>
                    <w:rPr>
                      <w:rFonts w:hint="eastAsia" w:ascii="Times New Roman" w:hAnsi="Times New Roman" w:eastAsia="宋体" w:cs="Times New Roman"/>
                      <w:color w:val="auto"/>
                      <w:kern w:val="0"/>
                      <w:szCs w:val="21"/>
                      <w:highlight w:val="none"/>
                      <w:lang w:val="en-US" w:eastAsia="zh-CN" w:bidi="ar"/>
                    </w:rPr>
                    <w:t>（</w:t>
                  </w:r>
                  <w:r>
                    <w:rPr>
                      <w:rFonts w:hint="default" w:ascii="Times New Roman" w:hAnsi="Times New Roman" w:eastAsia="宋体" w:cs="Times New Roman"/>
                      <w:color w:val="auto"/>
                      <w:kern w:val="0"/>
                      <w:szCs w:val="21"/>
                      <w:highlight w:val="none"/>
                      <w:lang w:val="en-US" w:eastAsia="zh-CN" w:bidi="ar"/>
                    </w:rPr>
                    <w:t>辽林办字</w:t>
                  </w:r>
                  <w:r>
                    <w:rPr>
                      <w:rFonts w:hint="eastAsia" w:ascii="Times New Roman" w:hAnsi="Times New Roman" w:eastAsia="宋体" w:cs="Times New Roman"/>
                      <w:color w:val="auto"/>
                      <w:kern w:val="0"/>
                      <w:szCs w:val="21"/>
                      <w:highlight w:val="none"/>
                      <w:lang w:val="en-US" w:eastAsia="zh-CN" w:bidi="ar"/>
                    </w:rPr>
                    <w:t>〔2008〕113号</w:t>
                  </w:r>
                  <w:r>
                    <w:rPr>
                      <w:rFonts w:hint="eastAsia" w:ascii="Times New Roman" w:hAnsi="Times New Roman" w:eastAsia="宋体" w:cs="Times New Roman"/>
                      <w:color w:val="auto"/>
                      <w:kern w:val="0"/>
                      <w:szCs w:val="21"/>
                      <w:highlight w:val="none"/>
                      <w:lang w:val="en-US" w:eastAsia="zh-CN" w:bidi="ar"/>
                    </w:rPr>
                    <w:t>）、</w:t>
                  </w:r>
                  <w:r>
                    <w:rPr>
                      <w:rFonts w:hint="default" w:ascii="Times New Roman" w:hAnsi="Times New Roman" w:eastAsia="宋体" w:cs="Times New Roman"/>
                      <w:color w:val="auto"/>
                      <w:kern w:val="0"/>
                      <w:szCs w:val="21"/>
                      <w:highlight w:val="none"/>
                      <w:lang w:val="en-US" w:eastAsia="zh-CN" w:bidi="ar"/>
                    </w:rPr>
                    <w:t>《中华人民共和国自然保护区条例》</w:t>
                  </w:r>
                  <w:r>
                    <w:rPr>
                      <w:rFonts w:hint="eastAsia" w:ascii="Times New Roman" w:hAnsi="Times New Roman" w:eastAsia="宋体" w:cs="Times New Roman"/>
                      <w:color w:val="auto"/>
                      <w:kern w:val="0"/>
                      <w:szCs w:val="21"/>
                      <w:highlight w:val="none"/>
                      <w:lang w:val="en-US" w:eastAsia="zh-CN" w:bidi="ar"/>
                    </w:rPr>
                    <w:t>（</w:t>
                  </w:r>
                  <w:r>
                    <w:rPr>
                      <w:rFonts w:hint="default" w:ascii="Times New Roman" w:hAnsi="Times New Roman" w:eastAsia="宋体" w:cs="Times New Roman"/>
                      <w:color w:val="auto"/>
                      <w:kern w:val="0"/>
                      <w:szCs w:val="21"/>
                      <w:highlight w:val="none"/>
                      <w:lang w:val="en-US" w:eastAsia="zh-CN" w:bidi="ar"/>
                    </w:rPr>
                    <w:t>2017年10月7日修订</w:t>
                  </w:r>
                  <w:r>
                    <w:rPr>
                      <w:rFonts w:hint="eastAsia" w:ascii="Times New Roman" w:hAnsi="Times New Roman" w:eastAsia="宋体" w:cs="Times New Roman"/>
                      <w:color w:val="auto"/>
                      <w:kern w:val="0"/>
                      <w:szCs w:val="21"/>
                      <w:highlight w:val="none"/>
                      <w:lang w:val="en-US" w:eastAsia="zh-CN" w:bidi="ar"/>
                    </w:rPr>
                    <w:t>）</w:t>
                  </w:r>
                  <w:r>
                    <w:rPr>
                      <w:rFonts w:hint="default" w:ascii="Times New Roman" w:hAnsi="Times New Roman" w:eastAsia="宋体" w:cs="Times New Roman"/>
                      <w:color w:val="auto"/>
                      <w:kern w:val="0"/>
                      <w:szCs w:val="21"/>
                      <w:highlight w:val="none"/>
                      <w:lang w:val="en-US" w:eastAsia="zh-CN" w:bidi="ar"/>
                    </w:rPr>
                    <w:t>等进行管控。</w:t>
                  </w:r>
                </w:p>
              </w:tc>
              <w:tc>
                <w:tcPr>
                  <w:tcW w:w="1342" w:type="pct"/>
                  <w:noWrap w:val="0"/>
                  <w:vAlign w:val="center"/>
                </w:tcPr>
                <w:p w14:paraId="7880BC21">
                  <w:pPr>
                    <w:pStyle w:val="13"/>
                    <w:spacing w:line="240" w:lineRule="auto"/>
                    <w:rPr>
                      <w:rFonts w:hint="eastAsia" w:ascii="Times New Roman" w:hAnsi="Times New Roman" w:eastAsia="宋体"/>
                      <w:color w:val="auto"/>
                      <w:szCs w:val="21"/>
                      <w:highlight w:val="none"/>
                      <w:lang w:eastAsia="zh-CN"/>
                    </w:rPr>
                  </w:pPr>
                  <w:r>
                    <w:rPr>
                      <w:rFonts w:hint="default" w:ascii="Times New Roman" w:hAnsi="Times New Roman" w:eastAsia="宋体" w:cs="Times New Roman"/>
                      <w:b w:val="0"/>
                      <w:bCs w:val="0"/>
                      <w:color w:val="auto"/>
                      <w:sz w:val="21"/>
                      <w:szCs w:val="21"/>
                      <w:highlight w:val="none"/>
                      <w:vertAlign w:val="baseline"/>
                      <w:lang w:val="en-US" w:eastAsia="zh-CN"/>
                    </w:rPr>
                    <w:t>本项目</w:t>
                  </w:r>
                  <w:r>
                    <w:rPr>
                      <w:rFonts w:hint="eastAsia" w:ascii="Times New Roman" w:hAnsi="Times New Roman" w:eastAsia="宋体" w:cs="Times New Roman"/>
                      <w:b w:val="0"/>
                      <w:bCs w:val="0"/>
                      <w:color w:val="auto"/>
                      <w:sz w:val="21"/>
                      <w:szCs w:val="21"/>
                      <w:highlight w:val="none"/>
                      <w:vertAlign w:val="baseline"/>
                      <w:lang w:val="en-US" w:eastAsia="zh-CN"/>
                    </w:rPr>
                    <w:t>符合</w:t>
                  </w:r>
                  <w:r>
                    <w:rPr>
                      <w:rFonts w:hint="default" w:ascii="Times New Roman" w:hAnsi="Times New Roman" w:eastAsia="宋体" w:cs="Times New Roman"/>
                      <w:color w:val="auto"/>
                      <w:kern w:val="0"/>
                      <w:szCs w:val="21"/>
                      <w:highlight w:val="none"/>
                      <w:lang w:val="en-US" w:eastAsia="zh-CN" w:bidi="ar"/>
                    </w:rPr>
                    <w:t>辽宁省</w:t>
                  </w:r>
                  <w:r>
                    <w:rPr>
                      <w:rFonts w:hint="eastAsia" w:ascii="Times New Roman" w:hAnsi="Times New Roman" w:eastAsia="宋体" w:cs="Times New Roman"/>
                      <w:color w:val="auto"/>
                      <w:kern w:val="0"/>
                      <w:szCs w:val="21"/>
                      <w:highlight w:val="none"/>
                      <w:lang w:val="en-US" w:eastAsia="zh-CN" w:bidi="ar"/>
                    </w:rPr>
                    <w:t>“</w:t>
                  </w:r>
                  <w:r>
                    <w:rPr>
                      <w:rFonts w:hint="default" w:ascii="Times New Roman" w:hAnsi="Times New Roman" w:eastAsia="宋体" w:cs="Times New Roman"/>
                      <w:color w:val="auto"/>
                      <w:kern w:val="0"/>
                      <w:szCs w:val="21"/>
                      <w:highlight w:val="none"/>
                      <w:lang w:val="en-US" w:eastAsia="zh-CN" w:bidi="ar"/>
                    </w:rPr>
                    <w:t>三线一单</w:t>
                  </w:r>
                  <w:r>
                    <w:rPr>
                      <w:rFonts w:hint="eastAsia" w:ascii="Times New Roman" w:hAnsi="Times New Roman" w:eastAsia="宋体" w:cs="Times New Roman"/>
                      <w:color w:val="auto"/>
                      <w:kern w:val="0"/>
                      <w:szCs w:val="21"/>
                      <w:highlight w:val="none"/>
                      <w:lang w:val="en-US" w:eastAsia="zh-CN" w:bidi="ar"/>
                    </w:rPr>
                    <w:t>”</w:t>
                  </w:r>
                  <w:r>
                    <w:rPr>
                      <w:rFonts w:hint="default" w:ascii="Times New Roman" w:hAnsi="Times New Roman" w:eastAsia="宋体" w:cs="Times New Roman"/>
                      <w:color w:val="auto"/>
                      <w:kern w:val="0"/>
                      <w:szCs w:val="21"/>
                      <w:highlight w:val="none"/>
                      <w:lang w:val="en-US" w:eastAsia="zh-CN" w:bidi="ar"/>
                    </w:rPr>
                    <w:t>各类空间管控要求及抚顺市总体准入要求</w:t>
                  </w:r>
                  <w:r>
                    <w:rPr>
                      <w:rFonts w:hint="eastAsia" w:ascii="Times New Roman" w:hAnsi="Times New Roman" w:eastAsia="宋体" w:cs="Times New Roman"/>
                      <w:color w:val="auto"/>
                      <w:kern w:val="0"/>
                      <w:szCs w:val="21"/>
                      <w:highlight w:val="none"/>
                      <w:lang w:val="en-US" w:eastAsia="zh-CN" w:bidi="ar"/>
                    </w:rPr>
                    <w:t>；</w:t>
                  </w:r>
                  <w:r>
                    <w:rPr>
                      <w:rFonts w:hint="default" w:ascii="Times New Roman" w:hAnsi="Times New Roman" w:eastAsia="宋体" w:cs="Times New Roman"/>
                      <w:b w:val="0"/>
                      <w:bCs w:val="0"/>
                      <w:color w:val="auto"/>
                      <w:sz w:val="21"/>
                      <w:szCs w:val="21"/>
                      <w:highlight w:val="none"/>
                      <w:vertAlign w:val="baseline"/>
                      <w:lang w:val="en-US" w:eastAsia="zh-CN"/>
                    </w:rPr>
                    <w:t>不位于自然保护区</w:t>
                  </w:r>
                  <w:r>
                    <w:rPr>
                      <w:rFonts w:hint="eastAsia" w:ascii="Times New Roman" w:hAnsi="Times New Roman" w:eastAsia="宋体" w:cs="Times New Roman"/>
                      <w:b w:val="0"/>
                      <w:bCs w:val="0"/>
                      <w:color w:val="auto"/>
                      <w:sz w:val="21"/>
                      <w:szCs w:val="21"/>
                      <w:highlight w:val="none"/>
                      <w:vertAlign w:val="baseline"/>
                      <w:lang w:val="en-US" w:eastAsia="zh-CN"/>
                    </w:rPr>
                    <w:t>、风景名胜区、</w:t>
                  </w:r>
                  <w:r>
                    <w:rPr>
                      <w:rFonts w:hint="default" w:ascii="Times New Roman" w:hAnsi="Times New Roman" w:eastAsia="宋体" w:cs="Times New Roman"/>
                      <w:b w:val="0"/>
                      <w:bCs w:val="0"/>
                      <w:color w:val="auto"/>
                      <w:sz w:val="21"/>
                      <w:szCs w:val="21"/>
                      <w:highlight w:val="none"/>
                      <w:vertAlign w:val="baseline"/>
                      <w:lang w:val="en-US" w:eastAsia="zh-CN"/>
                    </w:rPr>
                    <w:t>饮用水水源保护区内，不位于生态保护红线内。</w:t>
                  </w:r>
                  <w:r>
                    <w:rPr>
                      <w:rFonts w:hint="eastAsia" w:ascii="Times New Roman" w:hAnsi="Times New Roman" w:eastAsia="宋体" w:cs="Times New Roman"/>
                      <w:b w:val="0"/>
                      <w:bCs w:val="0"/>
                      <w:color w:val="auto"/>
                      <w:sz w:val="21"/>
                      <w:szCs w:val="21"/>
                      <w:highlight w:val="none"/>
                      <w:vertAlign w:val="baseline"/>
                      <w:lang w:val="en-US" w:eastAsia="zh-CN"/>
                    </w:rPr>
                    <w:t>根据《产业结构调整目录（2024年本）》</w:t>
                  </w:r>
                  <w:r>
                    <w:rPr>
                      <w:rFonts w:hint="default" w:ascii="Times New Roman" w:hAnsi="Times New Roman" w:eastAsia="宋体" w:cs="Times New Roman"/>
                      <w:b w:val="0"/>
                      <w:bCs w:val="0"/>
                      <w:color w:val="auto"/>
                      <w:sz w:val="21"/>
                      <w:szCs w:val="21"/>
                      <w:highlight w:val="none"/>
                    </w:rPr>
                    <w:t>，本项目属于</w:t>
                  </w:r>
                  <w:r>
                    <w:rPr>
                      <w:rFonts w:hint="eastAsia"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允许类</w:t>
                  </w:r>
                  <w:r>
                    <w:rPr>
                      <w:rFonts w:hint="eastAsia" w:ascii="Times New Roman" w:hAnsi="Times New Roman" w:eastAsia="宋体"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项目</w:t>
                  </w:r>
                  <w:r>
                    <w:rPr>
                      <w:rFonts w:hint="eastAsia" w:ascii="Times New Roman" w:hAnsi="Times New Roman" w:eastAsia="宋体"/>
                      <w:color w:val="auto"/>
                      <w:szCs w:val="21"/>
                      <w:highlight w:val="none"/>
                      <w:lang w:eastAsia="zh-CN"/>
                    </w:rPr>
                    <w:t>，</w:t>
                  </w:r>
                  <w:r>
                    <w:rPr>
                      <w:rFonts w:hint="default" w:ascii="Times New Roman" w:hAnsi="Times New Roman" w:eastAsia="宋体" w:cs="Times New Roman"/>
                      <w:b w:val="0"/>
                      <w:bCs w:val="0"/>
                      <w:color w:val="auto"/>
                      <w:kern w:val="0"/>
                      <w:sz w:val="21"/>
                      <w:szCs w:val="21"/>
                      <w:highlight w:val="none"/>
                    </w:rPr>
                    <w:t>项目的建设符合国家及地方产业政策，</w:t>
                  </w:r>
                  <w:r>
                    <w:rPr>
                      <w:rFonts w:hint="default" w:ascii="Times New Roman" w:hAnsi="Times New Roman" w:eastAsia="宋体" w:cs="Times New Roman"/>
                      <w:color w:val="auto"/>
                      <w:sz w:val="21"/>
                      <w:szCs w:val="21"/>
                      <w:highlight w:val="none"/>
                    </w:rPr>
                    <w:t>本项目不属于禁止开发项目，</w:t>
                  </w:r>
                  <w:r>
                    <w:rPr>
                      <w:rFonts w:hint="default" w:ascii="Times New Roman" w:hAnsi="Times New Roman" w:eastAsia="宋体" w:cs="Times New Roman"/>
                      <w:color w:val="auto"/>
                      <w:sz w:val="21"/>
                      <w:szCs w:val="21"/>
                      <w:highlight w:val="none"/>
                      <w:lang w:bidi="ar"/>
                    </w:rPr>
                    <w:t>不涉及锅炉</w:t>
                  </w:r>
                  <w:r>
                    <w:rPr>
                      <w:rFonts w:hint="default" w:ascii="Times New Roman" w:hAnsi="Times New Roman" w:eastAsia="宋体" w:cs="Times New Roman"/>
                      <w:b w:val="0"/>
                      <w:bCs w:val="0"/>
                      <w:color w:val="auto"/>
                      <w:kern w:val="0"/>
                      <w:sz w:val="21"/>
                      <w:szCs w:val="21"/>
                      <w:highlight w:val="none"/>
                      <w:lang w:val="en-US" w:eastAsia="zh-CN"/>
                    </w:rPr>
                    <w:t>。</w:t>
                  </w:r>
                </w:p>
              </w:tc>
              <w:tc>
                <w:tcPr>
                  <w:tcW w:w="324" w:type="pct"/>
                  <w:noWrap w:val="0"/>
                  <w:vAlign w:val="center"/>
                </w:tcPr>
                <w:p w14:paraId="0DFEA146">
                  <w:pPr>
                    <w:pStyle w:val="13"/>
                    <w:spacing w:line="240" w:lineRule="auto"/>
                    <w:jc w:val="center"/>
                    <w:rPr>
                      <w:rFonts w:ascii="Times New Roman" w:hAnsi="Times New Roman"/>
                      <w:color w:val="auto"/>
                      <w:szCs w:val="21"/>
                      <w:highlight w:val="none"/>
                    </w:rPr>
                  </w:pPr>
                  <w:r>
                    <w:rPr>
                      <w:rFonts w:ascii="Times New Roman" w:hAnsi="Times New Roman"/>
                      <w:color w:val="auto"/>
                      <w:szCs w:val="21"/>
                      <w:highlight w:val="none"/>
                    </w:rPr>
                    <w:t>符合</w:t>
                  </w:r>
                </w:p>
              </w:tc>
            </w:tr>
            <w:tr w14:paraId="406259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21" w:type="pct"/>
                  <w:vMerge w:val="continue"/>
                  <w:noWrap w:val="0"/>
                  <w:vAlign w:val="center"/>
                </w:tcPr>
                <w:p w14:paraId="2C6D9A03">
                  <w:pPr>
                    <w:pStyle w:val="13"/>
                    <w:spacing w:line="240" w:lineRule="auto"/>
                    <w:rPr>
                      <w:rFonts w:ascii="Times New Roman" w:hAnsi="Times New Roman"/>
                      <w:color w:val="auto"/>
                      <w:szCs w:val="21"/>
                      <w:highlight w:val="none"/>
                    </w:rPr>
                  </w:pPr>
                </w:p>
              </w:tc>
              <w:tc>
                <w:tcPr>
                  <w:tcW w:w="617" w:type="pct"/>
                  <w:noWrap w:val="0"/>
                  <w:vAlign w:val="center"/>
                </w:tcPr>
                <w:p w14:paraId="0F484FE1">
                  <w:pPr>
                    <w:widowControl/>
                    <w:spacing w:line="240" w:lineRule="auto"/>
                    <w:jc w:val="center"/>
                    <w:rPr>
                      <w:color w:val="auto"/>
                      <w:szCs w:val="21"/>
                      <w:highlight w:val="none"/>
                    </w:rPr>
                  </w:pPr>
                  <w:r>
                    <w:rPr>
                      <w:color w:val="auto"/>
                      <w:kern w:val="0"/>
                      <w:szCs w:val="21"/>
                      <w:highlight w:val="none"/>
                      <w:lang w:bidi="ar"/>
                    </w:rPr>
                    <w:t>限制开发建设活动的要求</w:t>
                  </w:r>
                </w:p>
              </w:tc>
              <w:tc>
                <w:tcPr>
                  <w:tcW w:w="2393" w:type="pct"/>
                  <w:noWrap w:val="0"/>
                  <w:vAlign w:val="center"/>
                </w:tcPr>
                <w:p w14:paraId="529F23B9">
                  <w:pPr>
                    <w:widowControl/>
                    <w:numPr>
                      <w:ilvl w:val="0"/>
                      <w:numId w:val="0"/>
                    </w:numPr>
                    <w:spacing w:line="240" w:lineRule="auto"/>
                    <w:rPr>
                      <w:rFonts w:hint="eastAsia" w:ascii="Times New Roman" w:hAnsi="Times New Roman" w:eastAsia="宋体" w:cs="Times New Roman"/>
                      <w:color w:val="auto"/>
                      <w:kern w:val="0"/>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执行辽宁省</w:t>
                  </w:r>
                  <w:r>
                    <w:rPr>
                      <w:rFonts w:hint="eastAsia" w:ascii="Times New Roman" w:hAnsi="Times New Roman" w:eastAsia="宋体" w:cs="Times New Roman"/>
                      <w:color w:val="auto"/>
                      <w:kern w:val="0"/>
                      <w:szCs w:val="21"/>
                      <w:highlight w:val="none"/>
                      <w:lang w:val="en-US" w:eastAsia="zh-CN" w:bidi="ar"/>
                    </w:rPr>
                    <w:t>“</w:t>
                  </w:r>
                  <w:r>
                    <w:rPr>
                      <w:rFonts w:hint="default" w:ascii="Times New Roman" w:hAnsi="Times New Roman" w:eastAsia="宋体" w:cs="Times New Roman"/>
                      <w:color w:val="auto"/>
                      <w:kern w:val="0"/>
                      <w:szCs w:val="21"/>
                      <w:highlight w:val="none"/>
                      <w:lang w:val="en-US" w:eastAsia="zh-CN" w:bidi="ar"/>
                    </w:rPr>
                    <w:t>三线一单</w:t>
                  </w:r>
                  <w:r>
                    <w:rPr>
                      <w:rFonts w:hint="eastAsia" w:ascii="Times New Roman" w:hAnsi="Times New Roman" w:eastAsia="宋体" w:cs="Times New Roman"/>
                      <w:color w:val="auto"/>
                      <w:kern w:val="0"/>
                      <w:szCs w:val="21"/>
                      <w:highlight w:val="none"/>
                      <w:lang w:val="en-US" w:eastAsia="zh-CN" w:bidi="ar"/>
                    </w:rPr>
                    <w:t>”</w:t>
                  </w:r>
                  <w:r>
                    <w:rPr>
                      <w:rFonts w:hint="default" w:ascii="Times New Roman" w:hAnsi="Times New Roman" w:eastAsia="宋体" w:cs="Times New Roman"/>
                      <w:color w:val="auto"/>
                      <w:kern w:val="0"/>
                      <w:szCs w:val="21"/>
                      <w:highlight w:val="none"/>
                      <w:lang w:val="en-US" w:eastAsia="zh-CN" w:bidi="ar"/>
                    </w:rPr>
                    <w:t>各类空间管控要求及抚顺市总体准入要求</w:t>
                  </w:r>
                  <w:r>
                    <w:rPr>
                      <w:rFonts w:hint="eastAsia" w:ascii="Times New Roman" w:hAnsi="Times New Roman" w:eastAsia="宋体" w:cs="Times New Roman"/>
                      <w:color w:val="auto"/>
                      <w:kern w:val="0"/>
                      <w:szCs w:val="21"/>
                      <w:highlight w:val="none"/>
                      <w:lang w:val="en-US" w:eastAsia="zh-CN" w:bidi="ar"/>
                    </w:rPr>
                    <w:t>。</w:t>
                  </w:r>
                </w:p>
              </w:tc>
              <w:tc>
                <w:tcPr>
                  <w:tcW w:w="1342" w:type="pct"/>
                  <w:noWrap w:val="0"/>
                  <w:vAlign w:val="center"/>
                </w:tcPr>
                <w:p w14:paraId="04693534">
                  <w:pPr>
                    <w:pStyle w:val="13"/>
                    <w:spacing w:line="240" w:lineRule="auto"/>
                    <w:rPr>
                      <w:rFonts w:ascii="Times New Roman" w:hAnsi="Times New Roman"/>
                      <w:color w:val="auto"/>
                      <w:szCs w:val="21"/>
                      <w:highlight w:val="none"/>
                    </w:rPr>
                  </w:pPr>
                  <w:r>
                    <w:rPr>
                      <w:rFonts w:hint="default" w:ascii="Times New Roman" w:hAnsi="Times New Roman" w:eastAsia="宋体" w:cs="Times New Roman"/>
                      <w:b w:val="0"/>
                      <w:bCs w:val="0"/>
                      <w:color w:val="auto"/>
                      <w:sz w:val="21"/>
                      <w:szCs w:val="21"/>
                      <w:highlight w:val="none"/>
                      <w:vertAlign w:val="baseline"/>
                      <w:lang w:val="en-US" w:eastAsia="zh-CN"/>
                    </w:rPr>
                    <w:t>本项目</w:t>
                  </w:r>
                  <w:r>
                    <w:rPr>
                      <w:rFonts w:hint="eastAsia" w:ascii="Times New Roman" w:hAnsi="Times New Roman" w:eastAsia="宋体" w:cs="Times New Roman"/>
                      <w:b w:val="0"/>
                      <w:bCs w:val="0"/>
                      <w:color w:val="auto"/>
                      <w:sz w:val="21"/>
                      <w:szCs w:val="21"/>
                      <w:highlight w:val="none"/>
                      <w:vertAlign w:val="baseline"/>
                      <w:lang w:val="en-US" w:eastAsia="zh-CN"/>
                    </w:rPr>
                    <w:t>符合</w:t>
                  </w:r>
                  <w:r>
                    <w:rPr>
                      <w:rFonts w:hint="default" w:ascii="Times New Roman" w:hAnsi="Times New Roman" w:eastAsia="宋体" w:cs="Times New Roman"/>
                      <w:color w:val="auto"/>
                      <w:kern w:val="0"/>
                      <w:szCs w:val="21"/>
                      <w:highlight w:val="none"/>
                      <w:lang w:val="en-US" w:eastAsia="zh-CN" w:bidi="ar"/>
                    </w:rPr>
                    <w:t>辽宁省</w:t>
                  </w:r>
                  <w:r>
                    <w:rPr>
                      <w:rFonts w:hint="eastAsia" w:ascii="Times New Roman" w:hAnsi="Times New Roman" w:eastAsia="宋体" w:cs="Times New Roman"/>
                      <w:color w:val="auto"/>
                      <w:kern w:val="0"/>
                      <w:szCs w:val="21"/>
                      <w:highlight w:val="none"/>
                      <w:lang w:val="en-US" w:eastAsia="zh-CN" w:bidi="ar"/>
                    </w:rPr>
                    <w:t>“</w:t>
                  </w:r>
                  <w:r>
                    <w:rPr>
                      <w:rFonts w:hint="default" w:ascii="Times New Roman" w:hAnsi="Times New Roman" w:eastAsia="宋体" w:cs="Times New Roman"/>
                      <w:color w:val="auto"/>
                      <w:kern w:val="0"/>
                      <w:szCs w:val="21"/>
                      <w:highlight w:val="none"/>
                      <w:lang w:val="en-US" w:eastAsia="zh-CN" w:bidi="ar"/>
                    </w:rPr>
                    <w:t>三线一单</w:t>
                  </w:r>
                  <w:r>
                    <w:rPr>
                      <w:rFonts w:hint="eastAsia" w:ascii="Times New Roman" w:hAnsi="Times New Roman" w:eastAsia="宋体" w:cs="Times New Roman"/>
                      <w:color w:val="auto"/>
                      <w:kern w:val="0"/>
                      <w:szCs w:val="21"/>
                      <w:highlight w:val="none"/>
                      <w:lang w:val="en-US" w:eastAsia="zh-CN" w:bidi="ar"/>
                    </w:rPr>
                    <w:t>”</w:t>
                  </w:r>
                  <w:r>
                    <w:rPr>
                      <w:rFonts w:hint="default" w:ascii="Times New Roman" w:hAnsi="Times New Roman" w:eastAsia="宋体" w:cs="Times New Roman"/>
                      <w:color w:val="auto"/>
                      <w:kern w:val="0"/>
                      <w:szCs w:val="21"/>
                      <w:highlight w:val="none"/>
                      <w:lang w:val="en-US" w:eastAsia="zh-CN" w:bidi="ar"/>
                    </w:rPr>
                    <w:t>各类空间管控要求及抚顺市总体准入要求</w:t>
                  </w:r>
                  <w:r>
                    <w:rPr>
                      <w:rFonts w:hint="eastAsia" w:ascii="Times New Roman" w:hAnsi="Times New Roman" w:eastAsia="宋体" w:cs="Times New Roman"/>
                      <w:color w:val="auto"/>
                      <w:kern w:val="0"/>
                      <w:szCs w:val="21"/>
                      <w:highlight w:val="none"/>
                      <w:lang w:val="en-US" w:eastAsia="zh-CN" w:bidi="ar"/>
                    </w:rPr>
                    <w:t>。</w:t>
                  </w:r>
                </w:p>
              </w:tc>
              <w:tc>
                <w:tcPr>
                  <w:tcW w:w="324" w:type="pct"/>
                  <w:noWrap w:val="0"/>
                  <w:vAlign w:val="center"/>
                </w:tcPr>
                <w:p w14:paraId="6A5E7BE2">
                  <w:pPr>
                    <w:pStyle w:val="13"/>
                    <w:spacing w:line="240" w:lineRule="auto"/>
                    <w:jc w:val="center"/>
                    <w:rPr>
                      <w:rFonts w:ascii="Times New Roman" w:hAnsi="Times New Roman"/>
                      <w:color w:val="auto"/>
                      <w:szCs w:val="21"/>
                      <w:highlight w:val="none"/>
                    </w:rPr>
                  </w:pPr>
                  <w:r>
                    <w:rPr>
                      <w:rFonts w:ascii="Times New Roman" w:hAnsi="Times New Roman"/>
                      <w:color w:val="auto"/>
                      <w:szCs w:val="21"/>
                      <w:highlight w:val="none"/>
                    </w:rPr>
                    <w:t>符合</w:t>
                  </w:r>
                </w:p>
              </w:tc>
            </w:tr>
            <w:tr w14:paraId="2E6397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21" w:type="pct"/>
                  <w:vMerge w:val="continue"/>
                  <w:noWrap w:val="0"/>
                  <w:vAlign w:val="center"/>
                </w:tcPr>
                <w:p w14:paraId="57C0425B">
                  <w:pPr>
                    <w:pStyle w:val="13"/>
                    <w:spacing w:line="240" w:lineRule="auto"/>
                    <w:rPr>
                      <w:rFonts w:ascii="Times New Roman" w:hAnsi="Times New Roman"/>
                      <w:color w:val="auto"/>
                      <w:szCs w:val="21"/>
                      <w:highlight w:val="none"/>
                    </w:rPr>
                  </w:pPr>
                </w:p>
              </w:tc>
              <w:tc>
                <w:tcPr>
                  <w:tcW w:w="617" w:type="pct"/>
                  <w:noWrap w:val="0"/>
                  <w:vAlign w:val="center"/>
                </w:tcPr>
                <w:p w14:paraId="1450EAB3">
                  <w:pPr>
                    <w:widowControl/>
                    <w:spacing w:line="240" w:lineRule="auto"/>
                    <w:jc w:val="center"/>
                    <w:rPr>
                      <w:color w:val="auto"/>
                      <w:szCs w:val="21"/>
                      <w:highlight w:val="none"/>
                    </w:rPr>
                  </w:pPr>
                  <w:r>
                    <w:rPr>
                      <w:color w:val="auto"/>
                      <w:kern w:val="0"/>
                      <w:szCs w:val="21"/>
                      <w:highlight w:val="none"/>
                      <w:lang w:bidi="ar"/>
                    </w:rPr>
                    <w:t>允许开发建设活动的要求</w:t>
                  </w:r>
                </w:p>
              </w:tc>
              <w:tc>
                <w:tcPr>
                  <w:tcW w:w="2393" w:type="pct"/>
                  <w:noWrap w:val="0"/>
                  <w:vAlign w:val="center"/>
                </w:tcPr>
                <w:p w14:paraId="4E6DA360">
                  <w:pPr>
                    <w:widowControl/>
                    <w:numPr>
                      <w:ilvl w:val="0"/>
                      <w:numId w:val="0"/>
                    </w:numPr>
                    <w:spacing w:line="240" w:lineRule="auto"/>
                    <w:rPr>
                      <w:rFonts w:hint="eastAsia" w:ascii="Times New Roman" w:hAnsi="Times New Roman" w:eastAsia="宋体" w:cs="Times New Roman"/>
                      <w:color w:val="auto"/>
                      <w:kern w:val="0"/>
                      <w:szCs w:val="21"/>
                      <w:highlight w:val="none"/>
                      <w:lang w:val="en-US" w:eastAsia="zh-CN" w:bidi="ar"/>
                    </w:rPr>
                  </w:pPr>
                  <w:r>
                    <w:rPr>
                      <w:rFonts w:hint="eastAsia" w:ascii="Times New Roman" w:hAnsi="Times New Roman" w:eastAsia="宋体" w:cs="Times New Roman"/>
                      <w:color w:val="auto"/>
                      <w:kern w:val="0"/>
                      <w:szCs w:val="21"/>
                      <w:highlight w:val="none"/>
                      <w:lang w:val="en-US" w:eastAsia="zh-CN" w:bidi="ar"/>
                    </w:rPr>
                    <w:t>在不损害生态系统功能的前提下，适度发展旅游、农林牧产品生产和加工、生态农业、休闲农业等产业。</w:t>
                  </w:r>
                </w:p>
              </w:tc>
              <w:tc>
                <w:tcPr>
                  <w:tcW w:w="1342" w:type="pct"/>
                  <w:noWrap w:val="0"/>
                  <w:vAlign w:val="center"/>
                </w:tcPr>
                <w:p w14:paraId="6D9D86AC">
                  <w:pPr>
                    <w:pStyle w:val="13"/>
                    <w:spacing w:line="240" w:lineRule="auto"/>
                    <w:rPr>
                      <w:rFonts w:hint="eastAsia" w:ascii="Times New Roman" w:hAnsi="Times New Roman"/>
                      <w:color w:val="auto"/>
                      <w:szCs w:val="21"/>
                      <w:highlight w:val="none"/>
                    </w:rPr>
                  </w:pPr>
                  <w:r>
                    <w:rPr>
                      <w:rFonts w:ascii="Times New Roman" w:hAnsi="Times New Roman"/>
                      <w:color w:val="auto"/>
                      <w:szCs w:val="21"/>
                      <w:highlight w:val="none"/>
                    </w:rPr>
                    <w:t>本项目符合《产业结构调整指导目录（20</w:t>
                  </w:r>
                  <w:r>
                    <w:rPr>
                      <w:rFonts w:hint="eastAsia" w:ascii="Times New Roman" w:hAnsi="Times New Roman"/>
                      <w:color w:val="auto"/>
                      <w:szCs w:val="21"/>
                      <w:highlight w:val="none"/>
                    </w:rPr>
                    <w:t>24年</w:t>
                  </w:r>
                  <w:r>
                    <w:rPr>
                      <w:rFonts w:ascii="Times New Roman" w:hAnsi="Times New Roman"/>
                      <w:color w:val="auto"/>
                      <w:szCs w:val="21"/>
                      <w:highlight w:val="none"/>
                    </w:rPr>
                    <w:t>本）》</w:t>
                  </w:r>
                  <w:r>
                    <w:rPr>
                      <w:rFonts w:hint="eastAsia" w:ascii="Times New Roman" w:hAnsi="Times New Roman"/>
                      <w:color w:val="auto"/>
                      <w:szCs w:val="21"/>
                      <w:highlight w:val="none"/>
                      <w:lang w:eastAsia="zh-CN"/>
                    </w:rPr>
                    <w:t>中允许类项目</w:t>
                  </w:r>
                  <w:r>
                    <w:rPr>
                      <w:rFonts w:hint="eastAsia" w:ascii="Times New Roman" w:hAnsi="Times New Roman"/>
                      <w:color w:val="auto"/>
                      <w:szCs w:val="21"/>
                      <w:highlight w:val="none"/>
                    </w:rPr>
                    <w:t>。</w:t>
                  </w:r>
                </w:p>
              </w:tc>
              <w:tc>
                <w:tcPr>
                  <w:tcW w:w="324" w:type="pct"/>
                  <w:noWrap w:val="0"/>
                  <w:vAlign w:val="center"/>
                </w:tcPr>
                <w:p w14:paraId="30DCB687">
                  <w:pPr>
                    <w:pStyle w:val="13"/>
                    <w:spacing w:line="240" w:lineRule="auto"/>
                    <w:jc w:val="center"/>
                    <w:rPr>
                      <w:rFonts w:ascii="Times New Roman" w:hAnsi="Times New Roman"/>
                      <w:color w:val="auto"/>
                      <w:szCs w:val="21"/>
                      <w:highlight w:val="none"/>
                    </w:rPr>
                  </w:pPr>
                  <w:r>
                    <w:rPr>
                      <w:rFonts w:ascii="Times New Roman" w:hAnsi="Times New Roman"/>
                      <w:color w:val="auto"/>
                      <w:szCs w:val="21"/>
                      <w:highlight w:val="none"/>
                    </w:rPr>
                    <w:t>符合</w:t>
                  </w:r>
                </w:p>
              </w:tc>
            </w:tr>
            <w:tr w14:paraId="551C55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21" w:type="pct"/>
                  <w:vMerge w:val="continue"/>
                  <w:noWrap w:val="0"/>
                  <w:vAlign w:val="center"/>
                </w:tcPr>
                <w:p w14:paraId="2A506346">
                  <w:pPr>
                    <w:pStyle w:val="13"/>
                    <w:spacing w:line="240" w:lineRule="auto"/>
                    <w:rPr>
                      <w:rFonts w:ascii="Times New Roman" w:hAnsi="Times New Roman"/>
                      <w:color w:val="auto"/>
                      <w:szCs w:val="21"/>
                      <w:highlight w:val="none"/>
                    </w:rPr>
                  </w:pPr>
                </w:p>
              </w:tc>
              <w:tc>
                <w:tcPr>
                  <w:tcW w:w="617" w:type="pct"/>
                  <w:noWrap w:val="0"/>
                  <w:vAlign w:val="center"/>
                </w:tcPr>
                <w:p w14:paraId="11CF9494">
                  <w:pPr>
                    <w:widowControl/>
                    <w:spacing w:line="240" w:lineRule="auto"/>
                    <w:jc w:val="center"/>
                    <w:rPr>
                      <w:color w:val="auto"/>
                      <w:szCs w:val="21"/>
                      <w:highlight w:val="none"/>
                    </w:rPr>
                  </w:pPr>
                  <w:r>
                    <w:rPr>
                      <w:color w:val="auto"/>
                      <w:kern w:val="0"/>
                      <w:szCs w:val="21"/>
                      <w:highlight w:val="none"/>
                      <w:lang w:bidi="ar"/>
                    </w:rPr>
                    <w:t>不符合空间布局要求活动的退出要求</w:t>
                  </w:r>
                </w:p>
              </w:tc>
              <w:tc>
                <w:tcPr>
                  <w:tcW w:w="2393" w:type="pct"/>
                  <w:noWrap w:val="0"/>
                  <w:vAlign w:val="center"/>
                </w:tcPr>
                <w:p w14:paraId="6D6BD3F6">
                  <w:pPr>
                    <w:widowControl/>
                    <w:numPr>
                      <w:ilvl w:val="0"/>
                      <w:numId w:val="0"/>
                    </w:numPr>
                    <w:spacing w:line="240" w:lineRule="auto"/>
                    <w:rPr>
                      <w:rFonts w:hint="eastAsia" w:ascii="Times New Roman" w:hAnsi="Times New Roman" w:eastAsia="宋体" w:cs="Times New Roman"/>
                      <w:color w:val="auto"/>
                      <w:kern w:val="0"/>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执行辽宁省</w:t>
                  </w:r>
                  <w:r>
                    <w:rPr>
                      <w:rFonts w:hint="eastAsia" w:ascii="Times New Roman" w:hAnsi="Times New Roman" w:eastAsia="宋体" w:cs="Times New Roman"/>
                      <w:color w:val="auto"/>
                      <w:kern w:val="0"/>
                      <w:szCs w:val="21"/>
                      <w:highlight w:val="none"/>
                      <w:lang w:val="en-US" w:eastAsia="zh-CN" w:bidi="ar"/>
                    </w:rPr>
                    <w:t>“</w:t>
                  </w:r>
                  <w:r>
                    <w:rPr>
                      <w:rFonts w:hint="default" w:ascii="Times New Roman" w:hAnsi="Times New Roman" w:eastAsia="宋体" w:cs="Times New Roman"/>
                      <w:color w:val="auto"/>
                      <w:kern w:val="0"/>
                      <w:szCs w:val="21"/>
                      <w:highlight w:val="none"/>
                      <w:lang w:val="en-US" w:eastAsia="zh-CN" w:bidi="ar"/>
                    </w:rPr>
                    <w:t>三线一单</w:t>
                  </w:r>
                  <w:r>
                    <w:rPr>
                      <w:rFonts w:hint="eastAsia" w:ascii="Times New Roman" w:hAnsi="Times New Roman" w:eastAsia="宋体" w:cs="Times New Roman"/>
                      <w:color w:val="auto"/>
                      <w:kern w:val="0"/>
                      <w:szCs w:val="21"/>
                      <w:highlight w:val="none"/>
                      <w:lang w:val="en-US" w:eastAsia="zh-CN" w:bidi="ar"/>
                    </w:rPr>
                    <w:t>”</w:t>
                  </w:r>
                  <w:r>
                    <w:rPr>
                      <w:rFonts w:hint="default" w:ascii="Times New Roman" w:hAnsi="Times New Roman" w:eastAsia="宋体" w:cs="Times New Roman"/>
                      <w:color w:val="auto"/>
                      <w:kern w:val="0"/>
                      <w:szCs w:val="21"/>
                      <w:highlight w:val="none"/>
                      <w:lang w:val="en-US" w:eastAsia="zh-CN" w:bidi="ar"/>
                    </w:rPr>
                    <w:t>各类空间管控要求及抚顺市总体准入要求</w:t>
                  </w:r>
                  <w:r>
                    <w:rPr>
                      <w:rFonts w:hint="eastAsia" w:ascii="Times New Roman" w:hAnsi="Times New Roman" w:eastAsia="宋体" w:cs="Times New Roman"/>
                      <w:color w:val="auto"/>
                      <w:kern w:val="0"/>
                      <w:szCs w:val="21"/>
                      <w:highlight w:val="none"/>
                      <w:lang w:val="en-US" w:eastAsia="zh-CN" w:bidi="ar"/>
                    </w:rPr>
                    <w:t>；</w:t>
                  </w:r>
                  <w:r>
                    <w:rPr>
                      <w:rFonts w:hint="default" w:ascii="Times New Roman" w:hAnsi="Times New Roman" w:eastAsia="宋体" w:cs="Times New Roman"/>
                      <w:color w:val="auto"/>
                      <w:kern w:val="0"/>
                      <w:szCs w:val="21"/>
                      <w:highlight w:val="none"/>
                      <w:lang w:val="en-US" w:eastAsia="zh-CN" w:bidi="ar"/>
                    </w:rPr>
                    <w:t>1.全面取缔禁养区内规模化畜禽养殖场。2.加快建成区重污染企业搬迁改造或关闭退出。市政府已明确的退城企业，要明确时间表，逾期不退城的予以停产。</w:t>
                  </w:r>
                </w:p>
              </w:tc>
              <w:tc>
                <w:tcPr>
                  <w:tcW w:w="1342" w:type="pct"/>
                  <w:noWrap w:val="0"/>
                  <w:vAlign w:val="center"/>
                </w:tcPr>
                <w:p w14:paraId="49DD49A1">
                  <w:pPr>
                    <w:pStyle w:val="13"/>
                    <w:spacing w:line="240" w:lineRule="auto"/>
                    <w:rPr>
                      <w:rFonts w:ascii="Times New Roman" w:hAnsi="Times New Roman"/>
                      <w:color w:val="auto"/>
                      <w:szCs w:val="21"/>
                      <w:highlight w:val="none"/>
                    </w:rPr>
                  </w:pPr>
                  <w:r>
                    <w:rPr>
                      <w:rFonts w:ascii="Times New Roman" w:hAnsi="Times New Roman"/>
                      <w:color w:val="auto"/>
                      <w:kern w:val="0"/>
                      <w:szCs w:val="21"/>
                      <w:highlight w:val="none"/>
                      <w:lang w:bidi="ar"/>
                    </w:rPr>
                    <w:t>本</w:t>
                  </w:r>
                  <w:r>
                    <w:rPr>
                      <w:rFonts w:hint="eastAsia" w:ascii="Times New Roman" w:hAnsi="Times New Roman"/>
                      <w:color w:val="auto"/>
                      <w:kern w:val="0"/>
                      <w:szCs w:val="21"/>
                      <w:highlight w:val="none"/>
                      <w:lang w:eastAsia="zh-CN" w:bidi="ar"/>
                    </w:rPr>
                    <w:t>项目</w:t>
                  </w:r>
                  <w:r>
                    <w:rPr>
                      <w:rFonts w:hint="eastAsia"/>
                      <w:color w:val="auto"/>
                      <w:szCs w:val="21"/>
                      <w:highlight w:val="none"/>
                    </w:rPr>
                    <w:t>位</w:t>
                  </w:r>
                  <w:r>
                    <w:rPr>
                      <w:rFonts w:hint="eastAsia" w:ascii="Times New Roman" w:hAnsi="Times New Roman" w:eastAsia="宋体" w:cs="Times New Roman"/>
                      <w:color w:val="auto"/>
                      <w:szCs w:val="21"/>
                      <w:highlight w:val="none"/>
                    </w:rPr>
                    <w:t>于辽宁省抚顺市抚顺县救兵镇</w:t>
                  </w:r>
                  <w:r>
                    <w:rPr>
                      <w:rFonts w:hint="eastAsia" w:ascii="Times New Roman" w:hAnsi="Times New Roman" w:eastAsia="宋体" w:cs="Times New Roman"/>
                      <w:color w:val="auto"/>
                      <w:szCs w:val="21"/>
                      <w:highlight w:val="none"/>
                      <w:lang w:eastAsia="zh-CN"/>
                    </w:rPr>
                    <w:t>康西</w:t>
                  </w:r>
                  <w:r>
                    <w:rPr>
                      <w:rFonts w:hint="eastAsia" w:ascii="Times New Roman" w:hAnsi="Times New Roman" w:eastAsia="宋体" w:cs="Times New Roman"/>
                      <w:color w:val="auto"/>
                      <w:szCs w:val="21"/>
                      <w:highlight w:val="none"/>
                    </w:rPr>
                    <w:t>村救兵木业和新材料产业园区B区</w:t>
                  </w:r>
                  <w:r>
                    <w:rPr>
                      <w:rFonts w:hint="eastAsia" w:ascii="Times New Roman" w:hAnsi="Times New Roman" w:eastAsia="宋体" w:cs="Times New Roman"/>
                      <w:color w:val="auto"/>
                      <w:kern w:val="0"/>
                      <w:szCs w:val="21"/>
                      <w:highlight w:val="none"/>
                      <w:lang w:val="en-US" w:eastAsia="zh-CN" w:bidi="ar"/>
                    </w:rPr>
                    <w:t>，</w:t>
                  </w:r>
                  <w:r>
                    <w:rPr>
                      <w:rFonts w:hint="eastAsia"/>
                      <w:color w:val="auto"/>
                      <w:kern w:val="0"/>
                      <w:sz w:val="21"/>
                      <w:szCs w:val="21"/>
                      <w:highlight w:val="none"/>
                      <w:lang w:eastAsia="zh-CN" w:bidi="ar"/>
                    </w:rPr>
                    <w:t>为木地板制造项目，占地性质为</w:t>
                  </w:r>
                  <w:r>
                    <w:rPr>
                      <w:rFonts w:ascii="Times New Roman" w:hAnsi="Times New Roman" w:cs="Times New Roman"/>
                      <w:color w:val="auto"/>
                      <w:sz w:val="21"/>
                      <w:szCs w:val="21"/>
                      <w:lang w:eastAsia="zh-CN"/>
                    </w:rPr>
                    <w:t>工业用地</w:t>
                  </w:r>
                  <w:r>
                    <w:rPr>
                      <w:rFonts w:hint="eastAsia" w:ascii="Times New Roman" w:hAnsi="Times New Roman" w:cs="Times New Roman"/>
                      <w:color w:val="auto"/>
                      <w:sz w:val="21"/>
                      <w:szCs w:val="21"/>
                      <w:lang w:eastAsia="zh-CN"/>
                    </w:rPr>
                    <w:t>，</w:t>
                  </w:r>
                  <w:r>
                    <w:rPr>
                      <w:rFonts w:hint="default" w:ascii="Times New Roman" w:hAnsi="Times New Roman" w:eastAsia="宋体" w:cs="Times New Roman"/>
                      <w:b w:val="0"/>
                      <w:bCs w:val="0"/>
                      <w:color w:val="auto"/>
                      <w:sz w:val="21"/>
                      <w:szCs w:val="21"/>
                      <w:highlight w:val="none"/>
                      <w:vertAlign w:val="baseline"/>
                      <w:lang w:val="en-US" w:eastAsia="zh-CN"/>
                    </w:rPr>
                    <w:t>符合</w:t>
                  </w:r>
                  <w:r>
                    <w:rPr>
                      <w:rFonts w:hint="default" w:ascii="Times New Roman" w:hAnsi="Times New Roman" w:eastAsia="宋体" w:cs="Times New Roman"/>
                      <w:color w:val="auto"/>
                      <w:kern w:val="0"/>
                      <w:sz w:val="21"/>
                      <w:szCs w:val="21"/>
                      <w:highlight w:val="none"/>
                      <w:lang w:val="en-US" w:eastAsia="zh-CN" w:bidi="ar"/>
                    </w:rPr>
                    <w:t>抚顺市总体准入要求</w:t>
                  </w:r>
                  <w:r>
                    <w:rPr>
                      <w:rFonts w:ascii="Times New Roman" w:hAnsi="Times New Roman"/>
                      <w:color w:val="auto"/>
                      <w:kern w:val="0"/>
                      <w:szCs w:val="21"/>
                      <w:highlight w:val="none"/>
                      <w:lang w:bidi="ar"/>
                    </w:rPr>
                    <w:t>。</w:t>
                  </w:r>
                </w:p>
              </w:tc>
              <w:tc>
                <w:tcPr>
                  <w:tcW w:w="324" w:type="pct"/>
                  <w:noWrap w:val="0"/>
                  <w:vAlign w:val="center"/>
                </w:tcPr>
                <w:p w14:paraId="59C1BC3B">
                  <w:pPr>
                    <w:pStyle w:val="13"/>
                    <w:spacing w:line="240" w:lineRule="auto"/>
                    <w:jc w:val="center"/>
                    <w:rPr>
                      <w:rFonts w:ascii="Times New Roman" w:hAnsi="Times New Roman"/>
                      <w:color w:val="auto"/>
                      <w:szCs w:val="21"/>
                      <w:highlight w:val="none"/>
                    </w:rPr>
                  </w:pPr>
                  <w:r>
                    <w:rPr>
                      <w:rFonts w:ascii="Times New Roman" w:hAnsi="Times New Roman"/>
                      <w:color w:val="auto"/>
                      <w:szCs w:val="21"/>
                      <w:highlight w:val="none"/>
                    </w:rPr>
                    <w:t>符合</w:t>
                  </w:r>
                </w:p>
              </w:tc>
            </w:tr>
            <w:tr w14:paraId="483384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21" w:type="pct"/>
                  <w:vMerge w:val="restart"/>
                  <w:noWrap w:val="0"/>
                  <w:vAlign w:val="center"/>
                </w:tcPr>
                <w:p w14:paraId="58B7518E">
                  <w:pPr>
                    <w:pStyle w:val="13"/>
                    <w:spacing w:line="240" w:lineRule="auto"/>
                    <w:rPr>
                      <w:rFonts w:ascii="Times New Roman" w:hAnsi="Times New Roman"/>
                      <w:color w:val="auto"/>
                      <w:szCs w:val="21"/>
                      <w:highlight w:val="none"/>
                    </w:rPr>
                  </w:pPr>
                  <w:r>
                    <w:rPr>
                      <w:rFonts w:ascii="Times New Roman" w:hAnsi="Times New Roman"/>
                      <w:color w:val="auto"/>
                      <w:szCs w:val="21"/>
                      <w:highlight w:val="none"/>
                    </w:rPr>
                    <w:t>污染物排放管控</w:t>
                  </w:r>
                </w:p>
              </w:tc>
              <w:tc>
                <w:tcPr>
                  <w:tcW w:w="617" w:type="pct"/>
                  <w:noWrap w:val="0"/>
                  <w:vAlign w:val="center"/>
                </w:tcPr>
                <w:p w14:paraId="25A1EE25">
                  <w:pPr>
                    <w:widowControl/>
                    <w:spacing w:line="240" w:lineRule="auto"/>
                    <w:jc w:val="center"/>
                    <w:rPr>
                      <w:rFonts w:ascii="Times New Roman" w:hAnsi="Times New Roman"/>
                      <w:color w:val="auto"/>
                      <w:szCs w:val="21"/>
                      <w:highlight w:val="none"/>
                    </w:rPr>
                  </w:pPr>
                  <w:r>
                    <w:rPr>
                      <w:color w:val="auto"/>
                      <w:kern w:val="0"/>
                      <w:szCs w:val="21"/>
                      <w:highlight w:val="none"/>
                      <w:lang w:bidi="ar"/>
                    </w:rPr>
                    <w:t>现有源提标升级改造</w:t>
                  </w:r>
                </w:p>
              </w:tc>
              <w:tc>
                <w:tcPr>
                  <w:tcW w:w="2393" w:type="pct"/>
                  <w:noWrap w:val="0"/>
                  <w:vAlign w:val="center"/>
                </w:tcPr>
                <w:p w14:paraId="4365D741">
                  <w:pPr>
                    <w:widowControl/>
                    <w:numPr>
                      <w:ilvl w:val="0"/>
                      <w:numId w:val="0"/>
                    </w:numPr>
                    <w:spacing w:line="240" w:lineRule="auto"/>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1.推进实行特别排放限值和超低排放。2.强化工业企业无组织排放管控。开展铸造等重点行业及燃煤锅炉无组织排放排</w:t>
                  </w:r>
                  <w:r>
                    <w:rPr>
                      <w:rFonts w:hint="eastAsia" w:ascii="Times New Roman" w:hAnsi="Times New Roman" w:eastAsia="宋体" w:cs="Times New Roman"/>
                      <w:color w:val="auto"/>
                      <w:kern w:val="0"/>
                      <w:szCs w:val="21"/>
                      <w:highlight w:val="none"/>
                      <w:lang w:val="en-US" w:eastAsia="zh-CN" w:bidi="ar"/>
                    </w:rPr>
                    <w:t>查</w:t>
                  </w:r>
                  <w:r>
                    <w:rPr>
                      <w:rFonts w:hint="default" w:ascii="Times New Roman" w:hAnsi="Times New Roman" w:eastAsia="宋体" w:cs="Times New Roman"/>
                      <w:color w:val="auto"/>
                      <w:kern w:val="0"/>
                      <w:szCs w:val="21"/>
                      <w:highlight w:val="none"/>
                      <w:lang w:val="en-US" w:eastAsia="zh-CN" w:bidi="ar"/>
                    </w:rPr>
                    <w:t>，建立管理台账，对物料</w:t>
                  </w:r>
                  <w:r>
                    <w:rPr>
                      <w:rFonts w:hint="eastAsia" w:ascii="Times New Roman" w:hAnsi="Times New Roman" w:eastAsia="宋体" w:cs="Times New Roman"/>
                      <w:color w:val="auto"/>
                      <w:kern w:val="0"/>
                      <w:szCs w:val="21"/>
                      <w:highlight w:val="none"/>
                      <w:lang w:val="en-US" w:eastAsia="zh-CN" w:bidi="ar"/>
                    </w:rPr>
                    <w:t>（</w:t>
                  </w:r>
                  <w:r>
                    <w:rPr>
                      <w:rFonts w:hint="default" w:ascii="Times New Roman" w:hAnsi="Times New Roman" w:eastAsia="宋体" w:cs="Times New Roman"/>
                      <w:color w:val="auto"/>
                      <w:kern w:val="0"/>
                      <w:szCs w:val="21"/>
                      <w:highlight w:val="none"/>
                      <w:lang w:val="en-US" w:eastAsia="zh-CN" w:bidi="ar"/>
                    </w:rPr>
                    <w:t>含废渣</w:t>
                  </w:r>
                  <w:r>
                    <w:rPr>
                      <w:rFonts w:hint="eastAsia" w:ascii="Times New Roman" w:hAnsi="Times New Roman" w:eastAsia="宋体" w:cs="Times New Roman"/>
                      <w:color w:val="auto"/>
                      <w:kern w:val="0"/>
                      <w:szCs w:val="21"/>
                      <w:highlight w:val="none"/>
                      <w:lang w:val="en-US" w:eastAsia="zh-CN" w:bidi="ar"/>
                    </w:rPr>
                    <w:t>）</w:t>
                  </w:r>
                  <w:r>
                    <w:rPr>
                      <w:rFonts w:hint="default" w:ascii="Times New Roman" w:hAnsi="Times New Roman" w:eastAsia="宋体" w:cs="Times New Roman"/>
                      <w:color w:val="auto"/>
                      <w:kern w:val="0"/>
                      <w:szCs w:val="21"/>
                      <w:highlight w:val="none"/>
                      <w:lang w:val="en-US" w:eastAsia="zh-CN" w:bidi="ar"/>
                    </w:rPr>
                    <w:t>运输、装卸、储存、转移和工艺过程等无组织排放实施深度治理。3.加大不达标工业</w:t>
                  </w:r>
                  <w:r>
                    <w:rPr>
                      <w:rFonts w:hint="eastAsia" w:ascii="Times New Roman" w:hAnsi="Times New Roman" w:eastAsia="宋体" w:cs="Times New Roman"/>
                      <w:color w:val="auto"/>
                      <w:kern w:val="0"/>
                      <w:szCs w:val="21"/>
                      <w:highlight w:val="none"/>
                      <w:lang w:val="en-US" w:eastAsia="zh-CN" w:bidi="ar"/>
                    </w:rPr>
                    <w:t>炉窑</w:t>
                  </w:r>
                  <w:r>
                    <w:rPr>
                      <w:rFonts w:hint="default" w:ascii="Times New Roman" w:hAnsi="Times New Roman" w:eastAsia="宋体" w:cs="Times New Roman"/>
                      <w:color w:val="auto"/>
                      <w:kern w:val="0"/>
                      <w:szCs w:val="21"/>
                      <w:highlight w:val="none"/>
                      <w:lang w:val="en-US" w:eastAsia="zh-CN" w:bidi="ar"/>
                    </w:rPr>
                    <w:t>淘汰力度，加快淘汰中小型煤气发生炉。4.加快城镇污水处理设施建设与改造，城镇污水处理厂要全部达到《城镇污水处理厂污染物排放标准》一级A排放标准。现有城镇污水处理设施，要因地制宜进行改造</w:t>
                  </w:r>
                  <w:r>
                    <w:rPr>
                      <w:rFonts w:hint="eastAsia" w:ascii="Times New Roman" w:hAnsi="Times New Roman" w:eastAsia="宋体" w:cs="Times New Roman"/>
                      <w:color w:val="auto"/>
                      <w:kern w:val="0"/>
                      <w:szCs w:val="21"/>
                      <w:highlight w:val="none"/>
                      <w:lang w:val="en-US" w:eastAsia="zh-CN" w:bidi="ar"/>
                    </w:rPr>
                    <w:t>。</w:t>
                  </w:r>
                </w:p>
              </w:tc>
              <w:tc>
                <w:tcPr>
                  <w:tcW w:w="1342" w:type="pct"/>
                  <w:noWrap w:val="0"/>
                  <w:vAlign w:val="center"/>
                </w:tcPr>
                <w:p w14:paraId="66D593D8">
                  <w:pPr>
                    <w:keepNext w:val="0"/>
                    <w:keepLines w:val="0"/>
                    <w:pageBreakBefore w:val="0"/>
                    <w:kinsoku/>
                    <w:wordWrap/>
                    <w:overflowPunct/>
                    <w:topLinePunct w:val="0"/>
                    <w:autoSpaceDE/>
                    <w:autoSpaceDN/>
                    <w:bidi w:val="0"/>
                    <w:adjustRightInd/>
                    <w:snapToGrid/>
                    <w:spacing w:line="240" w:lineRule="auto"/>
                    <w:jc w:val="both"/>
                    <w:textAlignment w:val="auto"/>
                    <w:rPr>
                      <w:rFonts w:hint="eastAsia"/>
                      <w:color w:val="auto"/>
                      <w:szCs w:val="21"/>
                      <w:highlight w:val="none"/>
                    </w:rPr>
                  </w:pPr>
                  <w:r>
                    <w:rPr>
                      <w:rFonts w:hint="default" w:ascii="Times New Roman" w:hAnsi="Times New Roman" w:eastAsia="宋体" w:cs="Times New Roman"/>
                      <w:color w:val="auto"/>
                      <w:kern w:val="0"/>
                      <w:sz w:val="21"/>
                      <w:szCs w:val="21"/>
                      <w:highlight w:val="none"/>
                      <w:lang w:val="en-US" w:eastAsia="zh-CN" w:bidi="ar"/>
                    </w:rPr>
                    <w:t>本项目</w:t>
                  </w:r>
                  <w:r>
                    <w:rPr>
                      <w:rFonts w:hint="eastAsia" w:ascii="Times New Roman" w:hAnsi="Times New Roman" w:eastAsia="宋体" w:cs="Times New Roman"/>
                      <w:color w:val="auto"/>
                      <w:kern w:val="0"/>
                      <w:sz w:val="21"/>
                      <w:szCs w:val="21"/>
                      <w:highlight w:val="none"/>
                      <w:lang w:val="en-US" w:eastAsia="zh-CN" w:bidi="ar"/>
                    </w:rPr>
                    <w:t>有组织及</w:t>
                  </w:r>
                  <w:r>
                    <w:rPr>
                      <w:rFonts w:hint="default" w:ascii="Times New Roman" w:hAnsi="Times New Roman" w:eastAsia="宋体" w:cs="Times New Roman"/>
                      <w:color w:val="auto"/>
                      <w:kern w:val="0"/>
                      <w:sz w:val="21"/>
                      <w:szCs w:val="21"/>
                      <w:highlight w:val="none"/>
                      <w:lang w:val="en-US" w:eastAsia="zh-CN" w:bidi="ar"/>
                    </w:rPr>
                    <w:t>无组织废气排放执行</w:t>
                  </w:r>
                  <w:r>
                    <w:rPr>
                      <w:rFonts w:hint="eastAsia" w:ascii="Times New Roman" w:hAnsi="Times New Roman" w:eastAsia="宋体" w:cs="Times New Roman"/>
                      <w:color w:val="auto"/>
                      <w:kern w:val="0"/>
                      <w:sz w:val="21"/>
                      <w:szCs w:val="21"/>
                      <w:highlight w:val="none"/>
                      <w:lang w:val="en-US" w:eastAsia="zh-CN" w:bidi="ar"/>
                    </w:rPr>
                    <w:t>《</w:t>
                  </w:r>
                  <w:r>
                    <w:rPr>
                      <w:rFonts w:hint="eastAsia" w:ascii="Times New Roman" w:hAnsi="Times New Roman" w:eastAsia="宋体" w:cs="Times New Roman"/>
                      <w:color w:val="auto"/>
                      <w:spacing w:val="-4"/>
                      <w:sz w:val="21"/>
                      <w:szCs w:val="21"/>
                      <w:highlight w:val="none"/>
                      <w:lang w:eastAsia="zh-CN"/>
                    </w:rPr>
                    <w:t>大气污染物综合排放标准》（GB16297-1996）表2及</w:t>
                  </w:r>
                  <w:r>
                    <w:rPr>
                      <w:rFonts w:ascii="Times New Roman" w:hAnsi="Times New Roman" w:cs="Times New Roman"/>
                      <w:color w:val="auto"/>
                      <w:sz w:val="21"/>
                      <w:szCs w:val="21"/>
                    </w:rPr>
                    <w:t>《工业涂装工序挥发性有机物排放标准》（DB21/3160-2019）</w:t>
                  </w:r>
                  <w:r>
                    <w:rPr>
                      <w:rFonts w:hint="eastAsia" w:ascii="Times New Roman" w:hAnsi="Times New Roman" w:eastAsia="宋体" w:cs="Times New Roman"/>
                      <w:color w:val="auto"/>
                      <w:spacing w:val="-4"/>
                      <w:sz w:val="21"/>
                      <w:szCs w:val="21"/>
                      <w:highlight w:val="none"/>
                      <w:lang w:eastAsia="zh-CN"/>
                    </w:rPr>
                    <w:t>排放限值标准要求</w:t>
                  </w:r>
                  <w:r>
                    <w:rPr>
                      <w:rFonts w:hint="default" w:ascii="Times New Roman" w:hAnsi="Times New Roman" w:eastAsia="宋体" w:cs="Times New Roman"/>
                      <w:color w:val="auto"/>
                      <w:kern w:val="0"/>
                      <w:sz w:val="21"/>
                      <w:szCs w:val="21"/>
                      <w:highlight w:val="none"/>
                      <w:lang w:val="en-US" w:eastAsia="zh-CN" w:bidi="ar"/>
                    </w:rPr>
                    <w:t>，不涉及锅炉；</w:t>
                  </w:r>
                  <w:r>
                    <w:rPr>
                      <w:rFonts w:hint="eastAsia"/>
                      <w:color w:val="auto"/>
                      <w:kern w:val="0"/>
                      <w:szCs w:val="21"/>
                      <w:highlight w:val="none"/>
                      <w:lang w:bidi="ar"/>
                    </w:rPr>
                    <w:t>本项目</w:t>
                  </w:r>
                  <w:r>
                    <w:rPr>
                      <w:rFonts w:hint="eastAsia" w:ascii="Times New Roman" w:hAnsi="Times New Roman" w:eastAsia="宋体" w:cs="Times New Roman"/>
                      <w:color w:val="auto"/>
                      <w:sz w:val="21"/>
                      <w:szCs w:val="21"/>
                      <w:lang w:eastAsia="zh-CN"/>
                    </w:rPr>
                    <w:t>无生产废水产生，生活污水排入抚顺县救兵镇污水处理厂处理</w:t>
                  </w:r>
                  <w:r>
                    <w:rPr>
                      <w:rFonts w:hint="eastAsia"/>
                      <w:color w:val="auto"/>
                      <w:kern w:val="0"/>
                      <w:szCs w:val="21"/>
                      <w:highlight w:val="none"/>
                      <w:lang w:bidi="ar"/>
                    </w:rPr>
                    <w:t>。</w:t>
                  </w:r>
                  <w:r>
                    <w:rPr>
                      <w:rFonts w:hint="eastAsia" w:ascii="Times New Roman" w:hAnsi="Times New Roman" w:cs="Times New Roman"/>
                      <w:color w:val="auto"/>
                      <w:spacing w:val="-4"/>
                      <w:sz w:val="21"/>
                      <w:szCs w:val="21"/>
                      <w:highlight w:val="none"/>
                      <w:lang w:eastAsia="zh-CN"/>
                    </w:rPr>
                    <w:t>本项目车间厂房密闭，物料贮存、输送均在密闭车间内进行。</w:t>
                  </w:r>
                </w:p>
              </w:tc>
              <w:tc>
                <w:tcPr>
                  <w:tcW w:w="324" w:type="pct"/>
                  <w:noWrap w:val="0"/>
                  <w:vAlign w:val="center"/>
                </w:tcPr>
                <w:p w14:paraId="066E6365">
                  <w:pPr>
                    <w:pStyle w:val="13"/>
                    <w:spacing w:line="240" w:lineRule="auto"/>
                    <w:jc w:val="center"/>
                    <w:rPr>
                      <w:rFonts w:ascii="Times New Roman" w:hAnsi="Times New Roman"/>
                      <w:color w:val="auto"/>
                      <w:szCs w:val="21"/>
                      <w:highlight w:val="none"/>
                    </w:rPr>
                  </w:pPr>
                  <w:r>
                    <w:rPr>
                      <w:rFonts w:ascii="Times New Roman" w:hAnsi="Times New Roman"/>
                      <w:color w:val="auto"/>
                      <w:szCs w:val="21"/>
                      <w:highlight w:val="none"/>
                    </w:rPr>
                    <w:t>符合</w:t>
                  </w:r>
                </w:p>
              </w:tc>
            </w:tr>
            <w:tr w14:paraId="001997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21" w:type="pct"/>
                  <w:vMerge w:val="continue"/>
                  <w:noWrap w:val="0"/>
                  <w:vAlign w:val="center"/>
                </w:tcPr>
                <w:p w14:paraId="563B5AE2">
                  <w:pPr>
                    <w:pStyle w:val="13"/>
                    <w:spacing w:line="240" w:lineRule="auto"/>
                    <w:rPr>
                      <w:rFonts w:ascii="Times New Roman" w:hAnsi="Times New Roman"/>
                      <w:color w:val="auto"/>
                      <w:szCs w:val="21"/>
                      <w:highlight w:val="none"/>
                    </w:rPr>
                  </w:pPr>
                </w:p>
              </w:tc>
              <w:tc>
                <w:tcPr>
                  <w:tcW w:w="617" w:type="pct"/>
                  <w:noWrap w:val="0"/>
                  <w:vAlign w:val="center"/>
                </w:tcPr>
                <w:p w14:paraId="2E506C38">
                  <w:pPr>
                    <w:widowControl/>
                    <w:spacing w:line="240" w:lineRule="auto"/>
                    <w:jc w:val="center"/>
                    <w:rPr>
                      <w:rFonts w:ascii="Times New Roman" w:hAnsi="Times New Roman"/>
                      <w:color w:val="auto"/>
                      <w:szCs w:val="21"/>
                      <w:highlight w:val="none"/>
                    </w:rPr>
                  </w:pPr>
                  <w:r>
                    <w:rPr>
                      <w:color w:val="auto"/>
                      <w:kern w:val="0"/>
                      <w:szCs w:val="21"/>
                      <w:highlight w:val="none"/>
                      <w:lang w:bidi="ar"/>
                    </w:rPr>
                    <w:t>削减排放量</w:t>
                  </w:r>
                </w:p>
              </w:tc>
              <w:tc>
                <w:tcPr>
                  <w:tcW w:w="2393" w:type="pct"/>
                  <w:noWrap w:val="0"/>
                  <w:vAlign w:val="center"/>
                </w:tcPr>
                <w:p w14:paraId="561B72B8">
                  <w:pPr>
                    <w:widowControl/>
                    <w:numPr>
                      <w:ilvl w:val="0"/>
                      <w:numId w:val="0"/>
                    </w:numPr>
                    <w:spacing w:line="240" w:lineRule="auto"/>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1.水环境质量目标要完成市级控制指标。到2025</w:t>
                  </w:r>
                  <w:r>
                    <w:rPr>
                      <w:rFonts w:hint="eastAsia" w:ascii="Times New Roman" w:hAnsi="Times New Roman" w:eastAsia="宋体" w:cs="Times New Roman"/>
                      <w:color w:val="auto"/>
                      <w:kern w:val="0"/>
                      <w:szCs w:val="21"/>
                      <w:highlight w:val="none"/>
                      <w:lang w:val="en-US" w:eastAsia="zh-CN" w:bidi="ar"/>
                    </w:rPr>
                    <w:t>年全市河流水质（</w:t>
                  </w:r>
                  <w:r>
                    <w:rPr>
                      <w:rFonts w:hint="default" w:ascii="Times New Roman" w:hAnsi="Times New Roman" w:eastAsia="宋体" w:cs="Times New Roman"/>
                      <w:color w:val="auto"/>
                      <w:kern w:val="0"/>
                      <w:szCs w:val="21"/>
                      <w:highlight w:val="none"/>
                      <w:lang w:val="en-US" w:eastAsia="zh-CN" w:bidi="ar"/>
                    </w:rPr>
                    <w:t>Ⅲ</w:t>
                  </w:r>
                  <w:r>
                    <w:rPr>
                      <w:rFonts w:hint="eastAsia" w:ascii="Times New Roman" w:hAnsi="Times New Roman" w:eastAsia="宋体" w:cs="Times New Roman"/>
                      <w:color w:val="auto"/>
                      <w:kern w:val="0"/>
                      <w:szCs w:val="21"/>
                      <w:highlight w:val="none"/>
                      <w:lang w:val="en-US" w:eastAsia="zh-CN" w:bidi="ar"/>
                    </w:rPr>
                    <w:t>类及以上水质）优良比例达</w:t>
                  </w:r>
                  <w:r>
                    <w:rPr>
                      <w:rFonts w:hint="default" w:ascii="Times New Roman" w:hAnsi="Times New Roman" w:eastAsia="宋体" w:cs="Times New Roman"/>
                      <w:color w:val="auto"/>
                      <w:kern w:val="0"/>
                      <w:szCs w:val="21"/>
                      <w:highlight w:val="none"/>
                      <w:lang w:val="en-US" w:eastAsia="zh-CN" w:bidi="ar"/>
                    </w:rPr>
                    <w:t>100%</w:t>
                  </w:r>
                  <w:r>
                    <w:rPr>
                      <w:rFonts w:hint="eastAsia" w:ascii="Times New Roman" w:hAnsi="Times New Roman" w:eastAsia="宋体" w:cs="Times New Roman"/>
                      <w:color w:val="auto"/>
                      <w:kern w:val="0"/>
                      <w:szCs w:val="21"/>
                      <w:highlight w:val="none"/>
                      <w:lang w:val="en-US" w:eastAsia="zh-CN" w:bidi="ar"/>
                    </w:rPr>
                    <w:t>以上，城市建成区黑臭水体得到消除，城市集中式饮用水水源地水质优良比例达</w:t>
                  </w:r>
                  <w:r>
                    <w:rPr>
                      <w:rFonts w:hint="default" w:ascii="Times New Roman" w:hAnsi="Times New Roman" w:eastAsia="宋体" w:cs="Times New Roman"/>
                      <w:color w:val="auto"/>
                      <w:kern w:val="0"/>
                      <w:szCs w:val="21"/>
                      <w:highlight w:val="none"/>
                      <w:lang w:val="en-US" w:eastAsia="zh-CN" w:bidi="ar"/>
                    </w:rPr>
                    <w:t>100%</w:t>
                  </w:r>
                  <w:r>
                    <w:rPr>
                      <w:rFonts w:hint="eastAsia" w:ascii="Times New Roman" w:hAnsi="Times New Roman" w:eastAsia="宋体" w:cs="Times New Roman"/>
                      <w:color w:val="auto"/>
                      <w:kern w:val="0"/>
                      <w:szCs w:val="21"/>
                      <w:highlight w:val="none"/>
                      <w:lang w:val="en-US" w:eastAsia="zh-CN" w:bidi="ar"/>
                    </w:rPr>
                    <w:t>，全市地下水水质不下降。到</w:t>
                  </w:r>
                  <w:r>
                    <w:rPr>
                      <w:rFonts w:hint="default" w:ascii="Times New Roman" w:hAnsi="Times New Roman" w:eastAsia="宋体" w:cs="Times New Roman"/>
                      <w:color w:val="auto"/>
                      <w:kern w:val="0"/>
                      <w:szCs w:val="21"/>
                      <w:highlight w:val="none"/>
                      <w:lang w:val="en-US" w:eastAsia="zh-CN" w:bidi="ar"/>
                    </w:rPr>
                    <w:t>2035</w:t>
                  </w:r>
                  <w:r>
                    <w:rPr>
                      <w:rFonts w:hint="eastAsia" w:ascii="Times New Roman" w:hAnsi="Times New Roman" w:eastAsia="宋体" w:cs="Times New Roman"/>
                      <w:color w:val="auto"/>
                      <w:kern w:val="0"/>
                      <w:szCs w:val="21"/>
                      <w:highlight w:val="none"/>
                      <w:lang w:val="en-US" w:eastAsia="zh-CN" w:bidi="ar"/>
                    </w:rPr>
                    <w:t>年，全市河流水质优良比例进一步提高，巩固城市黑臭水体治理成果，巩固城市集中式饮用水水源地水质优良比例成果，全市地下水质量不下降。</w:t>
                  </w:r>
                  <w:r>
                    <w:rPr>
                      <w:rFonts w:hint="default" w:ascii="Times New Roman" w:hAnsi="Times New Roman" w:eastAsia="宋体" w:cs="Times New Roman"/>
                      <w:color w:val="auto"/>
                      <w:kern w:val="0"/>
                      <w:szCs w:val="21"/>
                      <w:highlight w:val="none"/>
                      <w:lang w:val="en-US" w:eastAsia="zh-CN" w:bidi="ar"/>
                    </w:rPr>
                    <w:t>2025</w:t>
                  </w:r>
                  <w:r>
                    <w:rPr>
                      <w:rFonts w:hint="eastAsia" w:ascii="Times New Roman" w:hAnsi="Times New Roman" w:eastAsia="宋体" w:cs="Times New Roman"/>
                      <w:color w:val="auto"/>
                      <w:kern w:val="0"/>
                      <w:szCs w:val="21"/>
                      <w:highlight w:val="none"/>
                      <w:lang w:val="en-US" w:eastAsia="zh-CN" w:bidi="ar"/>
                    </w:rPr>
                    <w:t>年区域内水环境污染物</w:t>
                  </w:r>
                  <w:r>
                    <w:rPr>
                      <w:rFonts w:hint="default" w:ascii="Times New Roman" w:hAnsi="Times New Roman" w:eastAsia="宋体" w:cs="Times New Roman"/>
                      <w:color w:val="auto"/>
                      <w:kern w:val="0"/>
                      <w:szCs w:val="21"/>
                      <w:highlight w:val="none"/>
                      <w:lang w:val="en-US" w:eastAsia="zh-CN" w:bidi="ar"/>
                    </w:rPr>
                    <w:t>COD</w:t>
                  </w:r>
                  <w:r>
                    <w:rPr>
                      <w:rFonts w:hint="eastAsia" w:ascii="Times New Roman" w:hAnsi="Times New Roman" w:eastAsia="宋体" w:cs="Times New Roman"/>
                      <w:color w:val="auto"/>
                      <w:kern w:val="0"/>
                      <w:szCs w:val="21"/>
                      <w:highlight w:val="none"/>
                      <w:lang w:val="en-US" w:eastAsia="zh-CN" w:bidi="ar"/>
                    </w:rPr>
                    <w:t>和氨氮排放量较</w:t>
                  </w:r>
                  <w:r>
                    <w:rPr>
                      <w:rFonts w:hint="default" w:ascii="Times New Roman" w:hAnsi="Times New Roman" w:eastAsia="宋体" w:cs="Times New Roman"/>
                      <w:color w:val="auto"/>
                      <w:kern w:val="0"/>
                      <w:szCs w:val="21"/>
                      <w:highlight w:val="none"/>
                      <w:lang w:val="en-US" w:eastAsia="zh-CN" w:bidi="ar"/>
                    </w:rPr>
                    <w:t>2020</w:t>
                  </w:r>
                  <w:r>
                    <w:rPr>
                      <w:rFonts w:hint="eastAsia" w:ascii="Times New Roman" w:hAnsi="Times New Roman" w:eastAsia="宋体" w:cs="Times New Roman"/>
                      <w:color w:val="auto"/>
                      <w:kern w:val="0"/>
                      <w:szCs w:val="21"/>
                      <w:highlight w:val="none"/>
                      <w:lang w:val="en-US" w:eastAsia="zh-CN" w:bidi="ar"/>
                    </w:rPr>
                    <w:t>年下降，</w:t>
                  </w:r>
                  <w:r>
                    <w:rPr>
                      <w:rFonts w:hint="default" w:ascii="Times New Roman" w:hAnsi="Times New Roman" w:eastAsia="宋体" w:cs="Times New Roman"/>
                      <w:color w:val="auto"/>
                      <w:kern w:val="0"/>
                      <w:szCs w:val="21"/>
                      <w:highlight w:val="none"/>
                      <w:lang w:val="en-US" w:eastAsia="zh-CN" w:bidi="ar"/>
                    </w:rPr>
                    <w:t>2035</w:t>
                  </w:r>
                  <w:r>
                    <w:rPr>
                      <w:rFonts w:hint="eastAsia" w:ascii="Times New Roman" w:hAnsi="Times New Roman" w:eastAsia="宋体" w:cs="Times New Roman"/>
                      <w:color w:val="auto"/>
                      <w:kern w:val="0"/>
                      <w:szCs w:val="21"/>
                      <w:highlight w:val="none"/>
                      <w:lang w:val="en-US" w:eastAsia="zh-CN" w:bidi="ar"/>
                    </w:rPr>
                    <w:t>年</w:t>
                  </w:r>
                  <w:r>
                    <w:rPr>
                      <w:rFonts w:hint="default" w:ascii="Times New Roman" w:hAnsi="Times New Roman" w:eastAsia="宋体" w:cs="Times New Roman"/>
                      <w:color w:val="auto"/>
                      <w:kern w:val="0"/>
                      <w:szCs w:val="21"/>
                      <w:highlight w:val="none"/>
                      <w:lang w:val="en-US" w:eastAsia="zh-CN" w:bidi="ar"/>
                    </w:rPr>
                    <w:t>COD</w:t>
                  </w:r>
                  <w:r>
                    <w:rPr>
                      <w:rFonts w:hint="eastAsia" w:ascii="Times New Roman" w:hAnsi="Times New Roman" w:eastAsia="宋体" w:cs="Times New Roman"/>
                      <w:color w:val="auto"/>
                      <w:kern w:val="0"/>
                      <w:szCs w:val="21"/>
                      <w:highlight w:val="none"/>
                      <w:lang w:val="en-US" w:eastAsia="zh-CN" w:bidi="ar"/>
                    </w:rPr>
                    <w:t>和氨氮排放量进一步下降。</w:t>
                  </w:r>
                  <w:r>
                    <w:rPr>
                      <w:rFonts w:hint="default" w:ascii="Times New Roman" w:hAnsi="Times New Roman" w:eastAsia="宋体" w:cs="Times New Roman"/>
                      <w:color w:val="auto"/>
                      <w:kern w:val="0"/>
                      <w:szCs w:val="21"/>
                      <w:highlight w:val="none"/>
                      <w:lang w:val="en-US" w:eastAsia="zh-CN" w:bidi="ar"/>
                    </w:rPr>
                    <w:t>2.</w:t>
                  </w:r>
                  <w:r>
                    <w:rPr>
                      <w:rFonts w:hint="eastAsia" w:ascii="Times New Roman" w:hAnsi="Times New Roman" w:eastAsia="宋体" w:cs="Times New Roman"/>
                      <w:color w:val="auto"/>
                      <w:kern w:val="0"/>
                      <w:szCs w:val="21"/>
                      <w:highlight w:val="none"/>
                      <w:lang w:val="en-US" w:eastAsia="zh-CN" w:bidi="ar"/>
                    </w:rPr>
                    <w:t>大气环境质量目标要完成市级控制指标。</w:t>
                  </w:r>
                  <w:r>
                    <w:rPr>
                      <w:rFonts w:hint="default" w:ascii="Times New Roman" w:hAnsi="Times New Roman" w:eastAsia="宋体" w:cs="Times New Roman"/>
                      <w:color w:val="auto"/>
                      <w:kern w:val="0"/>
                      <w:szCs w:val="21"/>
                      <w:highlight w:val="none"/>
                      <w:lang w:val="en-US" w:eastAsia="zh-CN" w:bidi="ar"/>
                    </w:rPr>
                    <w:t>2025</w:t>
                  </w:r>
                  <w:r>
                    <w:rPr>
                      <w:rFonts w:hint="eastAsia" w:ascii="Times New Roman" w:hAnsi="Times New Roman" w:eastAsia="宋体" w:cs="Times New Roman"/>
                      <w:color w:val="auto"/>
                      <w:kern w:val="0"/>
                      <w:szCs w:val="21"/>
                      <w:highlight w:val="none"/>
                      <w:lang w:val="en-US" w:eastAsia="zh-CN" w:bidi="ar"/>
                    </w:rPr>
                    <w:t>年</w:t>
                  </w:r>
                  <w:r>
                    <w:rPr>
                      <w:rFonts w:hint="default" w:ascii="Times New Roman" w:hAnsi="Times New Roman" w:eastAsia="宋体" w:cs="Times New Roman"/>
                      <w:color w:val="auto"/>
                      <w:kern w:val="0"/>
                      <w:szCs w:val="21"/>
                      <w:highlight w:val="none"/>
                      <w:lang w:val="en-US" w:eastAsia="zh-CN" w:bidi="ar"/>
                    </w:rPr>
                    <w:t>PM2.5</w:t>
                  </w:r>
                  <w:r>
                    <w:rPr>
                      <w:rFonts w:hint="eastAsia" w:ascii="Times New Roman" w:hAnsi="Times New Roman" w:eastAsia="宋体" w:cs="Times New Roman"/>
                      <w:color w:val="auto"/>
                      <w:kern w:val="0"/>
                      <w:szCs w:val="21"/>
                      <w:highlight w:val="none"/>
                      <w:lang w:val="en-US" w:eastAsia="zh-CN" w:bidi="ar"/>
                    </w:rPr>
                    <w:t>平均浓度达到</w:t>
                  </w:r>
                  <w:r>
                    <w:rPr>
                      <w:rFonts w:hint="default" w:ascii="Times New Roman" w:hAnsi="Times New Roman" w:eastAsia="宋体" w:cs="Times New Roman"/>
                      <w:color w:val="auto"/>
                      <w:kern w:val="0"/>
                      <w:szCs w:val="21"/>
                      <w:highlight w:val="none"/>
                      <w:lang w:val="en-US" w:eastAsia="zh-CN" w:bidi="ar"/>
                    </w:rPr>
                    <w:t>35ug/m</w:t>
                  </w:r>
                  <w:r>
                    <w:rPr>
                      <w:rFonts w:hint="default" w:ascii="Times New Roman" w:hAnsi="Times New Roman" w:eastAsia="宋体" w:cs="Times New Roman"/>
                      <w:color w:val="auto"/>
                      <w:kern w:val="0"/>
                      <w:szCs w:val="21"/>
                      <w:highlight w:val="none"/>
                      <w:vertAlign w:val="superscript"/>
                      <w:lang w:val="en-US" w:eastAsia="zh-CN" w:bidi="ar"/>
                    </w:rPr>
                    <w:t>3</w:t>
                  </w:r>
                  <w:r>
                    <w:rPr>
                      <w:rFonts w:hint="eastAsia" w:ascii="Times New Roman" w:hAnsi="Times New Roman" w:eastAsia="宋体" w:cs="Times New Roman"/>
                      <w:color w:val="auto"/>
                      <w:kern w:val="0"/>
                      <w:szCs w:val="21"/>
                      <w:highlight w:val="none"/>
                      <w:lang w:val="en-US" w:eastAsia="zh-CN" w:bidi="ar"/>
                    </w:rPr>
                    <w:t>的目标，</w:t>
                  </w:r>
                  <w:r>
                    <w:rPr>
                      <w:rFonts w:hint="default" w:ascii="Times New Roman" w:hAnsi="Times New Roman" w:eastAsia="宋体" w:cs="Times New Roman"/>
                      <w:color w:val="auto"/>
                      <w:kern w:val="0"/>
                      <w:szCs w:val="21"/>
                      <w:highlight w:val="none"/>
                      <w:lang w:val="en-US" w:eastAsia="zh-CN" w:bidi="ar"/>
                    </w:rPr>
                    <w:t>2035</w:t>
                  </w:r>
                  <w:r>
                    <w:rPr>
                      <w:rFonts w:hint="eastAsia" w:ascii="Times New Roman" w:hAnsi="Times New Roman" w:eastAsia="宋体" w:cs="Times New Roman"/>
                      <w:color w:val="auto"/>
                      <w:kern w:val="0"/>
                      <w:szCs w:val="21"/>
                      <w:highlight w:val="none"/>
                      <w:lang w:val="en-US" w:eastAsia="zh-CN" w:bidi="ar"/>
                    </w:rPr>
                    <w:t>年空气质量进一步得到改善。</w:t>
                  </w:r>
                  <w:r>
                    <w:rPr>
                      <w:rFonts w:hint="default" w:ascii="Times New Roman" w:hAnsi="Times New Roman" w:eastAsia="宋体" w:cs="Times New Roman"/>
                      <w:color w:val="auto"/>
                      <w:kern w:val="0"/>
                      <w:szCs w:val="21"/>
                      <w:highlight w:val="none"/>
                      <w:lang w:val="en-US" w:eastAsia="zh-CN" w:bidi="ar"/>
                    </w:rPr>
                    <w:t>2025</w:t>
                  </w:r>
                  <w:r>
                    <w:rPr>
                      <w:rFonts w:hint="eastAsia" w:ascii="Times New Roman" w:hAnsi="Times New Roman" w:eastAsia="宋体" w:cs="Times New Roman"/>
                      <w:color w:val="auto"/>
                      <w:kern w:val="0"/>
                      <w:szCs w:val="21"/>
                      <w:highlight w:val="none"/>
                      <w:lang w:val="en-US" w:eastAsia="zh-CN" w:bidi="ar"/>
                    </w:rPr>
                    <w:t>年区域内大气环境污染物二氧化硫、</w:t>
                  </w:r>
                </w:p>
                <w:p w14:paraId="0F9B76D6">
                  <w:pPr>
                    <w:widowControl/>
                    <w:numPr>
                      <w:ilvl w:val="0"/>
                      <w:numId w:val="0"/>
                    </w:numPr>
                    <w:spacing w:line="240" w:lineRule="auto"/>
                    <w:rPr>
                      <w:rFonts w:hint="default" w:ascii="Times New Roman" w:hAnsi="Times New Roman" w:eastAsia="宋体" w:cs="Times New Roman"/>
                      <w:color w:val="auto"/>
                      <w:kern w:val="0"/>
                      <w:szCs w:val="21"/>
                      <w:highlight w:val="none"/>
                      <w:lang w:val="en-US" w:eastAsia="zh-CN" w:bidi="ar"/>
                    </w:rPr>
                  </w:pPr>
                  <w:r>
                    <w:rPr>
                      <w:rFonts w:hint="eastAsia" w:ascii="Times New Roman" w:hAnsi="Times New Roman" w:eastAsia="宋体" w:cs="Times New Roman"/>
                      <w:color w:val="auto"/>
                      <w:kern w:val="0"/>
                      <w:szCs w:val="21"/>
                      <w:highlight w:val="none"/>
                      <w:lang w:val="en-US" w:eastAsia="zh-CN" w:bidi="ar"/>
                    </w:rPr>
                    <w:t>氮氧化物、细颗粒物、</w:t>
                  </w:r>
                  <w:r>
                    <w:rPr>
                      <w:rFonts w:hint="default" w:ascii="Times New Roman" w:hAnsi="Times New Roman" w:eastAsia="宋体" w:cs="Times New Roman"/>
                      <w:color w:val="auto"/>
                      <w:kern w:val="0"/>
                      <w:szCs w:val="21"/>
                      <w:highlight w:val="none"/>
                      <w:lang w:val="en-US" w:eastAsia="zh-CN" w:bidi="ar"/>
                    </w:rPr>
                    <w:t>VOCs</w:t>
                  </w:r>
                  <w:r>
                    <w:rPr>
                      <w:rFonts w:hint="eastAsia" w:ascii="Times New Roman" w:hAnsi="Times New Roman" w:eastAsia="宋体" w:cs="Times New Roman"/>
                      <w:color w:val="auto"/>
                      <w:kern w:val="0"/>
                      <w:szCs w:val="21"/>
                      <w:highlight w:val="none"/>
                      <w:lang w:val="en-US" w:eastAsia="zh-CN" w:bidi="ar"/>
                    </w:rPr>
                    <w:t>排放量较</w:t>
                  </w:r>
                  <w:r>
                    <w:rPr>
                      <w:rFonts w:hint="default" w:ascii="Times New Roman" w:hAnsi="Times New Roman" w:eastAsia="宋体" w:cs="Times New Roman"/>
                      <w:color w:val="auto"/>
                      <w:kern w:val="0"/>
                      <w:szCs w:val="21"/>
                      <w:highlight w:val="none"/>
                      <w:lang w:val="en-US" w:eastAsia="zh-CN" w:bidi="ar"/>
                    </w:rPr>
                    <w:t>2020</w:t>
                  </w:r>
                  <w:r>
                    <w:rPr>
                      <w:rFonts w:hint="eastAsia" w:ascii="Times New Roman" w:hAnsi="Times New Roman" w:eastAsia="宋体" w:cs="Times New Roman"/>
                      <w:color w:val="auto"/>
                      <w:kern w:val="0"/>
                      <w:szCs w:val="21"/>
                      <w:highlight w:val="none"/>
                      <w:lang w:val="en-US" w:eastAsia="zh-CN" w:bidi="ar"/>
                    </w:rPr>
                    <w:t>年减少，</w:t>
                  </w:r>
                  <w:r>
                    <w:rPr>
                      <w:rFonts w:hint="default" w:ascii="Times New Roman" w:hAnsi="Times New Roman" w:eastAsia="宋体" w:cs="Times New Roman"/>
                      <w:color w:val="auto"/>
                      <w:kern w:val="0"/>
                      <w:szCs w:val="21"/>
                      <w:highlight w:val="none"/>
                      <w:lang w:val="en-US" w:eastAsia="zh-CN" w:bidi="ar"/>
                    </w:rPr>
                    <w:t>2035</w:t>
                  </w:r>
                  <w:r>
                    <w:rPr>
                      <w:rFonts w:hint="eastAsia" w:ascii="Times New Roman" w:hAnsi="Times New Roman" w:eastAsia="宋体" w:cs="Times New Roman"/>
                      <w:color w:val="auto"/>
                      <w:kern w:val="0"/>
                      <w:szCs w:val="21"/>
                      <w:highlight w:val="none"/>
                      <w:lang w:val="en-US" w:eastAsia="zh-CN" w:bidi="ar"/>
                    </w:rPr>
                    <w:t>年大气环境污染物排放量进一步减少。</w:t>
                  </w:r>
                  <w:r>
                    <w:rPr>
                      <w:rFonts w:hint="default" w:ascii="Times New Roman" w:hAnsi="Times New Roman" w:eastAsia="宋体" w:cs="Times New Roman"/>
                      <w:color w:val="auto"/>
                      <w:kern w:val="0"/>
                      <w:szCs w:val="21"/>
                      <w:highlight w:val="none"/>
                      <w:lang w:val="en-US" w:eastAsia="zh-CN" w:bidi="ar"/>
                    </w:rPr>
                    <w:t>3.</w:t>
                  </w:r>
                  <w:r>
                    <w:rPr>
                      <w:rFonts w:hint="eastAsia" w:ascii="Times New Roman" w:hAnsi="Times New Roman" w:eastAsia="宋体" w:cs="Times New Roman"/>
                      <w:color w:val="auto"/>
                      <w:kern w:val="0"/>
                      <w:szCs w:val="21"/>
                      <w:highlight w:val="none"/>
                      <w:lang w:val="en-US" w:eastAsia="zh-CN" w:bidi="ar"/>
                    </w:rPr>
                    <w:t>到</w:t>
                  </w:r>
                  <w:r>
                    <w:rPr>
                      <w:rFonts w:hint="default" w:ascii="Times New Roman" w:hAnsi="Times New Roman" w:eastAsia="宋体" w:cs="Times New Roman"/>
                      <w:color w:val="auto"/>
                      <w:kern w:val="0"/>
                      <w:szCs w:val="21"/>
                      <w:highlight w:val="none"/>
                      <w:lang w:val="en-US" w:eastAsia="zh-CN" w:bidi="ar"/>
                    </w:rPr>
                    <w:t>2025</w:t>
                  </w:r>
                  <w:r>
                    <w:rPr>
                      <w:rFonts w:hint="eastAsia" w:ascii="Times New Roman" w:hAnsi="Times New Roman" w:eastAsia="宋体" w:cs="Times New Roman"/>
                      <w:color w:val="auto"/>
                      <w:kern w:val="0"/>
                      <w:szCs w:val="21"/>
                      <w:highlight w:val="none"/>
                      <w:lang w:val="en-US" w:eastAsia="zh-CN" w:bidi="ar"/>
                    </w:rPr>
                    <w:t>年，化工行业、工业涂装</w:t>
                  </w:r>
                  <w:r>
                    <w:rPr>
                      <w:rFonts w:hint="default" w:ascii="Times New Roman" w:hAnsi="Times New Roman" w:eastAsia="宋体" w:cs="Times New Roman"/>
                      <w:color w:val="auto"/>
                      <w:kern w:val="0"/>
                      <w:szCs w:val="21"/>
                      <w:highlight w:val="none"/>
                      <w:lang w:val="en-US" w:eastAsia="zh-CN" w:bidi="ar"/>
                    </w:rPr>
                    <w:t>VOCs</w:t>
                  </w:r>
                  <w:r>
                    <w:rPr>
                      <w:rFonts w:hint="eastAsia" w:ascii="Times New Roman" w:hAnsi="Times New Roman" w:eastAsia="宋体" w:cs="Times New Roman"/>
                      <w:color w:val="auto"/>
                      <w:kern w:val="0"/>
                      <w:szCs w:val="21"/>
                      <w:highlight w:val="none"/>
                      <w:lang w:val="en-US" w:eastAsia="zh-CN" w:bidi="ar"/>
                    </w:rPr>
                    <w:t>排放量比</w:t>
                  </w:r>
                  <w:r>
                    <w:rPr>
                      <w:rFonts w:hint="default" w:ascii="Times New Roman" w:hAnsi="Times New Roman" w:eastAsia="宋体" w:cs="Times New Roman"/>
                      <w:color w:val="auto"/>
                      <w:kern w:val="0"/>
                      <w:szCs w:val="21"/>
                      <w:highlight w:val="none"/>
                      <w:lang w:val="en-US" w:eastAsia="zh-CN" w:bidi="ar"/>
                    </w:rPr>
                    <w:t>2020</w:t>
                  </w:r>
                  <w:r>
                    <w:rPr>
                      <w:rFonts w:hint="eastAsia" w:ascii="Times New Roman" w:hAnsi="Times New Roman" w:eastAsia="宋体" w:cs="Times New Roman"/>
                      <w:color w:val="auto"/>
                      <w:kern w:val="0"/>
                      <w:szCs w:val="21"/>
                      <w:highlight w:val="none"/>
                      <w:lang w:val="en-US" w:eastAsia="zh-CN" w:bidi="ar"/>
                    </w:rPr>
                    <w:t>年减少，包装印刷行业</w:t>
                  </w:r>
                  <w:r>
                    <w:rPr>
                      <w:rFonts w:hint="default" w:ascii="Times New Roman" w:hAnsi="Times New Roman" w:eastAsia="宋体" w:cs="Times New Roman"/>
                      <w:color w:val="auto"/>
                      <w:kern w:val="0"/>
                      <w:szCs w:val="21"/>
                      <w:highlight w:val="none"/>
                      <w:lang w:val="en-US" w:eastAsia="zh-CN" w:bidi="ar"/>
                    </w:rPr>
                    <w:t>VOCs</w:t>
                  </w:r>
                  <w:r>
                    <w:rPr>
                      <w:rFonts w:hint="eastAsia" w:ascii="Times New Roman" w:hAnsi="Times New Roman" w:eastAsia="宋体" w:cs="Times New Roman"/>
                      <w:color w:val="auto"/>
                      <w:kern w:val="0"/>
                      <w:szCs w:val="21"/>
                      <w:highlight w:val="none"/>
                      <w:lang w:val="en-US" w:eastAsia="zh-CN" w:bidi="ar"/>
                    </w:rPr>
                    <w:t>排放量比</w:t>
                  </w:r>
                  <w:r>
                    <w:rPr>
                      <w:rFonts w:hint="default" w:ascii="Times New Roman" w:hAnsi="Times New Roman" w:eastAsia="宋体" w:cs="Times New Roman"/>
                      <w:color w:val="auto"/>
                      <w:kern w:val="0"/>
                      <w:szCs w:val="21"/>
                      <w:highlight w:val="none"/>
                      <w:lang w:val="en-US" w:eastAsia="zh-CN" w:bidi="ar"/>
                    </w:rPr>
                    <w:t>2020</w:t>
                  </w:r>
                  <w:r>
                    <w:rPr>
                      <w:rFonts w:hint="eastAsia" w:ascii="Times New Roman" w:hAnsi="Times New Roman" w:eastAsia="宋体" w:cs="Times New Roman"/>
                      <w:color w:val="auto"/>
                      <w:kern w:val="0"/>
                      <w:szCs w:val="21"/>
                      <w:highlight w:val="none"/>
                      <w:lang w:val="en-US" w:eastAsia="zh-CN" w:bidi="ar"/>
                    </w:rPr>
                    <w:t>年减少。重点工程实施挥发性有机物减排。</w:t>
                  </w:r>
                  <w:r>
                    <w:rPr>
                      <w:rFonts w:hint="default" w:ascii="Times New Roman" w:hAnsi="Times New Roman" w:eastAsia="宋体" w:cs="Times New Roman"/>
                      <w:color w:val="auto"/>
                      <w:kern w:val="0"/>
                      <w:szCs w:val="21"/>
                      <w:highlight w:val="none"/>
                      <w:lang w:val="en-US" w:eastAsia="zh-CN" w:bidi="ar"/>
                    </w:rPr>
                    <w:t>4.</w:t>
                  </w:r>
                  <w:r>
                    <w:rPr>
                      <w:rFonts w:hint="eastAsia" w:ascii="Times New Roman" w:hAnsi="Times New Roman" w:eastAsia="宋体" w:cs="Times New Roman"/>
                      <w:color w:val="auto"/>
                      <w:kern w:val="0"/>
                      <w:szCs w:val="21"/>
                      <w:highlight w:val="none"/>
                      <w:lang w:val="en-US" w:eastAsia="zh-CN" w:bidi="ar"/>
                    </w:rPr>
                    <w:t>到</w:t>
                  </w:r>
                  <w:r>
                    <w:rPr>
                      <w:rFonts w:hint="default" w:ascii="Times New Roman" w:hAnsi="Times New Roman" w:eastAsia="宋体" w:cs="Times New Roman"/>
                      <w:color w:val="auto"/>
                      <w:kern w:val="0"/>
                      <w:szCs w:val="21"/>
                      <w:highlight w:val="none"/>
                      <w:lang w:val="en-US" w:eastAsia="zh-CN" w:bidi="ar"/>
                    </w:rPr>
                    <w:t>2025</w:t>
                  </w:r>
                  <w:r>
                    <w:rPr>
                      <w:rFonts w:hint="eastAsia" w:ascii="Times New Roman" w:hAnsi="Times New Roman" w:eastAsia="宋体" w:cs="Times New Roman"/>
                      <w:color w:val="auto"/>
                      <w:kern w:val="0"/>
                      <w:szCs w:val="21"/>
                      <w:highlight w:val="none"/>
                      <w:lang w:val="en-US" w:eastAsia="zh-CN" w:bidi="ar"/>
                    </w:rPr>
                    <w:t>年重点行业的重点重金属排放量要比</w:t>
                  </w:r>
                  <w:r>
                    <w:rPr>
                      <w:rFonts w:hint="default" w:ascii="Times New Roman" w:hAnsi="Times New Roman" w:eastAsia="宋体" w:cs="Times New Roman"/>
                      <w:color w:val="auto"/>
                      <w:kern w:val="0"/>
                      <w:szCs w:val="21"/>
                      <w:highlight w:val="none"/>
                      <w:lang w:val="en-US" w:eastAsia="zh-CN" w:bidi="ar"/>
                    </w:rPr>
                    <w:t>2020</w:t>
                  </w:r>
                  <w:r>
                    <w:rPr>
                      <w:rFonts w:hint="eastAsia" w:ascii="Times New Roman" w:hAnsi="Times New Roman" w:eastAsia="宋体" w:cs="Times New Roman"/>
                      <w:color w:val="auto"/>
                      <w:kern w:val="0"/>
                      <w:szCs w:val="21"/>
                      <w:highlight w:val="none"/>
                      <w:lang w:val="en-US" w:eastAsia="zh-CN" w:bidi="ar"/>
                    </w:rPr>
                    <w:t>年下降。</w:t>
                  </w:r>
                </w:p>
              </w:tc>
              <w:tc>
                <w:tcPr>
                  <w:tcW w:w="1342" w:type="pct"/>
                  <w:noWrap w:val="0"/>
                  <w:vAlign w:val="center"/>
                </w:tcPr>
                <w:p w14:paraId="69B5D314">
                  <w:pPr>
                    <w:pStyle w:val="13"/>
                    <w:spacing w:line="240" w:lineRule="auto"/>
                    <w:rPr>
                      <w:rFonts w:ascii="Times New Roman" w:hAnsi="Times New Roman"/>
                      <w:color w:val="auto"/>
                      <w:kern w:val="0"/>
                      <w:szCs w:val="21"/>
                      <w:highlight w:val="none"/>
                      <w:lang w:bidi="ar"/>
                    </w:rPr>
                  </w:pPr>
                  <w:r>
                    <w:rPr>
                      <w:rFonts w:hint="eastAsia" w:ascii="Times New Roman" w:hAnsi="Times New Roman"/>
                      <w:color w:val="auto"/>
                      <w:szCs w:val="21"/>
                      <w:highlight w:val="none"/>
                    </w:rPr>
                    <w:t>本项目生产车间均密闭，产生废气经废气处理措施收集处理后达标排放</w:t>
                  </w:r>
                  <w:r>
                    <w:rPr>
                      <w:rFonts w:hint="default" w:ascii="Times New Roman" w:hAnsi="Times New Roman" w:eastAsia="宋体" w:cs="Times New Roman"/>
                      <w:color w:val="auto"/>
                      <w:kern w:val="0"/>
                      <w:sz w:val="21"/>
                      <w:szCs w:val="21"/>
                      <w:highlight w:val="none"/>
                      <w:lang w:val="en-US" w:eastAsia="zh-CN" w:bidi="ar"/>
                    </w:rPr>
                    <w:t>，</w:t>
                  </w:r>
                  <w:r>
                    <w:rPr>
                      <w:rFonts w:hint="eastAsia" w:ascii="Times New Roman" w:hAnsi="Times New Roman" w:eastAsia="宋体" w:cs="Times New Roman"/>
                      <w:color w:val="auto"/>
                      <w:sz w:val="21"/>
                      <w:szCs w:val="21"/>
                      <w:lang w:eastAsia="zh-CN"/>
                    </w:rPr>
                    <w:t>生活污水排入抚顺县救兵镇污水处理厂处理</w:t>
                  </w:r>
                  <w:r>
                    <w:rPr>
                      <w:rFonts w:hint="eastAsia" w:ascii="Times New Roman" w:hAnsi="Times New Roman" w:eastAsia="宋体" w:cs="Times New Roman"/>
                      <w:color w:val="auto"/>
                      <w:kern w:val="0"/>
                      <w:sz w:val="21"/>
                      <w:szCs w:val="21"/>
                      <w:highlight w:val="none"/>
                      <w:lang w:val="en-US" w:eastAsia="zh-CN" w:bidi="ar"/>
                    </w:rPr>
                    <w:t>。</w:t>
                  </w:r>
                </w:p>
              </w:tc>
              <w:tc>
                <w:tcPr>
                  <w:tcW w:w="324" w:type="pct"/>
                  <w:noWrap w:val="0"/>
                  <w:vAlign w:val="center"/>
                </w:tcPr>
                <w:p w14:paraId="25BC6950">
                  <w:pPr>
                    <w:pStyle w:val="13"/>
                    <w:spacing w:line="240" w:lineRule="auto"/>
                    <w:jc w:val="center"/>
                    <w:rPr>
                      <w:rFonts w:ascii="Times New Roman" w:hAnsi="Times New Roman"/>
                      <w:color w:val="auto"/>
                      <w:szCs w:val="21"/>
                      <w:highlight w:val="none"/>
                    </w:rPr>
                  </w:pPr>
                  <w:r>
                    <w:rPr>
                      <w:rFonts w:ascii="Times New Roman" w:hAnsi="Times New Roman"/>
                      <w:color w:val="auto"/>
                      <w:szCs w:val="21"/>
                      <w:highlight w:val="none"/>
                    </w:rPr>
                    <w:t>符合</w:t>
                  </w:r>
                </w:p>
              </w:tc>
            </w:tr>
            <w:tr w14:paraId="22A768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21" w:type="pct"/>
                  <w:vMerge w:val="continue"/>
                  <w:noWrap w:val="0"/>
                  <w:vAlign w:val="center"/>
                </w:tcPr>
                <w:p w14:paraId="2B9588E8">
                  <w:pPr>
                    <w:pStyle w:val="13"/>
                    <w:spacing w:line="240" w:lineRule="auto"/>
                    <w:rPr>
                      <w:rFonts w:ascii="Times New Roman" w:hAnsi="Times New Roman"/>
                      <w:color w:val="auto"/>
                      <w:szCs w:val="21"/>
                      <w:highlight w:val="none"/>
                    </w:rPr>
                  </w:pPr>
                </w:p>
              </w:tc>
              <w:tc>
                <w:tcPr>
                  <w:tcW w:w="617" w:type="pct"/>
                  <w:noWrap w:val="0"/>
                  <w:vAlign w:val="center"/>
                </w:tcPr>
                <w:p w14:paraId="6C317059">
                  <w:pPr>
                    <w:widowControl/>
                    <w:spacing w:line="240" w:lineRule="auto"/>
                    <w:jc w:val="center"/>
                    <w:rPr>
                      <w:rFonts w:ascii="Times New Roman" w:hAnsi="Times New Roman"/>
                      <w:color w:val="auto"/>
                      <w:szCs w:val="21"/>
                      <w:highlight w:val="none"/>
                    </w:rPr>
                  </w:pPr>
                  <w:r>
                    <w:rPr>
                      <w:color w:val="auto"/>
                      <w:kern w:val="0"/>
                      <w:szCs w:val="21"/>
                      <w:highlight w:val="none"/>
                      <w:lang w:bidi="ar"/>
                    </w:rPr>
                    <w:t>污染物排放绩效水平准入</w:t>
                  </w:r>
                </w:p>
              </w:tc>
              <w:tc>
                <w:tcPr>
                  <w:tcW w:w="2393" w:type="pct"/>
                  <w:noWrap w:val="0"/>
                  <w:vAlign w:val="center"/>
                </w:tcPr>
                <w:p w14:paraId="7AF1668B">
                  <w:pPr>
                    <w:widowControl/>
                    <w:numPr>
                      <w:ilvl w:val="0"/>
                      <w:numId w:val="0"/>
                    </w:numPr>
                    <w:spacing w:line="240" w:lineRule="auto"/>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1.至2025</w:t>
                  </w:r>
                  <w:r>
                    <w:rPr>
                      <w:rFonts w:hint="eastAsia" w:ascii="Times New Roman" w:hAnsi="Times New Roman" w:eastAsia="宋体" w:cs="Times New Roman"/>
                      <w:color w:val="auto"/>
                      <w:kern w:val="0"/>
                      <w:szCs w:val="21"/>
                      <w:highlight w:val="none"/>
                      <w:lang w:val="en-US" w:eastAsia="zh-CN" w:bidi="ar"/>
                    </w:rPr>
                    <w:t>年，建成区及城镇污水处理率较</w:t>
                  </w:r>
                  <w:r>
                    <w:rPr>
                      <w:rFonts w:hint="default" w:ascii="Times New Roman" w:hAnsi="Times New Roman" w:eastAsia="宋体" w:cs="Times New Roman"/>
                      <w:color w:val="auto"/>
                      <w:kern w:val="0"/>
                      <w:szCs w:val="21"/>
                      <w:highlight w:val="none"/>
                      <w:lang w:val="en-US" w:eastAsia="zh-CN" w:bidi="ar"/>
                    </w:rPr>
                    <w:t>2020</w:t>
                  </w:r>
                  <w:r>
                    <w:rPr>
                      <w:rFonts w:hint="eastAsia" w:ascii="Times New Roman" w:hAnsi="Times New Roman" w:eastAsia="宋体" w:cs="Times New Roman"/>
                      <w:color w:val="auto"/>
                      <w:kern w:val="0"/>
                      <w:szCs w:val="21"/>
                      <w:highlight w:val="none"/>
                      <w:lang w:val="en-US" w:eastAsia="zh-CN" w:bidi="ar"/>
                    </w:rPr>
                    <w:t>年明显提高。</w:t>
                  </w:r>
                  <w:r>
                    <w:rPr>
                      <w:rFonts w:hint="default" w:ascii="Times New Roman" w:hAnsi="Times New Roman" w:eastAsia="宋体" w:cs="Times New Roman"/>
                      <w:color w:val="auto"/>
                      <w:kern w:val="0"/>
                      <w:szCs w:val="21"/>
                      <w:highlight w:val="none"/>
                      <w:lang w:val="en-US" w:eastAsia="zh-CN" w:bidi="ar"/>
                    </w:rPr>
                    <w:t>2.</w:t>
                  </w:r>
                  <w:r>
                    <w:rPr>
                      <w:rFonts w:hint="eastAsia" w:ascii="Times New Roman" w:hAnsi="Times New Roman" w:eastAsia="宋体" w:cs="Times New Roman"/>
                      <w:color w:val="auto"/>
                      <w:kern w:val="0"/>
                      <w:szCs w:val="21"/>
                      <w:highlight w:val="none"/>
                      <w:lang w:val="en-US" w:eastAsia="zh-CN" w:bidi="ar"/>
                    </w:rPr>
                    <w:t>大中型矿山达到绿色矿山标准，小型矿山按照绿色矿山标准规范发展；加强矿山采选废水的处理和综合利用工作，选矿废水全部综合利用，不外排，采矿废水应尽量回用。</w:t>
                  </w:r>
                  <w:r>
                    <w:rPr>
                      <w:rFonts w:hint="default" w:ascii="Times New Roman" w:hAnsi="Times New Roman" w:eastAsia="宋体" w:cs="Times New Roman"/>
                      <w:color w:val="auto"/>
                      <w:kern w:val="0"/>
                      <w:szCs w:val="21"/>
                      <w:highlight w:val="none"/>
                      <w:lang w:val="en-US" w:eastAsia="zh-CN" w:bidi="ar"/>
                    </w:rPr>
                    <w:t>3.</w:t>
                  </w:r>
                  <w:r>
                    <w:rPr>
                      <w:rFonts w:hint="eastAsia" w:ascii="Times New Roman" w:hAnsi="Times New Roman" w:eastAsia="宋体" w:cs="Times New Roman"/>
                      <w:color w:val="auto"/>
                      <w:kern w:val="0"/>
                      <w:szCs w:val="21"/>
                      <w:highlight w:val="none"/>
                      <w:lang w:val="en-US" w:eastAsia="zh-CN" w:bidi="ar"/>
                    </w:rPr>
                    <w:t>对县内矿产资源开发活动集中区域，适时执行重点污染物特别排放限值。</w:t>
                  </w:r>
                  <w:r>
                    <w:rPr>
                      <w:rFonts w:hint="default" w:ascii="Times New Roman" w:hAnsi="Times New Roman" w:eastAsia="宋体" w:cs="Times New Roman"/>
                      <w:color w:val="auto"/>
                      <w:kern w:val="0"/>
                      <w:szCs w:val="21"/>
                      <w:highlight w:val="none"/>
                      <w:lang w:val="en-US" w:eastAsia="zh-CN" w:bidi="ar"/>
                    </w:rPr>
                    <w:t>4.</w:t>
                  </w:r>
                  <w:r>
                    <w:rPr>
                      <w:rFonts w:hint="eastAsia" w:ascii="Times New Roman" w:hAnsi="Times New Roman" w:eastAsia="宋体" w:cs="Times New Roman"/>
                      <w:color w:val="auto"/>
                      <w:kern w:val="0"/>
                      <w:szCs w:val="21"/>
                      <w:highlight w:val="none"/>
                      <w:lang w:val="en-US" w:eastAsia="zh-CN" w:bidi="ar"/>
                    </w:rPr>
                    <w:t>到</w:t>
                  </w:r>
                  <w:r>
                    <w:rPr>
                      <w:rFonts w:hint="default" w:ascii="Times New Roman" w:hAnsi="Times New Roman" w:eastAsia="宋体" w:cs="Times New Roman"/>
                      <w:color w:val="auto"/>
                      <w:kern w:val="0"/>
                      <w:szCs w:val="21"/>
                      <w:highlight w:val="none"/>
                      <w:lang w:val="en-US" w:eastAsia="zh-CN" w:bidi="ar"/>
                    </w:rPr>
                    <w:t>2025</w:t>
                  </w:r>
                  <w:r>
                    <w:rPr>
                      <w:rFonts w:hint="eastAsia" w:ascii="Times New Roman" w:hAnsi="Times New Roman" w:eastAsia="宋体" w:cs="Times New Roman"/>
                      <w:color w:val="auto"/>
                      <w:kern w:val="0"/>
                      <w:szCs w:val="21"/>
                      <w:highlight w:val="none"/>
                      <w:lang w:val="en-US" w:eastAsia="zh-CN" w:bidi="ar"/>
                    </w:rPr>
                    <w:t>年，主要农作物化肥、农药使用量实现零增长，利用率较</w:t>
                  </w:r>
                  <w:r>
                    <w:rPr>
                      <w:rFonts w:hint="default" w:ascii="Times New Roman" w:hAnsi="Times New Roman" w:eastAsia="宋体" w:cs="Times New Roman"/>
                      <w:color w:val="auto"/>
                      <w:kern w:val="0"/>
                      <w:szCs w:val="21"/>
                      <w:highlight w:val="none"/>
                      <w:lang w:val="en-US" w:eastAsia="zh-CN" w:bidi="ar"/>
                    </w:rPr>
                    <w:t>2020</w:t>
                  </w:r>
                  <w:r>
                    <w:rPr>
                      <w:rFonts w:hint="eastAsia" w:ascii="Times New Roman" w:hAnsi="Times New Roman" w:eastAsia="宋体" w:cs="Times New Roman"/>
                      <w:color w:val="auto"/>
                      <w:kern w:val="0"/>
                      <w:szCs w:val="21"/>
                      <w:highlight w:val="none"/>
                      <w:lang w:val="en-US" w:eastAsia="zh-CN" w:bidi="ar"/>
                    </w:rPr>
                    <w:t>年明显提高，测土配方施肥技术推广覆盖率提高，控制农村面源污染，采取灌排分离等措施控制农田氮磷流失。</w:t>
                  </w:r>
                  <w:r>
                    <w:rPr>
                      <w:rFonts w:hint="default" w:ascii="Times New Roman" w:hAnsi="Times New Roman" w:eastAsia="宋体" w:cs="Times New Roman"/>
                      <w:color w:val="auto"/>
                      <w:kern w:val="0"/>
                      <w:szCs w:val="21"/>
                      <w:highlight w:val="none"/>
                      <w:lang w:val="en-US" w:eastAsia="zh-CN" w:bidi="ar"/>
                    </w:rPr>
                    <w:t>5.</w:t>
                  </w:r>
                  <w:r>
                    <w:rPr>
                      <w:rFonts w:hint="eastAsia" w:ascii="Times New Roman" w:hAnsi="Times New Roman" w:eastAsia="宋体" w:cs="Times New Roman"/>
                      <w:color w:val="auto"/>
                      <w:kern w:val="0"/>
                      <w:szCs w:val="21"/>
                      <w:highlight w:val="none"/>
                      <w:lang w:val="en-US" w:eastAsia="zh-CN" w:bidi="ar"/>
                    </w:rPr>
                    <w:t>建立健全废弃农膜回收贮运和综合利用网络，开展废弃农膜回收利用试点；到</w:t>
                  </w:r>
                  <w:r>
                    <w:rPr>
                      <w:rFonts w:hint="default" w:ascii="Times New Roman" w:hAnsi="Times New Roman" w:eastAsia="宋体" w:cs="Times New Roman"/>
                      <w:color w:val="auto"/>
                      <w:kern w:val="0"/>
                      <w:szCs w:val="21"/>
                      <w:highlight w:val="none"/>
                      <w:lang w:val="en-US" w:eastAsia="zh-CN" w:bidi="ar"/>
                    </w:rPr>
                    <w:t>2025</w:t>
                  </w:r>
                  <w:r>
                    <w:rPr>
                      <w:rFonts w:hint="eastAsia" w:ascii="Times New Roman" w:hAnsi="Times New Roman" w:eastAsia="宋体" w:cs="Times New Roman"/>
                      <w:color w:val="auto"/>
                      <w:kern w:val="0"/>
                      <w:szCs w:val="21"/>
                      <w:highlight w:val="none"/>
                      <w:lang w:val="en-US" w:eastAsia="zh-CN" w:bidi="ar"/>
                    </w:rPr>
                    <w:t>年，实现废旧农膜全面回收利用。</w:t>
                  </w:r>
                  <w:r>
                    <w:rPr>
                      <w:rFonts w:hint="default" w:ascii="Times New Roman" w:hAnsi="Times New Roman" w:eastAsia="宋体" w:cs="Times New Roman"/>
                      <w:color w:val="auto"/>
                      <w:kern w:val="0"/>
                      <w:szCs w:val="21"/>
                      <w:highlight w:val="none"/>
                      <w:lang w:val="en-US" w:eastAsia="zh-CN" w:bidi="ar"/>
                    </w:rPr>
                    <w:t>6.</w:t>
                  </w:r>
                  <w:r>
                    <w:rPr>
                      <w:rFonts w:hint="eastAsia" w:ascii="Times New Roman" w:hAnsi="Times New Roman" w:eastAsia="宋体" w:cs="Times New Roman"/>
                      <w:color w:val="auto"/>
                      <w:kern w:val="0"/>
                      <w:szCs w:val="21"/>
                      <w:highlight w:val="none"/>
                      <w:lang w:val="en-US" w:eastAsia="zh-CN" w:bidi="ar"/>
                    </w:rPr>
                    <w:t>到</w:t>
                  </w:r>
                  <w:r>
                    <w:rPr>
                      <w:rFonts w:hint="default" w:ascii="Times New Roman" w:hAnsi="Times New Roman" w:eastAsia="宋体" w:cs="Times New Roman"/>
                      <w:color w:val="auto"/>
                      <w:kern w:val="0"/>
                      <w:szCs w:val="21"/>
                      <w:highlight w:val="none"/>
                      <w:lang w:val="en-US" w:eastAsia="zh-CN" w:bidi="ar"/>
                    </w:rPr>
                    <w:t>2025</w:t>
                  </w:r>
                  <w:r>
                    <w:rPr>
                      <w:rFonts w:hint="eastAsia" w:ascii="Times New Roman" w:hAnsi="Times New Roman" w:eastAsia="宋体" w:cs="Times New Roman"/>
                      <w:color w:val="auto"/>
                      <w:kern w:val="0"/>
                      <w:szCs w:val="21"/>
                      <w:highlight w:val="none"/>
                      <w:lang w:val="en-US" w:eastAsia="zh-CN" w:bidi="ar"/>
                    </w:rPr>
                    <w:t>年，规模化养殖场、养殖小区配套建设废弃物处理设施比例较</w:t>
                  </w:r>
                  <w:r>
                    <w:rPr>
                      <w:rFonts w:hint="default" w:ascii="Times New Roman" w:hAnsi="Times New Roman" w:eastAsia="宋体" w:cs="Times New Roman"/>
                      <w:color w:val="auto"/>
                      <w:kern w:val="0"/>
                      <w:szCs w:val="21"/>
                      <w:highlight w:val="none"/>
                      <w:lang w:val="en-US" w:eastAsia="zh-CN" w:bidi="ar"/>
                    </w:rPr>
                    <w:t>2020</w:t>
                  </w:r>
                  <w:r>
                    <w:rPr>
                      <w:rFonts w:hint="eastAsia" w:ascii="Times New Roman" w:hAnsi="Times New Roman" w:eastAsia="宋体" w:cs="Times New Roman"/>
                      <w:color w:val="auto"/>
                      <w:kern w:val="0"/>
                      <w:szCs w:val="21"/>
                      <w:highlight w:val="none"/>
                      <w:lang w:val="en-US" w:eastAsia="zh-CN" w:bidi="ar"/>
                    </w:rPr>
                    <w:t>年明显提高。</w:t>
                  </w:r>
                  <w:r>
                    <w:rPr>
                      <w:rFonts w:hint="default" w:ascii="Times New Roman" w:hAnsi="Times New Roman" w:eastAsia="宋体" w:cs="Times New Roman"/>
                      <w:color w:val="auto"/>
                      <w:kern w:val="0"/>
                      <w:szCs w:val="21"/>
                      <w:highlight w:val="none"/>
                      <w:lang w:val="en-US" w:eastAsia="zh-CN" w:bidi="ar"/>
                    </w:rPr>
                    <w:t>7.</w:t>
                  </w:r>
                  <w:r>
                    <w:rPr>
                      <w:rFonts w:hint="eastAsia" w:ascii="Times New Roman" w:hAnsi="Times New Roman" w:eastAsia="宋体" w:cs="Times New Roman"/>
                      <w:color w:val="auto"/>
                      <w:kern w:val="0"/>
                      <w:szCs w:val="21"/>
                      <w:highlight w:val="none"/>
                      <w:lang w:val="en-US" w:eastAsia="zh-CN" w:bidi="ar"/>
                    </w:rPr>
                    <w:t>到</w:t>
                  </w:r>
                  <w:r>
                    <w:rPr>
                      <w:rFonts w:hint="default" w:ascii="Times New Roman" w:hAnsi="Times New Roman" w:eastAsia="宋体" w:cs="Times New Roman"/>
                      <w:color w:val="auto"/>
                      <w:kern w:val="0"/>
                      <w:szCs w:val="21"/>
                      <w:highlight w:val="none"/>
                      <w:lang w:val="en-US" w:eastAsia="zh-CN" w:bidi="ar"/>
                    </w:rPr>
                    <w:t>2025</w:t>
                  </w:r>
                  <w:r>
                    <w:rPr>
                      <w:rFonts w:hint="eastAsia" w:ascii="Times New Roman" w:hAnsi="Times New Roman" w:eastAsia="宋体" w:cs="Times New Roman"/>
                      <w:color w:val="auto"/>
                      <w:kern w:val="0"/>
                      <w:szCs w:val="21"/>
                      <w:highlight w:val="none"/>
                      <w:lang w:val="en-US" w:eastAsia="zh-CN" w:bidi="ar"/>
                    </w:rPr>
                    <w:t>年，秸秆综合利用率较</w:t>
                  </w:r>
                  <w:r>
                    <w:rPr>
                      <w:rFonts w:hint="default" w:ascii="Times New Roman" w:hAnsi="Times New Roman" w:eastAsia="宋体" w:cs="Times New Roman"/>
                      <w:color w:val="auto"/>
                      <w:kern w:val="0"/>
                      <w:szCs w:val="21"/>
                      <w:highlight w:val="none"/>
                      <w:lang w:val="en-US" w:eastAsia="zh-CN" w:bidi="ar"/>
                    </w:rPr>
                    <w:t>2020</w:t>
                  </w:r>
                  <w:r>
                    <w:rPr>
                      <w:rFonts w:hint="eastAsia" w:ascii="Times New Roman" w:hAnsi="Times New Roman" w:eastAsia="宋体" w:cs="Times New Roman"/>
                      <w:color w:val="auto"/>
                      <w:kern w:val="0"/>
                      <w:szCs w:val="21"/>
                      <w:highlight w:val="none"/>
                      <w:lang w:val="en-US" w:eastAsia="zh-CN" w:bidi="ar"/>
                    </w:rPr>
                    <w:t>年明显提高。</w:t>
                  </w:r>
                </w:p>
              </w:tc>
              <w:tc>
                <w:tcPr>
                  <w:tcW w:w="1342" w:type="pct"/>
                  <w:noWrap w:val="0"/>
                  <w:vAlign w:val="center"/>
                </w:tcPr>
                <w:p w14:paraId="14FD0F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本项目</w:t>
                  </w:r>
                  <w:r>
                    <w:rPr>
                      <w:rFonts w:hint="eastAsia" w:ascii="Times New Roman" w:hAnsi="Times New Roman" w:cs="Times New Roman"/>
                      <w:color w:val="auto"/>
                      <w:sz w:val="21"/>
                      <w:szCs w:val="21"/>
                      <w:lang w:eastAsia="zh-CN"/>
                    </w:rPr>
                    <w:t>下料、刨光、梳齿指接、砂光、开槽等</w:t>
                  </w:r>
                  <w:r>
                    <w:rPr>
                      <w:rFonts w:ascii="Times New Roman" w:hAnsi="Times New Roman" w:cs="Times New Roman"/>
                      <w:color w:val="auto"/>
                      <w:sz w:val="21"/>
                      <w:szCs w:val="21"/>
                    </w:rPr>
                    <w:t>工序产生的</w:t>
                  </w:r>
                  <w:r>
                    <w:rPr>
                      <w:rFonts w:hint="eastAsia" w:ascii="Times New Roman" w:hAnsi="Times New Roman" w:cs="Times New Roman"/>
                      <w:color w:val="auto"/>
                      <w:sz w:val="21"/>
                      <w:szCs w:val="21"/>
                      <w:lang w:eastAsia="zh-CN"/>
                    </w:rPr>
                    <w:t>有组织及无组织</w:t>
                  </w:r>
                  <w:r>
                    <w:rPr>
                      <w:rFonts w:ascii="Times New Roman" w:hAnsi="Times New Roman" w:cs="Times New Roman"/>
                      <w:color w:val="auto"/>
                      <w:sz w:val="21"/>
                      <w:szCs w:val="21"/>
                    </w:rPr>
                    <w:t>颗粒物</w:t>
                  </w:r>
                  <w:r>
                    <w:rPr>
                      <w:rFonts w:hint="default" w:ascii="Times New Roman" w:hAnsi="Times New Roman" w:eastAsia="宋体" w:cs="Times New Roman"/>
                      <w:color w:val="auto"/>
                      <w:kern w:val="0"/>
                      <w:sz w:val="21"/>
                      <w:szCs w:val="21"/>
                      <w:highlight w:val="none"/>
                      <w:lang w:val="en-US" w:eastAsia="zh-CN" w:bidi="ar"/>
                    </w:rPr>
                    <w:t>执行《大气污染物综合排放标准》</w:t>
                  </w:r>
                </w:p>
                <w:p w14:paraId="63702C91">
                  <w:pPr>
                    <w:spacing w:line="240" w:lineRule="auto"/>
                    <w:jc w:val="both"/>
                    <w:rPr>
                      <w:color w:val="auto"/>
                      <w:kern w:val="0"/>
                      <w:szCs w:val="21"/>
                      <w:highlight w:val="none"/>
                      <w:lang w:bidi="ar"/>
                    </w:rPr>
                  </w:pPr>
                  <w:r>
                    <w:rPr>
                      <w:rFonts w:hint="default" w:ascii="Times New Roman" w:hAnsi="Times New Roman" w:eastAsia="宋体" w:cs="Times New Roman"/>
                      <w:color w:val="auto"/>
                      <w:kern w:val="0"/>
                      <w:sz w:val="21"/>
                      <w:szCs w:val="21"/>
                      <w:highlight w:val="none"/>
                      <w:lang w:val="en-US" w:eastAsia="zh-CN" w:bidi="ar"/>
                    </w:rPr>
                    <w:t>（GB16297-1996）表2排放监控浓度限值要求，</w:t>
                  </w:r>
                  <w:r>
                    <w:rPr>
                      <w:rFonts w:hint="eastAsia" w:ascii="Times New Roman" w:hAnsi="Times New Roman" w:cs="Times New Roman"/>
                      <w:color w:val="auto"/>
                      <w:sz w:val="21"/>
                      <w:szCs w:val="21"/>
                      <w:lang w:eastAsia="zh-CN"/>
                    </w:rPr>
                    <w:t>辊涂工序</w:t>
                  </w:r>
                  <w:r>
                    <w:rPr>
                      <w:rFonts w:ascii="Times New Roman" w:hAnsi="Times New Roman" w:cs="Times New Roman"/>
                      <w:color w:val="auto"/>
                      <w:sz w:val="21"/>
                      <w:szCs w:val="21"/>
                    </w:rPr>
                    <w:t>产生的</w:t>
                  </w:r>
                  <w:r>
                    <w:rPr>
                      <w:rFonts w:hint="eastAsia" w:ascii="Times New Roman" w:hAnsi="Times New Roman" w:cs="Times New Roman"/>
                      <w:color w:val="auto"/>
                      <w:sz w:val="21"/>
                      <w:szCs w:val="21"/>
                      <w:lang w:eastAsia="zh-CN"/>
                    </w:rPr>
                    <w:t>有组织T</w:t>
                  </w:r>
                  <w:r>
                    <w:rPr>
                      <w:rFonts w:ascii="Times New Roman" w:hAnsi="Times New Roman" w:cs="Times New Roman"/>
                      <w:color w:val="auto"/>
                      <w:sz w:val="21"/>
                      <w:szCs w:val="21"/>
                    </w:rPr>
                    <w:t>VOC</w:t>
                  </w:r>
                  <w:r>
                    <w:rPr>
                      <w:rFonts w:hint="eastAsia" w:ascii="Times New Roman" w:hAnsi="Times New Roman" w:cs="Times New Roman"/>
                      <w:color w:val="auto"/>
                      <w:sz w:val="21"/>
                      <w:szCs w:val="21"/>
                      <w:lang w:eastAsia="zh-CN"/>
                    </w:rPr>
                    <w:t>（以VOC</w:t>
                  </w:r>
                  <w:r>
                    <w:rPr>
                      <w:rFonts w:hint="eastAsia" w:ascii="Times New Roman" w:hAnsi="Times New Roman" w:cs="Times New Roman"/>
                      <w:color w:val="auto"/>
                      <w:sz w:val="21"/>
                      <w:szCs w:val="21"/>
                      <w:vertAlign w:val="subscript"/>
                      <w:lang w:eastAsia="zh-CN"/>
                    </w:rPr>
                    <w:t>S</w:t>
                  </w:r>
                  <w:r>
                    <w:rPr>
                      <w:rFonts w:hint="eastAsia" w:ascii="Times New Roman" w:hAnsi="Times New Roman" w:cs="Times New Roman"/>
                      <w:color w:val="auto"/>
                      <w:sz w:val="21"/>
                      <w:szCs w:val="21"/>
                      <w:lang w:eastAsia="zh-CN"/>
                    </w:rPr>
                    <w:t>计）、</w:t>
                  </w:r>
                  <w:r>
                    <w:rPr>
                      <w:rFonts w:hint="eastAsia" w:ascii="Times New Roman" w:hAnsi="Times New Roman" w:cs="Times New Roman"/>
                      <w:color w:val="auto"/>
                      <w:sz w:val="21"/>
                      <w:szCs w:val="21"/>
                      <w:lang w:val="en-US" w:eastAsia="zh-CN"/>
                    </w:rPr>
                    <w:t>NMHC及无组织NMHC</w:t>
                  </w:r>
                  <w:r>
                    <w:rPr>
                      <w:rFonts w:ascii="Times New Roman" w:hAnsi="Times New Roman" w:cs="Times New Roman"/>
                      <w:color w:val="auto"/>
                      <w:sz w:val="21"/>
                      <w:szCs w:val="21"/>
                    </w:rPr>
                    <w:t>执行《工业涂装工序挥发性有机物排放标准》（DB21/3160-2019）中</w:t>
                  </w:r>
                  <w:r>
                    <w:rPr>
                      <w:rFonts w:hint="eastAsia" w:ascii="Times New Roman" w:hAnsi="Times New Roman" w:cs="Times New Roman"/>
                      <w:color w:val="auto"/>
                      <w:sz w:val="21"/>
                      <w:szCs w:val="21"/>
                      <w:lang w:eastAsia="zh-CN"/>
                    </w:rPr>
                    <w:t>“涉及工业涂装工序的其他行业”</w:t>
                  </w:r>
                  <w:r>
                    <w:rPr>
                      <w:rFonts w:ascii="Times New Roman" w:hAnsi="Times New Roman" w:cs="Times New Roman"/>
                      <w:color w:val="auto"/>
                      <w:sz w:val="21"/>
                      <w:szCs w:val="21"/>
                    </w:rPr>
                    <w:t>排放浓度限值</w:t>
                  </w:r>
                  <w:r>
                    <w:rPr>
                      <w:rFonts w:hint="eastAsia" w:ascii="Times New Roman" w:hAnsi="Times New Roman" w:cs="Times New Roman"/>
                      <w:color w:val="auto"/>
                      <w:sz w:val="21"/>
                      <w:szCs w:val="21"/>
                      <w:lang w:eastAsia="zh-CN"/>
                    </w:rPr>
                    <w:t>；车间外</w:t>
                  </w:r>
                  <w:r>
                    <w:rPr>
                      <w:rFonts w:hint="eastAsia"/>
                      <w:color w:val="auto"/>
                      <w:sz w:val="21"/>
                      <w:szCs w:val="21"/>
                      <w:highlight w:val="none"/>
                      <w:lang w:eastAsia="zh-CN"/>
                    </w:rPr>
                    <w:t>非甲烷总烃执行</w:t>
                  </w:r>
                  <w:r>
                    <w:rPr>
                      <w:rFonts w:ascii="Times New Roman" w:hAnsi="Times New Roman" w:cs="Times New Roman"/>
                      <w:color w:val="auto"/>
                      <w:sz w:val="21"/>
                      <w:szCs w:val="21"/>
                    </w:rPr>
                    <w:t>《工业涂装工序挥发性有机物排放标准》（DB21/3160-2019）中</w:t>
                  </w:r>
                  <w:r>
                    <w:rPr>
                      <w:rFonts w:hint="eastAsia" w:ascii="Times New Roman" w:hAnsi="Times New Roman" w:cs="Times New Roman"/>
                      <w:color w:val="auto"/>
                      <w:sz w:val="21"/>
                      <w:szCs w:val="21"/>
                      <w:lang w:eastAsia="zh-CN"/>
                    </w:rPr>
                    <w:t>表</w:t>
                  </w:r>
                  <w:r>
                    <w:rPr>
                      <w:rFonts w:hint="eastAsia" w:ascii="Times New Roman" w:hAnsi="Times New Roman" w:cs="Times New Roman"/>
                      <w:color w:val="auto"/>
                      <w:sz w:val="21"/>
                      <w:szCs w:val="21"/>
                      <w:lang w:val="en-US" w:eastAsia="zh-CN"/>
                    </w:rPr>
                    <w:t>3</w:t>
                  </w:r>
                  <w:r>
                    <w:rPr>
                      <w:rFonts w:hint="eastAsia" w:ascii="Times New Roman" w:hAnsi="Times New Roman" w:eastAsia="宋体" w:cs="Times New Roman"/>
                      <w:b w:val="0"/>
                      <w:bCs w:val="0"/>
                      <w:color w:val="auto"/>
                      <w:sz w:val="21"/>
                      <w:szCs w:val="21"/>
                      <w:highlight w:val="none"/>
                      <w:lang w:val="en-US" w:eastAsia="zh-CN"/>
                    </w:rPr>
                    <w:t>排放标准；本项目不</w:t>
                  </w:r>
                  <w:r>
                    <w:rPr>
                      <w:rFonts w:hint="default" w:ascii="Times New Roman" w:hAnsi="Times New Roman" w:eastAsia="宋体" w:cs="Times New Roman"/>
                      <w:color w:val="auto"/>
                      <w:kern w:val="0"/>
                      <w:sz w:val="21"/>
                      <w:szCs w:val="21"/>
                      <w:highlight w:val="none"/>
                      <w:lang w:val="en-US" w:eastAsia="zh-CN" w:bidi="ar"/>
                    </w:rPr>
                    <w:t>涉及锅炉；</w:t>
                  </w:r>
                  <w:r>
                    <w:rPr>
                      <w:rFonts w:hint="eastAsia"/>
                      <w:color w:val="auto"/>
                      <w:kern w:val="0"/>
                      <w:szCs w:val="21"/>
                      <w:highlight w:val="none"/>
                      <w:lang w:bidi="ar"/>
                    </w:rPr>
                    <w:t>本项目</w:t>
                  </w:r>
                  <w:r>
                    <w:rPr>
                      <w:rFonts w:hint="eastAsia" w:ascii="Times New Roman" w:hAnsi="Times New Roman" w:eastAsia="宋体" w:cs="Times New Roman"/>
                      <w:color w:val="auto"/>
                      <w:sz w:val="21"/>
                      <w:szCs w:val="21"/>
                      <w:lang w:eastAsia="zh-CN"/>
                    </w:rPr>
                    <w:t>无生产废水产生，生活污水排入抚顺县救兵镇污水处理厂处理</w:t>
                  </w:r>
                  <w:r>
                    <w:rPr>
                      <w:rFonts w:hint="eastAsia"/>
                      <w:color w:val="auto"/>
                      <w:kern w:val="0"/>
                      <w:szCs w:val="21"/>
                      <w:highlight w:val="none"/>
                      <w:lang w:bidi="ar"/>
                    </w:rPr>
                    <w:t>。</w:t>
                  </w:r>
                  <w:r>
                    <w:rPr>
                      <w:rFonts w:hint="eastAsia" w:ascii="Times New Roman" w:hAnsi="Times New Roman" w:cs="Times New Roman"/>
                      <w:color w:val="auto"/>
                      <w:spacing w:val="-4"/>
                      <w:sz w:val="21"/>
                      <w:szCs w:val="21"/>
                      <w:highlight w:val="none"/>
                      <w:lang w:eastAsia="zh-CN"/>
                    </w:rPr>
                    <w:t>本项目车间厂房密闭，物料贮存、输送均在密闭车间内进行。</w:t>
                  </w:r>
                </w:p>
              </w:tc>
              <w:tc>
                <w:tcPr>
                  <w:tcW w:w="324" w:type="pct"/>
                  <w:noWrap w:val="0"/>
                  <w:vAlign w:val="center"/>
                </w:tcPr>
                <w:p w14:paraId="54BE5BAE">
                  <w:pPr>
                    <w:pStyle w:val="13"/>
                    <w:spacing w:line="240" w:lineRule="auto"/>
                    <w:jc w:val="center"/>
                    <w:rPr>
                      <w:rFonts w:ascii="Times New Roman" w:hAnsi="Times New Roman"/>
                      <w:color w:val="auto"/>
                      <w:szCs w:val="21"/>
                      <w:highlight w:val="none"/>
                    </w:rPr>
                  </w:pPr>
                  <w:r>
                    <w:rPr>
                      <w:rFonts w:ascii="Times New Roman" w:hAnsi="Times New Roman"/>
                      <w:color w:val="auto"/>
                      <w:szCs w:val="21"/>
                      <w:highlight w:val="none"/>
                    </w:rPr>
                    <w:t>符合</w:t>
                  </w:r>
                </w:p>
              </w:tc>
            </w:tr>
            <w:tr w14:paraId="5CCE84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21" w:type="pct"/>
                  <w:vMerge w:val="restart"/>
                  <w:noWrap w:val="0"/>
                  <w:vAlign w:val="center"/>
                </w:tcPr>
                <w:p w14:paraId="20AE7832">
                  <w:pPr>
                    <w:widowControl/>
                    <w:spacing w:line="240" w:lineRule="auto"/>
                    <w:rPr>
                      <w:rFonts w:ascii="Times New Roman" w:hAnsi="Times New Roman"/>
                      <w:color w:val="auto"/>
                      <w:szCs w:val="21"/>
                      <w:highlight w:val="none"/>
                    </w:rPr>
                  </w:pPr>
                  <w:r>
                    <w:rPr>
                      <w:color w:val="auto"/>
                      <w:kern w:val="0"/>
                      <w:szCs w:val="21"/>
                      <w:highlight w:val="none"/>
                      <w:lang w:bidi="ar"/>
                    </w:rPr>
                    <w:t>环境风险防控</w:t>
                  </w:r>
                </w:p>
              </w:tc>
              <w:tc>
                <w:tcPr>
                  <w:tcW w:w="617" w:type="pct"/>
                  <w:noWrap w:val="0"/>
                  <w:vAlign w:val="center"/>
                </w:tcPr>
                <w:p w14:paraId="3278A5D8">
                  <w:pPr>
                    <w:widowControl/>
                    <w:spacing w:line="240" w:lineRule="auto"/>
                    <w:jc w:val="center"/>
                    <w:rPr>
                      <w:color w:val="auto"/>
                      <w:szCs w:val="21"/>
                      <w:highlight w:val="none"/>
                    </w:rPr>
                  </w:pPr>
                  <w:r>
                    <w:rPr>
                      <w:rFonts w:hint="eastAsia"/>
                      <w:color w:val="auto"/>
                      <w:kern w:val="0"/>
                      <w:szCs w:val="21"/>
                      <w:highlight w:val="none"/>
                      <w:lang w:bidi="ar"/>
                    </w:rPr>
                    <w:t>生态环境风险防控要求</w:t>
                  </w:r>
                </w:p>
              </w:tc>
              <w:tc>
                <w:tcPr>
                  <w:tcW w:w="2393" w:type="pct"/>
                  <w:noWrap w:val="0"/>
                  <w:vAlign w:val="center"/>
                </w:tcPr>
                <w:p w14:paraId="4BDAAECE">
                  <w:pPr>
                    <w:widowControl/>
                    <w:numPr>
                      <w:ilvl w:val="0"/>
                      <w:numId w:val="0"/>
                    </w:numPr>
                    <w:spacing w:line="240" w:lineRule="auto"/>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1.加强大伙房饮用水水源保护区生态环境监管体系建设，加强大伙房饮用水水源保护区及其水源涵养功能区的保护与生态环境风险防控</w:t>
                  </w:r>
                  <w:r>
                    <w:rPr>
                      <w:rFonts w:hint="eastAsia" w:ascii="Times New Roman" w:hAnsi="Times New Roman" w:eastAsia="宋体" w:cs="Times New Roman"/>
                      <w:color w:val="auto"/>
                      <w:kern w:val="0"/>
                      <w:szCs w:val="21"/>
                      <w:highlight w:val="none"/>
                      <w:lang w:val="en-US" w:eastAsia="zh-CN" w:bidi="ar"/>
                    </w:rPr>
                    <w:t>；</w:t>
                  </w:r>
                  <w:r>
                    <w:rPr>
                      <w:rFonts w:hint="default" w:ascii="Times New Roman" w:hAnsi="Times New Roman" w:eastAsia="宋体" w:cs="Times New Roman"/>
                      <w:color w:val="auto"/>
                      <w:kern w:val="0"/>
                      <w:szCs w:val="21"/>
                      <w:highlight w:val="none"/>
                      <w:lang w:val="en-US" w:eastAsia="zh-CN" w:bidi="ar"/>
                    </w:rPr>
                    <w:t>完成国家要求的受污染耕地治理和修复面积指标。2.严格控制在优先保护类耕地集中区域新建有色金属冶炼、石油加工、焦化、电镀、制革等行业企业，现有相关行业企业要采用新技术、新工艺，加快提标升级改造步伐。3.已污染地块，应当依法开展土壤污染状况调查、治理与修复，符合相应土壤环境质量要求后，方可进入用地程序。4.严禁将城镇生活垃圾、污泥、工业废物直接用作肥料，禁止处理不达标的污泥进入耕地</w:t>
                  </w:r>
                  <w:r>
                    <w:rPr>
                      <w:rFonts w:hint="eastAsia" w:ascii="Times New Roman" w:hAnsi="Times New Roman" w:eastAsia="宋体" w:cs="Times New Roman"/>
                      <w:color w:val="auto"/>
                      <w:kern w:val="0"/>
                      <w:szCs w:val="21"/>
                      <w:highlight w:val="none"/>
                      <w:lang w:val="en-US" w:eastAsia="zh-CN" w:bidi="ar"/>
                    </w:rPr>
                    <w:t>；</w:t>
                  </w:r>
                  <w:r>
                    <w:rPr>
                      <w:rFonts w:hint="default" w:ascii="Times New Roman" w:hAnsi="Times New Roman" w:eastAsia="宋体" w:cs="Times New Roman"/>
                      <w:color w:val="auto"/>
                      <w:kern w:val="0"/>
                      <w:szCs w:val="21"/>
                      <w:highlight w:val="none"/>
                      <w:lang w:val="en-US" w:eastAsia="zh-CN" w:bidi="ar"/>
                    </w:rPr>
                    <w:t>禁止在农用地排放、倾倒、使用污泥、清淤底泥、尾矿</w:t>
                  </w:r>
                  <w:r>
                    <w:rPr>
                      <w:rFonts w:hint="eastAsia" w:ascii="Times New Roman" w:hAnsi="Times New Roman" w:eastAsia="宋体" w:cs="Times New Roman"/>
                      <w:color w:val="auto"/>
                      <w:kern w:val="0"/>
                      <w:szCs w:val="21"/>
                      <w:highlight w:val="none"/>
                      <w:lang w:val="en-US" w:eastAsia="zh-CN" w:bidi="ar"/>
                    </w:rPr>
                    <w:t>（</w:t>
                  </w:r>
                  <w:r>
                    <w:rPr>
                      <w:rFonts w:hint="default" w:ascii="Times New Roman" w:hAnsi="Times New Roman" w:eastAsia="宋体" w:cs="Times New Roman"/>
                      <w:color w:val="auto"/>
                      <w:kern w:val="0"/>
                      <w:szCs w:val="21"/>
                      <w:highlight w:val="none"/>
                      <w:lang w:val="en-US" w:eastAsia="zh-CN" w:bidi="ar"/>
                    </w:rPr>
                    <w:t>渣</w:t>
                  </w:r>
                  <w:r>
                    <w:rPr>
                      <w:rFonts w:hint="eastAsia" w:ascii="Times New Roman" w:hAnsi="Times New Roman" w:eastAsia="宋体" w:cs="Times New Roman"/>
                      <w:color w:val="auto"/>
                      <w:kern w:val="0"/>
                      <w:szCs w:val="21"/>
                      <w:highlight w:val="none"/>
                      <w:lang w:val="en-US" w:eastAsia="zh-CN" w:bidi="ar"/>
                    </w:rPr>
                    <w:t>）</w:t>
                  </w:r>
                  <w:r>
                    <w:rPr>
                      <w:rFonts w:hint="default" w:ascii="Times New Roman" w:hAnsi="Times New Roman" w:eastAsia="宋体" w:cs="Times New Roman"/>
                      <w:color w:val="auto"/>
                      <w:kern w:val="0"/>
                      <w:szCs w:val="21"/>
                      <w:highlight w:val="none"/>
                      <w:lang w:val="en-US" w:eastAsia="zh-CN" w:bidi="ar"/>
                    </w:rPr>
                    <w:t>等可能对土壤造成污染的固体废物。</w:t>
                  </w:r>
                </w:p>
              </w:tc>
              <w:tc>
                <w:tcPr>
                  <w:tcW w:w="1342" w:type="pct"/>
                  <w:noWrap w:val="0"/>
                  <w:vAlign w:val="center"/>
                </w:tcPr>
                <w:p w14:paraId="3F99C4FB">
                  <w:pPr>
                    <w:widowControl/>
                    <w:spacing w:line="240" w:lineRule="auto"/>
                    <w:rPr>
                      <w:color w:val="auto"/>
                      <w:szCs w:val="21"/>
                      <w:highlight w:val="none"/>
                    </w:rPr>
                  </w:pPr>
                  <w:r>
                    <w:rPr>
                      <w:rFonts w:hint="default" w:ascii="Times New Roman" w:hAnsi="Times New Roman" w:eastAsia="宋体" w:cs="Times New Roman"/>
                      <w:b w:val="0"/>
                      <w:bCs w:val="0"/>
                      <w:color w:val="auto"/>
                      <w:sz w:val="21"/>
                      <w:szCs w:val="21"/>
                      <w:highlight w:val="none"/>
                      <w:vertAlign w:val="baseline"/>
                      <w:lang w:val="en-US" w:eastAsia="zh-CN"/>
                    </w:rPr>
                    <w:t>本项</w:t>
                  </w:r>
                  <w:r>
                    <w:rPr>
                      <w:rFonts w:hint="default" w:ascii="Times New Roman" w:hAnsi="Times New Roman" w:eastAsia="宋体" w:cs="Times New Roman"/>
                      <w:color w:val="auto"/>
                      <w:sz w:val="21"/>
                      <w:szCs w:val="21"/>
                      <w:highlight w:val="none"/>
                      <w:lang w:val="en-US" w:eastAsia="zh-CN"/>
                    </w:rPr>
                    <w:t>目位于</w:t>
                  </w:r>
                  <w:r>
                    <w:rPr>
                      <w:rFonts w:hint="eastAsia" w:ascii="Times New Roman" w:hAnsi="Times New Roman" w:eastAsia="宋体" w:cs="Times New Roman"/>
                      <w:color w:val="auto"/>
                      <w:szCs w:val="21"/>
                      <w:highlight w:val="none"/>
                    </w:rPr>
                    <w:t>辽宁省抚顺市抚顺县救兵镇</w:t>
                  </w:r>
                  <w:r>
                    <w:rPr>
                      <w:rFonts w:hint="eastAsia" w:ascii="Times New Roman" w:hAnsi="Times New Roman" w:eastAsia="宋体" w:cs="Times New Roman"/>
                      <w:color w:val="auto"/>
                      <w:szCs w:val="21"/>
                      <w:highlight w:val="none"/>
                      <w:lang w:eastAsia="zh-CN"/>
                    </w:rPr>
                    <w:t>康西</w:t>
                  </w:r>
                  <w:r>
                    <w:rPr>
                      <w:rFonts w:hint="eastAsia" w:ascii="Times New Roman" w:hAnsi="Times New Roman" w:eastAsia="宋体" w:cs="Times New Roman"/>
                      <w:color w:val="auto"/>
                      <w:szCs w:val="21"/>
                      <w:highlight w:val="none"/>
                    </w:rPr>
                    <w:t>村救兵木业和新材料产业园区B区</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rPr>
                    <w:t>地下水</w:t>
                  </w:r>
                  <w:r>
                    <w:rPr>
                      <w:rFonts w:hint="default" w:ascii="Times New Roman" w:hAnsi="Times New Roman" w:eastAsia="宋体" w:cs="Times New Roman"/>
                      <w:color w:val="auto"/>
                      <w:sz w:val="21"/>
                      <w:szCs w:val="21"/>
                      <w:highlight w:val="none"/>
                      <w:lang w:eastAsia="zh-CN"/>
                    </w:rPr>
                    <w:t>、土壤</w:t>
                  </w:r>
                  <w:r>
                    <w:rPr>
                      <w:rFonts w:hint="default" w:ascii="Times New Roman" w:hAnsi="Times New Roman" w:eastAsia="宋体" w:cs="Times New Roman"/>
                      <w:color w:val="auto"/>
                      <w:sz w:val="21"/>
                      <w:szCs w:val="21"/>
                      <w:highlight w:val="none"/>
                    </w:rPr>
                    <w:t>污染防治措施坚持</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源头控制、末端防治、污染监控、应急响应相结合</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的原则，即采取主动控制和被动控制相结合的措施。</w:t>
                  </w:r>
                  <w:r>
                    <w:rPr>
                      <w:rFonts w:hint="default" w:ascii="Times New Roman" w:hAnsi="Times New Roman" w:eastAsia="宋体" w:cs="Times New Roman"/>
                      <w:color w:val="auto"/>
                      <w:sz w:val="21"/>
                      <w:szCs w:val="21"/>
                      <w:highlight w:val="none"/>
                      <w:lang w:eastAsia="zh-CN"/>
                    </w:rPr>
                    <w:t>采取分区防渗，跟踪监</w:t>
                  </w:r>
                  <w:r>
                    <w:rPr>
                      <w:rFonts w:hint="default" w:ascii="Times New Roman" w:hAnsi="Times New Roman" w:eastAsia="宋体" w:cs="Times New Roman"/>
                      <w:color w:val="auto"/>
                      <w:sz w:val="21"/>
                      <w:szCs w:val="21"/>
                      <w:highlight w:val="none"/>
                      <w:lang w:eastAsia="zh-CN"/>
                    </w:rPr>
                    <w:t>测，</w:t>
                  </w:r>
                  <w:r>
                    <w:rPr>
                      <w:rFonts w:hint="eastAsia" w:ascii="Times New Roman" w:hAnsi="Times New Roman" w:eastAsia="宋体" w:cs="Times New Roman"/>
                      <w:color w:val="auto"/>
                      <w:sz w:val="21"/>
                      <w:szCs w:val="21"/>
                      <w:highlight w:val="none"/>
                      <w:lang w:eastAsia="zh-CN"/>
                    </w:rPr>
                    <w:t>及时与园区突发环境事件应急预案进行联动</w:t>
                  </w:r>
                  <w:r>
                    <w:rPr>
                      <w:rFonts w:hint="default" w:ascii="Times New Roman" w:hAnsi="Times New Roman" w:eastAsia="宋体" w:cs="Times New Roman"/>
                      <w:color w:val="auto"/>
                      <w:sz w:val="21"/>
                      <w:szCs w:val="21"/>
                      <w:highlight w:val="none"/>
                    </w:rPr>
                    <w:t>，最大限度地减</w:t>
                  </w:r>
                  <w:r>
                    <w:rPr>
                      <w:rFonts w:hint="default" w:ascii="Times New Roman" w:hAnsi="Times New Roman" w:eastAsia="宋体" w:cs="Times New Roman"/>
                      <w:color w:val="auto"/>
                      <w:sz w:val="21"/>
                      <w:szCs w:val="21"/>
                      <w:highlight w:val="none"/>
                    </w:rPr>
                    <w:t>轻渗漏类事故对地下水环境的不利影响。</w:t>
                  </w:r>
                </w:p>
              </w:tc>
              <w:tc>
                <w:tcPr>
                  <w:tcW w:w="324" w:type="pct"/>
                  <w:noWrap w:val="0"/>
                  <w:vAlign w:val="center"/>
                </w:tcPr>
                <w:p w14:paraId="6C9DCE74">
                  <w:pPr>
                    <w:pStyle w:val="13"/>
                    <w:spacing w:line="240" w:lineRule="auto"/>
                    <w:jc w:val="center"/>
                    <w:rPr>
                      <w:rFonts w:ascii="Times New Roman" w:hAnsi="Times New Roman"/>
                      <w:color w:val="auto"/>
                      <w:szCs w:val="21"/>
                      <w:highlight w:val="none"/>
                    </w:rPr>
                  </w:pPr>
                  <w:r>
                    <w:rPr>
                      <w:rFonts w:ascii="Times New Roman" w:hAnsi="Times New Roman"/>
                      <w:color w:val="auto"/>
                      <w:szCs w:val="21"/>
                      <w:highlight w:val="none"/>
                    </w:rPr>
                    <w:t>符合</w:t>
                  </w:r>
                </w:p>
              </w:tc>
            </w:tr>
            <w:tr w14:paraId="23F331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21" w:type="pct"/>
                  <w:vMerge w:val="continue"/>
                  <w:noWrap w:val="0"/>
                  <w:vAlign w:val="center"/>
                </w:tcPr>
                <w:p w14:paraId="76AB2DB7">
                  <w:pPr>
                    <w:pStyle w:val="13"/>
                    <w:spacing w:line="240" w:lineRule="auto"/>
                    <w:rPr>
                      <w:rFonts w:ascii="Times New Roman" w:hAnsi="Times New Roman"/>
                      <w:color w:val="auto"/>
                      <w:szCs w:val="21"/>
                      <w:highlight w:val="none"/>
                    </w:rPr>
                  </w:pPr>
                </w:p>
              </w:tc>
              <w:tc>
                <w:tcPr>
                  <w:tcW w:w="617" w:type="pct"/>
                  <w:noWrap w:val="0"/>
                  <w:vAlign w:val="center"/>
                </w:tcPr>
                <w:p w14:paraId="0FDB1597">
                  <w:pPr>
                    <w:widowControl/>
                    <w:spacing w:line="240" w:lineRule="auto"/>
                    <w:jc w:val="center"/>
                    <w:rPr>
                      <w:color w:val="auto"/>
                      <w:szCs w:val="21"/>
                      <w:highlight w:val="none"/>
                    </w:rPr>
                  </w:pPr>
                  <w:r>
                    <w:rPr>
                      <w:color w:val="auto"/>
                      <w:kern w:val="0"/>
                      <w:szCs w:val="21"/>
                      <w:highlight w:val="none"/>
                      <w:lang w:bidi="ar"/>
                    </w:rPr>
                    <w:t>企业环境风险防控要求</w:t>
                  </w:r>
                </w:p>
              </w:tc>
              <w:tc>
                <w:tcPr>
                  <w:tcW w:w="2393" w:type="pct"/>
                  <w:noWrap w:val="0"/>
                  <w:vAlign w:val="center"/>
                </w:tcPr>
                <w:p w14:paraId="16959EB2">
                  <w:pPr>
                    <w:widowControl/>
                    <w:numPr>
                      <w:ilvl w:val="0"/>
                      <w:numId w:val="0"/>
                    </w:numPr>
                    <w:spacing w:line="240" w:lineRule="auto"/>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固体废物在贮存、转移、利用、处置过程中，应配套防扬散、防流失、防渗漏及其他防止污染环境的措施。</w:t>
                  </w:r>
                </w:p>
              </w:tc>
              <w:tc>
                <w:tcPr>
                  <w:tcW w:w="1342" w:type="pct"/>
                  <w:noWrap w:val="0"/>
                  <w:vAlign w:val="center"/>
                </w:tcPr>
                <w:p w14:paraId="5E683DA3">
                  <w:pPr>
                    <w:widowControl/>
                    <w:spacing w:line="240" w:lineRule="auto"/>
                    <w:rPr>
                      <w:color w:val="auto"/>
                      <w:szCs w:val="21"/>
                      <w:highlight w:val="none"/>
                    </w:rPr>
                  </w:pPr>
                  <w:r>
                    <w:rPr>
                      <w:rFonts w:hint="default" w:ascii="Times New Roman" w:hAnsi="Times New Roman" w:eastAsia="宋体" w:cs="Times New Roman"/>
                      <w:b w:val="0"/>
                      <w:bCs w:val="0"/>
                      <w:color w:val="auto"/>
                      <w:sz w:val="21"/>
                      <w:szCs w:val="21"/>
                      <w:highlight w:val="none"/>
                      <w:vertAlign w:val="baseline"/>
                      <w:lang w:val="en-US" w:eastAsia="zh-CN"/>
                    </w:rPr>
                    <w:t>本项目</w:t>
                  </w:r>
                  <w:r>
                    <w:rPr>
                      <w:rFonts w:hint="eastAsia" w:ascii="Times New Roman" w:hAnsi="Times New Roman" w:eastAsia="宋体" w:cs="Times New Roman"/>
                      <w:b w:val="0"/>
                      <w:bCs w:val="0"/>
                      <w:color w:val="auto"/>
                      <w:sz w:val="21"/>
                      <w:szCs w:val="21"/>
                      <w:highlight w:val="none"/>
                      <w:vertAlign w:val="baseline"/>
                      <w:lang w:val="en-US" w:eastAsia="zh-CN"/>
                    </w:rPr>
                    <w:t>一般工业固体废物暂存在一般固废暂存间内，</w:t>
                  </w:r>
                  <w:r>
                    <w:rPr>
                      <w:rFonts w:hint="default" w:ascii="Times New Roman" w:hAnsi="Times New Roman" w:eastAsia="宋体" w:cs="Times New Roman"/>
                      <w:b w:val="0"/>
                      <w:bCs w:val="0"/>
                      <w:color w:val="auto"/>
                      <w:sz w:val="21"/>
                      <w:szCs w:val="21"/>
                      <w:highlight w:val="none"/>
                      <w:vertAlign w:val="baseline"/>
                      <w:lang w:val="en-US" w:eastAsia="zh-CN"/>
                    </w:rPr>
                    <w:t>危险废物</w:t>
                  </w:r>
                  <w:r>
                    <w:rPr>
                      <w:rFonts w:hint="eastAsia" w:ascii="Times New Roman" w:hAnsi="Times New Roman" w:eastAsia="宋体" w:cs="Times New Roman"/>
                      <w:b w:val="0"/>
                      <w:bCs w:val="0"/>
                      <w:color w:val="auto"/>
                      <w:sz w:val="21"/>
                      <w:szCs w:val="21"/>
                      <w:highlight w:val="none"/>
                      <w:vertAlign w:val="baseline"/>
                      <w:lang w:val="en-US" w:eastAsia="zh-CN"/>
                    </w:rPr>
                    <w:t>贮</w:t>
                  </w:r>
                  <w:r>
                    <w:rPr>
                      <w:rFonts w:hint="default" w:ascii="Times New Roman" w:hAnsi="Times New Roman" w:eastAsia="宋体" w:cs="Times New Roman"/>
                      <w:b w:val="0"/>
                      <w:bCs w:val="0"/>
                      <w:color w:val="auto"/>
                      <w:sz w:val="21"/>
                      <w:szCs w:val="21"/>
                      <w:highlight w:val="none"/>
                      <w:vertAlign w:val="baseline"/>
                      <w:lang w:val="en-US" w:eastAsia="zh-CN"/>
                    </w:rPr>
                    <w:t>存</w:t>
                  </w:r>
                  <w:r>
                    <w:rPr>
                      <w:rFonts w:hint="eastAsia" w:ascii="Times New Roman" w:hAnsi="Times New Roman" w:eastAsia="宋体" w:cs="Times New Roman"/>
                      <w:b w:val="0"/>
                      <w:bCs w:val="0"/>
                      <w:color w:val="auto"/>
                      <w:sz w:val="21"/>
                      <w:szCs w:val="21"/>
                      <w:highlight w:val="none"/>
                      <w:vertAlign w:val="baseline"/>
                      <w:lang w:val="en-US" w:eastAsia="zh-CN"/>
                    </w:rPr>
                    <w:t>点应</w:t>
                  </w:r>
                  <w:r>
                    <w:rPr>
                      <w:rFonts w:hint="default" w:ascii="Times New Roman" w:hAnsi="Times New Roman" w:eastAsia="宋体" w:cs="Times New Roman"/>
                      <w:b w:val="0"/>
                      <w:bCs w:val="0"/>
                      <w:color w:val="auto"/>
                      <w:sz w:val="21"/>
                      <w:szCs w:val="21"/>
                      <w:highlight w:val="none"/>
                      <w:vertAlign w:val="baseline"/>
                      <w:lang w:val="en-US" w:eastAsia="zh-CN"/>
                    </w:rPr>
                    <w:t>采取重点防渗措施，加强危险废物处置过程管理，</w:t>
                  </w:r>
                  <w:r>
                    <w:rPr>
                      <w:rFonts w:hint="default" w:ascii="Times New Roman" w:hAnsi="Times New Roman" w:eastAsia="宋体" w:cs="Times New Roman"/>
                      <w:color w:val="auto"/>
                      <w:kern w:val="0"/>
                      <w:sz w:val="21"/>
                      <w:szCs w:val="21"/>
                      <w:highlight w:val="none"/>
                      <w:lang w:val="en-US" w:eastAsia="zh-CN" w:bidi="ar"/>
                    </w:rPr>
                    <w:t>配套防扬散、防流失、防渗漏及其他防止污染环境的措施。</w:t>
                  </w:r>
                </w:p>
              </w:tc>
              <w:tc>
                <w:tcPr>
                  <w:tcW w:w="324" w:type="pct"/>
                  <w:noWrap w:val="0"/>
                  <w:vAlign w:val="center"/>
                </w:tcPr>
                <w:p w14:paraId="2D15BB50">
                  <w:pPr>
                    <w:pStyle w:val="13"/>
                    <w:spacing w:line="240" w:lineRule="auto"/>
                    <w:jc w:val="center"/>
                    <w:rPr>
                      <w:rFonts w:ascii="Times New Roman" w:hAnsi="Times New Roman"/>
                      <w:color w:val="auto"/>
                      <w:szCs w:val="21"/>
                      <w:highlight w:val="none"/>
                    </w:rPr>
                  </w:pPr>
                  <w:r>
                    <w:rPr>
                      <w:rFonts w:ascii="Times New Roman" w:hAnsi="Times New Roman"/>
                      <w:color w:val="auto"/>
                      <w:szCs w:val="21"/>
                      <w:highlight w:val="none"/>
                    </w:rPr>
                    <w:t>符合</w:t>
                  </w:r>
                </w:p>
              </w:tc>
            </w:tr>
            <w:tr w14:paraId="629B5F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21" w:type="pct"/>
                  <w:vMerge w:val="restart"/>
                  <w:noWrap w:val="0"/>
                  <w:vAlign w:val="center"/>
                </w:tcPr>
                <w:p w14:paraId="27410722">
                  <w:pPr>
                    <w:widowControl/>
                    <w:spacing w:line="240" w:lineRule="auto"/>
                    <w:rPr>
                      <w:color w:val="auto"/>
                      <w:szCs w:val="21"/>
                      <w:highlight w:val="none"/>
                    </w:rPr>
                  </w:pPr>
                  <w:r>
                    <w:rPr>
                      <w:color w:val="auto"/>
                      <w:kern w:val="0"/>
                      <w:szCs w:val="21"/>
                      <w:highlight w:val="none"/>
                      <w:lang w:bidi="ar"/>
                    </w:rPr>
                    <w:t>资源开发效率要求</w:t>
                  </w:r>
                </w:p>
              </w:tc>
              <w:tc>
                <w:tcPr>
                  <w:tcW w:w="617" w:type="pct"/>
                  <w:noWrap w:val="0"/>
                  <w:vAlign w:val="center"/>
                </w:tcPr>
                <w:p w14:paraId="06ECF3C0">
                  <w:pPr>
                    <w:widowControl/>
                    <w:spacing w:line="240" w:lineRule="auto"/>
                    <w:jc w:val="center"/>
                    <w:rPr>
                      <w:color w:val="auto"/>
                      <w:szCs w:val="21"/>
                      <w:highlight w:val="none"/>
                    </w:rPr>
                  </w:pPr>
                  <w:r>
                    <w:rPr>
                      <w:color w:val="auto"/>
                      <w:kern w:val="0"/>
                      <w:szCs w:val="21"/>
                      <w:highlight w:val="none"/>
                      <w:lang w:bidi="ar"/>
                    </w:rPr>
                    <w:t>水资源利用效率要求</w:t>
                  </w:r>
                </w:p>
              </w:tc>
              <w:tc>
                <w:tcPr>
                  <w:tcW w:w="2393" w:type="pct"/>
                  <w:noWrap w:val="0"/>
                  <w:vAlign w:val="center"/>
                </w:tcPr>
                <w:p w14:paraId="12A47BA7">
                  <w:pPr>
                    <w:widowControl/>
                    <w:numPr>
                      <w:ilvl w:val="0"/>
                      <w:numId w:val="0"/>
                    </w:numPr>
                    <w:spacing w:line="240" w:lineRule="auto"/>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用水总量降低，农业用水效率提高，农田灌溉水有效利用系数高</w:t>
                  </w:r>
                  <w:r>
                    <w:rPr>
                      <w:rFonts w:hint="eastAsia" w:ascii="Times New Roman" w:hAnsi="Times New Roman" w:eastAsia="宋体" w:cs="Times New Roman"/>
                      <w:color w:val="auto"/>
                      <w:kern w:val="0"/>
                      <w:szCs w:val="21"/>
                      <w:highlight w:val="none"/>
                      <w:lang w:val="en-US" w:eastAsia="zh-CN" w:bidi="ar"/>
                    </w:rPr>
                    <w:t>于</w:t>
                  </w:r>
                  <w:r>
                    <w:rPr>
                      <w:rFonts w:hint="default" w:ascii="Times New Roman" w:hAnsi="Times New Roman" w:eastAsia="宋体" w:cs="Times New Roman"/>
                      <w:color w:val="auto"/>
                      <w:kern w:val="0"/>
                      <w:szCs w:val="21"/>
                      <w:highlight w:val="none"/>
                      <w:lang w:val="en-US" w:eastAsia="zh-CN" w:bidi="ar"/>
                    </w:rPr>
                    <w:t>0.590，万元GDP用水量比2020年降低。</w:t>
                  </w:r>
                </w:p>
              </w:tc>
              <w:tc>
                <w:tcPr>
                  <w:tcW w:w="1342" w:type="pct"/>
                  <w:noWrap w:val="0"/>
                  <w:vAlign w:val="center"/>
                </w:tcPr>
                <w:p w14:paraId="16CF192B">
                  <w:pPr>
                    <w:pStyle w:val="13"/>
                    <w:spacing w:line="240" w:lineRule="auto"/>
                    <w:rPr>
                      <w:rFonts w:ascii="Times New Roman" w:hAnsi="Times New Roman"/>
                      <w:color w:val="auto"/>
                      <w:szCs w:val="21"/>
                      <w:highlight w:val="none"/>
                    </w:rPr>
                  </w:pPr>
                  <w:r>
                    <w:rPr>
                      <w:rFonts w:hint="default" w:ascii="Times New Roman" w:hAnsi="Times New Roman" w:eastAsia="宋体" w:cs="Times New Roman"/>
                      <w:color w:val="auto"/>
                      <w:sz w:val="21"/>
                      <w:szCs w:val="21"/>
                      <w:highlight w:val="none"/>
                    </w:rPr>
                    <w:t>本项目</w:t>
                  </w:r>
                  <w:r>
                    <w:rPr>
                      <w:rFonts w:hint="default" w:ascii="Times New Roman" w:hAnsi="Times New Roman" w:eastAsia="宋体" w:cs="Times New Roman"/>
                      <w:color w:val="auto"/>
                      <w:sz w:val="21"/>
                      <w:szCs w:val="21"/>
                      <w:highlight w:val="none"/>
                      <w:lang w:eastAsia="zh-CN"/>
                    </w:rPr>
                    <w:t>用水</w:t>
                  </w:r>
                  <w:r>
                    <w:rPr>
                      <w:rFonts w:hint="eastAsia" w:ascii="Times New Roman" w:hAnsi="Times New Roman" w:eastAsia="宋体" w:cs="Times New Roman"/>
                      <w:color w:val="auto"/>
                      <w:sz w:val="21"/>
                      <w:szCs w:val="21"/>
                      <w:highlight w:val="none"/>
                      <w:lang w:eastAsia="zh-CN"/>
                    </w:rPr>
                    <w:t>仅</w:t>
                  </w:r>
                  <w:r>
                    <w:rPr>
                      <w:rFonts w:hint="default" w:ascii="Times New Roman" w:hAnsi="Times New Roman" w:eastAsia="宋体" w:cs="Times New Roman"/>
                      <w:color w:val="auto"/>
                      <w:sz w:val="21"/>
                      <w:szCs w:val="21"/>
                      <w:highlight w:val="none"/>
                      <w:lang w:eastAsia="zh-CN"/>
                    </w:rPr>
                    <w:t>为生活用水，用水量少，采取节约用水</w:t>
                  </w:r>
                  <w:r>
                    <w:rPr>
                      <w:rFonts w:hint="eastAsia" w:ascii="Times New Roman" w:hAnsi="Times New Roman" w:eastAsia="宋体" w:cs="Times New Roman"/>
                      <w:color w:val="auto"/>
                      <w:sz w:val="21"/>
                      <w:szCs w:val="21"/>
                      <w:highlight w:val="none"/>
                      <w:lang w:eastAsia="zh-CN"/>
                    </w:rPr>
                    <w:t>措施，并</w:t>
                  </w:r>
                  <w:r>
                    <w:rPr>
                      <w:rFonts w:hint="default" w:ascii="Times New Roman" w:hAnsi="Times New Roman" w:eastAsia="宋体" w:cs="Times New Roman"/>
                      <w:color w:val="auto"/>
                      <w:sz w:val="21"/>
                      <w:szCs w:val="21"/>
                      <w:highlight w:val="none"/>
                      <w:lang w:eastAsia="zh-CN"/>
                    </w:rPr>
                    <w:t>加强</w:t>
                  </w:r>
                  <w:r>
                    <w:rPr>
                      <w:rFonts w:hint="eastAsia" w:ascii="Times New Roman" w:hAnsi="Times New Roman" w:eastAsia="宋体" w:cs="Times New Roman"/>
                      <w:color w:val="auto"/>
                      <w:sz w:val="21"/>
                      <w:szCs w:val="21"/>
                      <w:highlight w:val="none"/>
                      <w:lang w:eastAsia="zh-CN"/>
                    </w:rPr>
                    <w:t>管理</w:t>
                  </w:r>
                  <w:r>
                    <w:rPr>
                      <w:rFonts w:hint="default" w:ascii="Times New Roman" w:hAnsi="Times New Roman" w:eastAsia="宋体" w:cs="Times New Roman"/>
                      <w:color w:val="auto"/>
                      <w:sz w:val="21"/>
                      <w:szCs w:val="21"/>
                      <w:highlight w:val="none"/>
                      <w:lang w:eastAsia="zh-CN"/>
                    </w:rPr>
                    <w:t>教育。</w:t>
                  </w:r>
                </w:p>
              </w:tc>
              <w:tc>
                <w:tcPr>
                  <w:tcW w:w="324" w:type="pct"/>
                  <w:noWrap w:val="0"/>
                  <w:vAlign w:val="center"/>
                </w:tcPr>
                <w:p w14:paraId="7627128A">
                  <w:pPr>
                    <w:pStyle w:val="13"/>
                    <w:spacing w:line="240" w:lineRule="auto"/>
                    <w:jc w:val="center"/>
                    <w:rPr>
                      <w:rFonts w:ascii="Times New Roman" w:hAnsi="Times New Roman"/>
                      <w:color w:val="auto"/>
                      <w:szCs w:val="21"/>
                      <w:highlight w:val="none"/>
                    </w:rPr>
                  </w:pPr>
                  <w:r>
                    <w:rPr>
                      <w:rFonts w:ascii="Times New Roman" w:hAnsi="Times New Roman"/>
                      <w:color w:val="auto"/>
                      <w:szCs w:val="21"/>
                      <w:highlight w:val="none"/>
                    </w:rPr>
                    <w:t>符合</w:t>
                  </w:r>
                </w:p>
              </w:tc>
            </w:tr>
            <w:tr w14:paraId="2AB559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21" w:type="pct"/>
                  <w:vMerge w:val="continue"/>
                  <w:noWrap w:val="0"/>
                  <w:vAlign w:val="center"/>
                </w:tcPr>
                <w:p w14:paraId="25DE2EFD">
                  <w:pPr>
                    <w:pStyle w:val="13"/>
                    <w:spacing w:line="240" w:lineRule="auto"/>
                    <w:rPr>
                      <w:rFonts w:ascii="Times New Roman" w:hAnsi="Times New Roman"/>
                      <w:color w:val="auto"/>
                      <w:szCs w:val="21"/>
                      <w:highlight w:val="none"/>
                    </w:rPr>
                  </w:pPr>
                </w:p>
              </w:tc>
              <w:tc>
                <w:tcPr>
                  <w:tcW w:w="617" w:type="pct"/>
                  <w:noWrap w:val="0"/>
                  <w:vAlign w:val="center"/>
                </w:tcPr>
                <w:p w14:paraId="410E5023">
                  <w:pPr>
                    <w:widowControl/>
                    <w:spacing w:line="240" w:lineRule="auto"/>
                    <w:jc w:val="center"/>
                    <w:rPr>
                      <w:color w:val="auto"/>
                      <w:szCs w:val="21"/>
                      <w:highlight w:val="none"/>
                    </w:rPr>
                  </w:pPr>
                  <w:r>
                    <w:rPr>
                      <w:color w:val="auto"/>
                      <w:kern w:val="0"/>
                      <w:szCs w:val="21"/>
                      <w:highlight w:val="none"/>
                      <w:lang w:bidi="ar"/>
                    </w:rPr>
                    <w:t>能源利用效率要求</w:t>
                  </w:r>
                </w:p>
              </w:tc>
              <w:tc>
                <w:tcPr>
                  <w:tcW w:w="2393" w:type="pct"/>
                  <w:noWrap w:val="0"/>
                  <w:vAlign w:val="center"/>
                </w:tcPr>
                <w:p w14:paraId="22C82B3D">
                  <w:pPr>
                    <w:widowControl/>
                    <w:numPr>
                      <w:ilvl w:val="0"/>
                      <w:numId w:val="0"/>
                    </w:numPr>
                    <w:spacing w:line="240" w:lineRule="auto"/>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eastAsia="宋体" w:cs="Times New Roman"/>
                      <w:color w:val="auto"/>
                      <w:kern w:val="0"/>
                      <w:szCs w:val="21"/>
                      <w:highlight w:val="none"/>
                      <w:lang w:val="en-US" w:eastAsia="zh-CN" w:bidi="ar"/>
                    </w:rPr>
                    <w:t>1.到2025年，抚顺县生产总值能耗比2020年下降，煤炭占能源消费总量比重下降，非石化能源消费占能源消费总量比重提高，天然气消费比重提高，新生产燃煤工业锅炉效率和燃气锅炉效率提高。2.除依据城市供热专项规划确需保留的供暖锅炉以外，建成区20蒸吨/小时</w:t>
                  </w:r>
                  <w:r>
                    <w:rPr>
                      <w:rFonts w:hint="eastAsia" w:ascii="Times New Roman" w:hAnsi="Times New Roman" w:eastAsia="宋体" w:cs="Times New Roman"/>
                      <w:color w:val="auto"/>
                      <w:kern w:val="0"/>
                      <w:szCs w:val="21"/>
                      <w:highlight w:val="none"/>
                      <w:lang w:val="en-US" w:eastAsia="zh-CN" w:bidi="ar"/>
                    </w:rPr>
                    <w:t>（</w:t>
                  </w:r>
                  <w:r>
                    <w:rPr>
                      <w:rFonts w:hint="default" w:ascii="Times New Roman" w:hAnsi="Times New Roman" w:eastAsia="宋体" w:cs="Times New Roman"/>
                      <w:color w:val="auto"/>
                      <w:kern w:val="0"/>
                      <w:szCs w:val="21"/>
                      <w:highlight w:val="none"/>
                      <w:lang w:val="en-US" w:eastAsia="zh-CN" w:bidi="ar"/>
                    </w:rPr>
                    <w:t>或14兆瓦</w:t>
                  </w:r>
                  <w:r>
                    <w:rPr>
                      <w:rFonts w:hint="eastAsia" w:ascii="Times New Roman" w:hAnsi="Times New Roman" w:eastAsia="宋体" w:cs="Times New Roman"/>
                      <w:color w:val="auto"/>
                      <w:kern w:val="0"/>
                      <w:szCs w:val="21"/>
                      <w:highlight w:val="none"/>
                      <w:lang w:val="en-US" w:eastAsia="zh-CN" w:bidi="ar"/>
                    </w:rPr>
                    <w:t>）</w:t>
                  </w:r>
                  <w:r>
                    <w:rPr>
                      <w:rFonts w:hint="default" w:ascii="Times New Roman" w:hAnsi="Times New Roman" w:eastAsia="宋体" w:cs="Times New Roman"/>
                      <w:color w:val="auto"/>
                      <w:kern w:val="0"/>
                      <w:szCs w:val="21"/>
                      <w:highlight w:val="none"/>
                      <w:lang w:val="en-US" w:eastAsia="zh-CN" w:bidi="ar"/>
                    </w:rPr>
                    <w:t>及以下燃煤锅炉全部予以淘汰。</w:t>
                  </w:r>
                </w:p>
              </w:tc>
              <w:tc>
                <w:tcPr>
                  <w:tcW w:w="1342" w:type="pct"/>
                  <w:noWrap w:val="0"/>
                  <w:vAlign w:val="center"/>
                </w:tcPr>
                <w:p w14:paraId="73B444B2">
                  <w:pPr>
                    <w:pStyle w:val="13"/>
                    <w:spacing w:line="240" w:lineRule="auto"/>
                    <w:rPr>
                      <w:rFonts w:ascii="Times New Roman" w:hAnsi="Times New Roman"/>
                      <w:color w:val="auto"/>
                      <w:szCs w:val="21"/>
                      <w:highlight w:val="none"/>
                    </w:rPr>
                  </w:pPr>
                  <w:r>
                    <w:rPr>
                      <w:rFonts w:ascii="Times New Roman" w:hAnsi="Times New Roman"/>
                      <w:color w:val="auto"/>
                      <w:szCs w:val="21"/>
                      <w:highlight w:val="none"/>
                    </w:rPr>
                    <w:t>本项目</w:t>
                  </w:r>
                  <w:r>
                    <w:rPr>
                      <w:rFonts w:hint="eastAsia"/>
                      <w:color w:val="auto"/>
                      <w:szCs w:val="21"/>
                      <w:highlight w:val="none"/>
                      <w:lang w:eastAsia="zh-CN"/>
                    </w:rPr>
                    <w:t>不涉及锅炉</w:t>
                  </w:r>
                  <w:r>
                    <w:rPr>
                      <w:rFonts w:ascii="Times New Roman" w:hAnsi="Times New Roman"/>
                      <w:color w:val="auto"/>
                      <w:szCs w:val="21"/>
                      <w:highlight w:val="none"/>
                    </w:rPr>
                    <w:t>。</w:t>
                  </w:r>
                </w:p>
              </w:tc>
              <w:tc>
                <w:tcPr>
                  <w:tcW w:w="324" w:type="pct"/>
                  <w:noWrap w:val="0"/>
                  <w:vAlign w:val="center"/>
                </w:tcPr>
                <w:p w14:paraId="2A0BB25F">
                  <w:pPr>
                    <w:pStyle w:val="13"/>
                    <w:spacing w:line="240" w:lineRule="auto"/>
                    <w:jc w:val="center"/>
                    <w:rPr>
                      <w:rFonts w:ascii="Times New Roman" w:hAnsi="Times New Roman"/>
                      <w:color w:val="auto"/>
                      <w:szCs w:val="21"/>
                      <w:highlight w:val="none"/>
                    </w:rPr>
                  </w:pPr>
                  <w:r>
                    <w:rPr>
                      <w:rFonts w:ascii="Times New Roman" w:hAnsi="Times New Roman"/>
                      <w:color w:val="auto"/>
                      <w:szCs w:val="21"/>
                      <w:highlight w:val="none"/>
                    </w:rPr>
                    <w:t>符合</w:t>
                  </w:r>
                </w:p>
              </w:tc>
            </w:tr>
          </w:tbl>
          <w:p w14:paraId="3C580F5B">
            <w:pPr>
              <w:adjustRightInd w:val="0"/>
              <w:snapToGrid w:val="0"/>
              <w:spacing w:line="240" w:lineRule="auto"/>
              <w:rPr>
                <w:color w:val="auto"/>
                <w:sz w:val="24"/>
                <w:highlight w:val="none"/>
              </w:rPr>
            </w:pPr>
          </w:p>
          <w:p w14:paraId="0D06B4D5">
            <w:pPr>
              <w:pStyle w:val="75"/>
              <w:keepNext w:val="0"/>
              <w:keepLines w:val="0"/>
              <w:pageBreakBefore w:val="0"/>
              <w:widowControl w:val="0"/>
              <w:numPr>
                <w:ilvl w:val="0"/>
                <w:numId w:val="4"/>
              </w:numPr>
              <w:kinsoku/>
              <w:wordWrap/>
              <w:overflowPunct/>
              <w:topLinePunct w:val="0"/>
              <w:autoSpaceDE/>
              <w:autoSpaceDN/>
              <w:bidi w:val="0"/>
              <w:adjustRightInd/>
              <w:snapToGrid/>
              <w:spacing w:line="360" w:lineRule="auto"/>
              <w:ind w:left="0" w:leftChars="0" w:firstLine="0" w:firstLineChars="0"/>
              <w:jc w:val="center"/>
              <w:textAlignment w:val="auto"/>
              <w:rPr>
                <w:rFonts w:hint="eastAsia" w:ascii="Times New Roman" w:hAnsi="Times New Roman" w:eastAsia="宋体" w:cs="Times New Roman"/>
                <w:b/>
                <w:bCs/>
                <w:color w:val="auto"/>
                <w:sz w:val="21"/>
                <w:szCs w:val="21"/>
                <w:lang w:val="en-US" w:eastAsia="zh-CN"/>
              </w:rPr>
            </w:pPr>
            <w:r>
              <w:rPr>
                <w:rFonts w:hint="eastAsia" w:ascii="Times New Roman" w:hAnsi="Times New Roman" w:eastAsia="宋体" w:cs="Times New Roman"/>
                <w:b/>
                <w:bCs/>
                <w:color w:val="auto"/>
                <w:sz w:val="21"/>
                <w:szCs w:val="21"/>
                <w:lang w:val="en-US" w:eastAsia="zh-CN"/>
              </w:rPr>
              <w:t xml:space="preserve">  抚顺县环境管控单元ZH21042120003准入清单符合性分析</w:t>
            </w:r>
          </w:p>
          <w:tbl>
            <w:tblPr>
              <w:tblStyle w:val="25"/>
              <w:tblW w:w="494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59"/>
              <w:gridCol w:w="2904"/>
              <w:gridCol w:w="2711"/>
              <w:gridCol w:w="470"/>
            </w:tblGrid>
            <w:tr w14:paraId="70E0BB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5" w:type="pct"/>
                  <w:noWrap w:val="0"/>
                  <w:vAlign w:val="center"/>
                </w:tcPr>
                <w:p w14:paraId="2C90CBC7">
                  <w:pPr>
                    <w:widowControl/>
                    <w:spacing w:line="240" w:lineRule="auto"/>
                    <w:jc w:val="center"/>
                    <w:rPr>
                      <w:color w:val="auto"/>
                      <w:kern w:val="0"/>
                      <w:szCs w:val="21"/>
                      <w:highlight w:val="none"/>
                      <w:lang w:bidi="ar"/>
                    </w:rPr>
                  </w:pPr>
                  <w:r>
                    <w:rPr>
                      <w:color w:val="auto"/>
                      <w:kern w:val="0"/>
                      <w:szCs w:val="21"/>
                      <w:highlight w:val="none"/>
                      <w:lang w:bidi="ar"/>
                    </w:rPr>
                    <w:t>管控</w:t>
                  </w:r>
                </w:p>
                <w:p w14:paraId="6A31A773">
                  <w:pPr>
                    <w:widowControl/>
                    <w:spacing w:line="240" w:lineRule="auto"/>
                    <w:jc w:val="center"/>
                    <w:rPr>
                      <w:color w:val="auto"/>
                      <w:szCs w:val="21"/>
                      <w:highlight w:val="none"/>
                    </w:rPr>
                  </w:pPr>
                  <w:r>
                    <w:rPr>
                      <w:color w:val="auto"/>
                      <w:kern w:val="0"/>
                      <w:szCs w:val="21"/>
                      <w:highlight w:val="none"/>
                      <w:lang w:bidi="ar"/>
                    </w:rPr>
                    <w:t>维度</w:t>
                  </w:r>
                </w:p>
              </w:tc>
              <w:tc>
                <w:tcPr>
                  <w:tcW w:w="2121" w:type="pct"/>
                  <w:noWrap w:val="0"/>
                  <w:vAlign w:val="center"/>
                </w:tcPr>
                <w:p w14:paraId="034D664C">
                  <w:pPr>
                    <w:widowControl/>
                    <w:spacing w:line="240" w:lineRule="auto"/>
                    <w:jc w:val="center"/>
                    <w:rPr>
                      <w:color w:val="auto"/>
                      <w:szCs w:val="21"/>
                      <w:highlight w:val="none"/>
                    </w:rPr>
                  </w:pPr>
                  <w:r>
                    <w:rPr>
                      <w:color w:val="auto"/>
                      <w:kern w:val="0"/>
                      <w:szCs w:val="21"/>
                      <w:highlight w:val="none"/>
                      <w:lang w:bidi="ar"/>
                    </w:rPr>
                    <w:t>管控要求表</w:t>
                  </w:r>
                </w:p>
              </w:tc>
              <w:tc>
                <w:tcPr>
                  <w:tcW w:w="1980" w:type="pct"/>
                  <w:noWrap w:val="0"/>
                  <w:vAlign w:val="center"/>
                </w:tcPr>
                <w:p w14:paraId="7520E45A">
                  <w:pPr>
                    <w:pStyle w:val="13"/>
                    <w:spacing w:line="240" w:lineRule="auto"/>
                    <w:jc w:val="center"/>
                    <w:rPr>
                      <w:rFonts w:ascii="Times New Roman" w:hAnsi="Times New Roman"/>
                      <w:color w:val="auto"/>
                      <w:szCs w:val="21"/>
                      <w:highlight w:val="none"/>
                    </w:rPr>
                  </w:pPr>
                  <w:r>
                    <w:rPr>
                      <w:rFonts w:ascii="Times New Roman" w:hAnsi="Times New Roman"/>
                      <w:color w:val="auto"/>
                      <w:szCs w:val="21"/>
                      <w:highlight w:val="none"/>
                    </w:rPr>
                    <w:t>本项目情况</w:t>
                  </w:r>
                </w:p>
              </w:tc>
              <w:tc>
                <w:tcPr>
                  <w:tcW w:w="343" w:type="pct"/>
                  <w:noWrap w:val="0"/>
                  <w:vAlign w:val="center"/>
                </w:tcPr>
                <w:p w14:paraId="5B373F64">
                  <w:pPr>
                    <w:pStyle w:val="13"/>
                    <w:spacing w:line="240" w:lineRule="auto"/>
                    <w:jc w:val="center"/>
                    <w:rPr>
                      <w:rFonts w:ascii="Times New Roman" w:hAnsi="Times New Roman"/>
                      <w:color w:val="auto"/>
                      <w:szCs w:val="21"/>
                      <w:highlight w:val="none"/>
                    </w:rPr>
                  </w:pPr>
                  <w:r>
                    <w:rPr>
                      <w:rFonts w:ascii="Times New Roman" w:hAnsi="Times New Roman"/>
                      <w:color w:val="auto"/>
                      <w:szCs w:val="21"/>
                      <w:highlight w:val="none"/>
                    </w:rPr>
                    <w:t>符合性</w:t>
                  </w:r>
                </w:p>
              </w:tc>
            </w:tr>
            <w:tr w14:paraId="14C2EA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5" w:type="pct"/>
                  <w:noWrap w:val="0"/>
                  <w:vAlign w:val="center"/>
                </w:tcPr>
                <w:p w14:paraId="21E21DCF">
                  <w:pPr>
                    <w:pStyle w:val="13"/>
                    <w:spacing w:line="240" w:lineRule="auto"/>
                    <w:rPr>
                      <w:rFonts w:ascii="Times New Roman" w:hAnsi="Times New Roman"/>
                      <w:color w:val="auto"/>
                      <w:szCs w:val="21"/>
                      <w:highlight w:val="none"/>
                    </w:rPr>
                  </w:pPr>
                  <w:r>
                    <w:rPr>
                      <w:rFonts w:ascii="Times New Roman" w:hAnsi="Times New Roman"/>
                      <w:color w:val="auto"/>
                      <w:kern w:val="0"/>
                      <w:szCs w:val="21"/>
                      <w:highlight w:val="none"/>
                      <w:lang w:bidi="ar"/>
                    </w:rPr>
                    <w:t>空间布局约束</w:t>
                  </w:r>
                </w:p>
              </w:tc>
              <w:tc>
                <w:tcPr>
                  <w:tcW w:w="2121" w:type="pct"/>
                  <w:noWrap w:val="0"/>
                  <w:vAlign w:val="center"/>
                </w:tcPr>
                <w:p w14:paraId="32B5C0F3">
                  <w:pPr>
                    <w:widowControl/>
                    <w:numPr>
                      <w:ilvl w:val="0"/>
                      <w:numId w:val="0"/>
                    </w:numPr>
                    <w:spacing w:line="240" w:lineRule="auto"/>
                    <w:rPr>
                      <w:rFonts w:hint="default" w:ascii="Times New Roman" w:hAnsi="Times New Roman" w:eastAsia="宋体" w:cs="Times New Roman"/>
                      <w:color w:val="auto"/>
                      <w:kern w:val="0"/>
                      <w:szCs w:val="21"/>
                      <w:highlight w:val="none"/>
                      <w:lang w:val="en-US" w:eastAsia="zh-CN" w:bidi="ar"/>
                    </w:rPr>
                  </w:pPr>
                  <w:r>
                    <w:rPr>
                      <w:rFonts w:ascii="Times New Roman" w:hAnsi="Times New Roman" w:cs="Times New Roman"/>
                      <w:color w:val="auto"/>
                      <w:sz w:val="21"/>
                      <w:szCs w:val="21"/>
                    </w:rPr>
                    <w:t>1.抚顺县产业园区核心区以循环经济产业和新材料产业为主要产业，救兵木业产业园以木业为主导产业，海浪应急产业园以应急服务业、公共卫生应急为主导产业。2.园区核心区内现有建筑材料、铁矿采选、非矿物制品、塑料制品等行业的企业不得扩建。3.海浪应急产业园内限制污水排放量大或水污染严重的企业入园区，禁止单位工业增加值废水产生量不符合标准的企业入园区。4.园区内新建、改建、扩建项目用水要达到行业先进水平。5.入区项目生产工艺、装备技术水平等应达到国内同行业领先水平；水耗、能耗指标应设定在清洁生产一级水平（国际先进水平）或二级水平（国内先进水平）。</w:t>
                  </w:r>
                </w:p>
              </w:tc>
              <w:tc>
                <w:tcPr>
                  <w:tcW w:w="2886" w:type="dxa"/>
                  <w:noWrap w:val="0"/>
                  <w:vAlign w:val="center"/>
                </w:tcPr>
                <w:p w14:paraId="1A99BF1E">
                  <w:pPr>
                    <w:widowControl/>
                    <w:numPr>
                      <w:ilvl w:val="0"/>
                      <w:numId w:val="0"/>
                    </w:numPr>
                    <w:spacing w:line="240" w:lineRule="auto"/>
                    <w:rPr>
                      <w:color w:val="auto"/>
                      <w:szCs w:val="21"/>
                      <w:highlight w:val="none"/>
                    </w:rPr>
                  </w:pPr>
                  <w:r>
                    <w:rPr>
                      <w:rFonts w:hint="default" w:ascii="Times New Roman" w:hAnsi="Times New Roman" w:eastAsia="宋体" w:cs="Times New Roman"/>
                      <w:color w:val="auto"/>
                      <w:kern w:val="0"/>
                      <w:szCs w:val="21"/>
                      <w:highlight w:val="none"/>
                      <w:lang w:val="en-US" w:eastAsia="zh-CN" w:bidi="ar"/>
                    </w:rPr>
                    <w:t>本项目</w:t>
                  </w:r>
                  <w:r>
                    <w:rPr>
                      <w:rFonts w:hint="eastAsia" w:ascii="Times New Roman" w:hAnsi="Times New Roman" w:eastAsia="宋体" w:cs="Times New Roman"/>
                      <w:color w:val="auto"/>
                      <w:kern w:val="0"/>
                      <w:szCs w:val="21"/>
                      <w:highlight w:val="none"/>
                      <w:lang w:val="en-US" w:eastAsia="zh-CN" w:bidi="ar"/>
                    </w:rPr>
                    <w:t>为木地板制造项目，</w:t>
                  </w:r>
                  <w:r>
                    <w:rPr>
                      <w:rFonts w:hint="eastAsia" w:ascii="宋体" w:hAnsi="宋体" w:eastAsia="宋体" w:cs="宋体"/>
                      <w:color w:val="auto"/>
                      <w:sz w:val="21"/>
                      <w:szCs w:val="21"/>
                      <w:lang w:eastAsia="zh-CN"/>
                    </w:rPr>
                    <w:t>位于抚顺县救兵木业和新材料产业园区，租用园区厂房进行建设</w:t>
                  </w:r>
                  <w:r>
                    <w:rPr>
                      <w:rFonts w:hint="eastAsia" w:ascii="Times New Roman" w:hAnsi="Times New Roman" w:eastAsia="宋体" w:cs="Times New Roman"/>
                      <w:color w:val="auto"/>
                      <w:kern w:val="0"/>
                      <w:szCs w:val="21"/>
                      <w:highlight w:val="none"/>
                      <w:lang w:val="en-US" w:eastAsia="zh-CN" w:bidi="ar"/>
                    </w:rPr>
                    <w:t>。</w:t>
                  </w:r>
                  <w:r>
                    <w:rPr>
                      <w:rFonts w:hint="eastAsia"/>
                      <w:color w:val="auto"/>
                      <w:sz w:val="21"/>
                      <w:szCs w:val="21"/>
                      <w:lang w:eastAsia="zh-CN"/>
                    </w:rPr>
                    <w:t>项目用水主要为员工生活用水，用水量较少，可以达到行业先进水平或国内先进水平，符合空间布局要求。</w:t>
                  </w:r>
                </w:p>
              </w:tc>
              <w:tc>
                <w:tcPr>
                  <w:tcW w:w="343" w:type="pct"/>
                  <w:noWrap w:val="0"/>
                  <w:vAlign w:val="center"/>
                </w:tcPr>
                <w:p w14:paraId="0181F72A">
                  <w:pPr>
                    <w:pStyle w:val="13"/>
                    <w:spacing w:line="240" w:lineRule="auto"/>
                    <w:jc w:val="center"/>
                    <w:rPr>
                      <w:rFonts w:ascii="Times New Roman" w:hAnsi="Times New Roman"/>
                      <w:color w:val="auto"/>
                      <w:szCs w:val="21"/>
                      <w:highlight w:val="none"/>
                    </w:rPr>
                  </w:pPr>
                  <w:r>
                    <w:rPr>
                      <w:rFonts w:ascii="Times New Roman" w:hAnsi="Times New Roman"/>
                      <w:color w:val="auto"/>
                      <w:szCs w:val="21"/>
                      <w:highlight w:val="none"/>
                    </w:rPr>
                    <w:t>符合</w:t>
                  </w:r>
                </w:p>
              </w:tc>
            </w:tr>
            <w:tr w14:paraId="7BD863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5" w:type="pct"/>
                  <w:noWrap w:val="0"/>
                  <w:vAlign w:val="center"/>
                </w:tcPr>
                <w:p w14:paraId="3101D750">
                  <w:pPr>
                    <w:pStyle w:val="13"/>
                    <w:spacing w:line="240" w:lineRule="auto"/>
                    <w:rPr>
                      <w:rFonts w:ascii="Times New Roman" w:hAnsi="Times New Roman"/>
                      <w:color w:val="auto"/>
                      <w:szCs w:val="21"/>
                      <w:highlight w:val="none"/>
                    </w:rPr>
                  </w:pPr>
                  <w:r>
                    <w:rPr>
                      <w:rFonts w:ascii="Times New Roman" w:hAnsi="Times New Roman"/>
                      <w:color w:val="auto"/>
                      <w:szCs w:val="21"/>
                      <w:highlight w:val="none"/>
                    </w:rPr>
                    <w:t>污染物排放管控</w:t>
                  </w:r>
                </w:p>
              </w:tc>
              <w:tc>
                <w:tcPr>
                  <w:tcW w:w="2121" w:type="pct"/>
                  <w:noWrap w:val="0"/>
                  <w:vAlign w:val="center"/>
                </w:tcPr>
                <w:p w14:paraId="655103D3">
                  <w:pPr>
                    <w:widowControl/>
                    <w:numPr>
                      <w:ilvl w:val="0"/>
                      <w:numId w:val="0"/>
                    </w:numPr>
                    <w:spacing w:line="240" w:lineRule="auto"/>
                    <w:rPr>
                      <w:rFonts w:hint="default" w:ascii="Times New Roman" w:hAnsi="Times New Roman" w:eastAsia="宋体" w:cs="Times New Roman"/>
                      <w:color w:val="auto"/>
                      <w:kern w:val="0"/>
                      <w:szCs w:val="21"/>
                      <w:highlight w:val="none"/>
                      <w:lang w:val="en-US" w:eastAsia="zh-CN" w:bidi="ar"/>
                    </w:rPr>
                  </w:pPr>
                  <w:r>
                    <w:rPr>
                      <w:rFonts w:ascii="Times New Roman" w:hAnsi="Times New Roman" w:cs="Times New Roman"/>
                      <w:color w:val="auto"/>
                      <w:sz w:val="21"/>
                      <w:szCs w:val="21"/>
                    </w:rPr>
                    <w:t>1.天然气锅炉安装低氮燃烧设施。2.进一步加强集中供暖设施成型生物质燃料、灰渣运输和堆场</w:t>
                  </w:r>
                  <w:r>
                    <w:rPr>
                      <w:rFonts w:hint="eastAsia" w:ascii="Times New Roman" w:hAnsi="Times New Roman" w:cs="Times New Roman"/>
                      <w:color w:val="auto"/>
                      <w:sz w:val="21"/>
                      <w:szCs w:val="21"/>
                      <w:lang w:eastAsia="zh-CN"/>
                    </w:rPr>
                    <w:t>的抑</w:t>
                  </w:r>
                  <w:r>
                    <w:rPr>
                      <w:rFonts w:ascii="Times New Roman" w:hAnsi="Times New Roman" w:cs="Times New Roman"/>
                      <w:color w:val="auto"/>
                      <w:sz w:val="21"/>
                      <w:szCs w:val="21"/>
                    </w:rPr>
                    <w:t>尘措施。3.2020年执行新、改、扩建项目执行特别排放限值。4.严禁将高浓度废水稀释排放。排污口按要求设置环保图形标志，安装流量计、COD在线监测仪，并预留采样监测位点。5.入驻企业废水确定无法循环使用的，必须建设污水预处理设施处理后达标排入污水处理厂。6.园区内</w:t>
                  </w:r>
                  <w:r>
                    <w:rPr>
                      <w:rFonts w:hint="eastAsia" w:ascii="Times New Roman" w:hAnsi="Times New Roman" w:cs="Times New Roman"/>
                      <w:color w:val="auto"/>
                      <w:sz w:val="21"/>
                      <w:szCs w:val="21"/>
                      <w:lang w:eastAsia="zh-CN"/>
                    </w:rPr>
                    <w:t>排放</w:t>
                  </w:r>
                  <w:r>
                    <w:rPr>
                      <w:rFonts w:ascii="Times New Roman" w:hAnsi="Times New Roman" w:cs="Times New Roman"/>
                      <w:color w:val="auto"/>
                      <w:sz w:val="21"/>
                      <w:szCs w:val="21"/>
                    </w:rPr>
                    <w:t>VOCs的企业，配备高效治污设备，实行区域内VOCs排放等量或倍量削减替代，并将替代方案落实到企业排污许可证中，纳入环境执法管理。7.原料、产品及固体废物储存不露天堆放。</w:t>
                  </w:r>
                </w:p>
              </w:tc>
              <w:tc>
                <w:tcPr>
                  <w:tcW w:w="2886" w:type="dxa"/>
                  <w:noWrap w:val="0"/>
                  <w:vAlign w:val="center"/>
                </w:tcPr>
                <w:p w14:paraId="4E945BCF">
                  <w:pPr>
                    <w:pStyle w:val="13"/>
                    <w:spacing w:line="240" w:lineRule="auto"/>
                    <w:rPr>
                      <w:rFonts w:ascii="Times New Roman" w:hAnsi="Times New Roman"/>
                      <w:color w:val="auto"/>
                      <w:kern w:val="0"/>
                      <w:szCs w:val="21"/>
                      <w:highlight w:val="none"/>
                      <w:lang w:bidi="ar"/>
                    </w:rPr>
                  </w:pPr>
                  <w:r>
                    <w:rPr>
                      <w:rFonts w:hint="eastAsia" w:ascii="Times New Roman" w:hAnsi="Times New Roman" w:cs="Times New Roman"/>
                      <w:color w:val="auto"/>
                      <w:spacing w:val="-4"/>
                      <w:sz w:val="21"/>
                      <w:szCs w:val="21"/>
                      <w:highlight w:val="none"/>
                      <w:lang w:eastAsia="zh-CN"/>
                    </w:rPr>
                    <w:t>本项目不涉及锅炉。</w:t>
                  </w:r>
                  <w:r>
                    <w:rPr>
                      <w:rFonts w:hint="eastAsia" w:ascii="Times New Roman" w:hAnsi="Times New Roman" w:cs="Times New Roman"/>
                      <w:color w:val="auto"/>
                      <w:sz w:val="21"/>
                      <w:szCs w:val="21"/>
                      <w:lang w:eastAsia="zh-CN"/>
                    </w:rPr>
                    <w:t>生产过程中产生的颗粒物经集气罩收集</w:t>
                  </w:r>
                  <w:r>
                    <w:rPr>
                      <w:rFonts w:hint="eastAsia" w:ascii="Times New Roman" w:hAnsi="Times New Roman" w:cs="Times New Roman"/>
                      <w:color w:val="auto"/>
                      <w:sz w:val="21"/>
                      <w:szCs w:val="21"/>
                      <w:lang w:val="en-US" w:eastAsia="zh-CN"/>
                    </w:rPr>
                    <w:t>+布袋除尘器+15m高排气筒（</w:t>
                  </w:r>
                  <w:r>
                    <w:rPr>
                      <w:rFonts w:hint="eastAsia" w:ascii="Times New Roman" w:hAnsi="Times New Roman" w:cs="Times New Roman"/>
                      <w:color w:val="auto"/>
                      <w:sz w:val="21"/>
                      <w:szCs w:val="21"/>
                      <w:lang w:val="en-US" w:eastAsia="zh-CN"/>
                    </w:rPr>
                    <w:t>DA001-DA004</w:t>
                  </w:r>
                  <w:r>
                    <w:rPr>
                      <w:rFonts w:hint="eastAsia" w:ascii="Times New Roman" w:hAnsi="Times New Roman" w:cs="Times New Roman"/>
                      <w:color w:val="auto"/>
                      <w:sz w:val="21"/>
                      <w:szCs w:val="21"/>
                      <w:lang w:val="en-US" w:eastAsia="zh-CN"/>
                    </w:rPr>
                    <w:t>）处理后达标排放；辊漆及</w:t>
                  </w:r>
                  <w:r>
                    <w:rPr>
                      <w:rFonts w:hint="eastAsia" w:ascii="Times New Roman" w:hAnsi="Times New Roman" w:eastAsia="宋体" w:cs="Times New Roman"/>
                      <w:color w:val="auto"/>
                      <w:sz w:val="21"/>
                      <w:szCs w:val="21"/>
                      <w:highlight w:val="none"/>
                      <w:lang w:val="en-US" w:eastAsia="zh-CN"/>
                    </w:rPr>
                    <w:t>紫外光</w:t>
                  </w:r>
                  <w:r>
                    <w:rPr>
                      <w:rFonts w:hint="eastAsia" w:ascii="Times New Roman" w:hAnsi="Times New Roman" w:cs="Times New Roman"/>
                      <w:color w:val="auto"/>
                      <w:sz w:val="21"/>
                      <w:szCs w:val="21"/>
                      <w:lang w:val="en-US" w:eastAsia="zh-CN"/>
                    </w:rPr>
                    <w:t>固化工序产生的</w:t>
                  </w:r>
                  <w:r>
                    <w:rPr>
                      <w:rFonts w:hint="eastAsia" w:ascii="Times New Roman" w:hAnsi="Times New Roman" w:cs="Times New Roman"/>
                      <w:color w:val="auto"/>
                      <w:sz w:val="21"/>
                      <w:szCs w:val="21"/>
                      <w:lang w:eastAsia="zh-CN"/>
                    </w:rPr>
                    <w:t>VOC</w:t>
                  </w:r>
                  <w:r>
                    <w:rPr>
                      <w:rFonts w:hint="eastAsia" w:ascii="Times New Roman" w:hAnsi="Times New Roman" w:cs="Times New Roman"/>
                      <w:color w:val="auto"/>
                      <w:sz w:val="21"/>
                      <w:szCs w:val="21"/>
                      <w:vertAlign w:val="subscript"/>
                      <w:lang w:eastAsia="zh-CN"/>
                    </w:rPr>
                    <w:t>S</w:t>
                  </w:r>
                  <w:r>
                    <w:rPr>
                      <w:rFonts w:hint="eastAsia" w:ascii="Times New Roman" w:hAnsi="Times New Roman" w:cs="Times New Roman"/>
                      <w:color w:val="auto"/>
                      <w:sz w:val="21"/>
                      <w:szCs w:val="21"/>
                      <w:lang w:eastAsia="zh-CN"/>
                    </w:rPr>
                    <w:t>经集气罩收集</w:t>
                  </w:r>
                  <w:r>
                    <w:rPr>
                      <w:rFonts w:hint="eastAsia" w:ascii="Times New Roman" w:hAnsi="Times New Roman" w:cs="Times New Roman"/>
                      <w:color w:val="auto"/>
                      <w:sz w:val="21"/>
                      <w:szCs w:val="21"/>
                      <w:lang w:val="en-US" w:eastAsia="zh-CN"/>
                    </w:rPr>
                    <w:t>+</w:t>
                  </w:r>
                  <w:r>
                    <w:rPr>
                      <w:rFonts w:hint="eastAsia" w:ascii="Times New Roman" w:hAnsi="Times New Roman" w:eastAsia="宋体" w:cs="Times New Roman"/>
                      <w:color w:val="auto"/>
                      <w:sz w:val="21"/>
                      <w:szCs w:val="21"/>
                      <w:highlight w:val="none"/>
                      <w:lang w:eastAsia="zh-CN"/>
                    </w:rPr>
                    <w:t>带有自动控制系统的</w:t>
                  </w:r>
                  <w:r>
                    <w:rPr>
                      <w:rFonts w:hint="eastAsia" w:ascii="Times New Roman" w:hAnsi="Times New Roman" w:cs="Times New Roman"/>
                      <w:color w:val="auto"/>
                      <w:sz w:val="21"/>
                      <w:szCs w:val="21"/>
                      <w:lang w:val="en-US" w:eastAsia="zh-CN"/>
                    </w:rPr>
                    <w:t>二级活性炭吸附装置+15m高排气筒（DA005）</w:t>
                  </w:r>
                  <w:r>
                    <w:rPr>
                      <w:rFonts w:hint="eastAsia" w:ascii="Times New Roman" w:hAnsi="Times New Roman" w:cs="Times New Roman"/>
                      <w:color w:val="auto"/>
                      <w:sz w:val="21"/>
                      <w:szCs w:val="21"/>
                      <w:vertAlign w:val="baseline"/>
                      <w:lang w:eastAsia="zh-CN"/>
                    </w:rPr>
                    <w:t>达标排放</w:t>
                  </w:r>
                  <w:r>
                    <w:rPr>
                      <w:rFonts w:hint="eastAsia" w:ascii="Times New Roman" w:hAnsi="Times New Roman" w:cs="Times New Roman"/>
                      <w:color w:val="auto"/>
                      <w:sz w:val="21"/>
                      <w:szCs w:val="21"/>
                      <w:lang w:eastAsia="zh-CN"/>
                    </w:rPr>
                    <w:t>；所有原料、产品及固体废物均不存在露天堆放情况。</w:t>
                  </w:r>
                </w:p>
              </w:tc>
              <w:tc>
                <w:tcPr>
                  <w:tcW w:w="343" w:type="pct"/>
                  <w:noWrap w:val="0"/>
                  <w:vAlign w:val="center"/>
                </w:tcPr>
                <w:p w14:paraId="38AC99CF">
                  <w:pPr>
                    <w:pStyle w:val="13"/>
                    <w:spacing w:line="240" w:lineRule="auto"/>
                    <w:jc w:val="center"/>
                    <w:rPr>
                      <w:rFonts w:ascii="Times New Roman" w:hAnsi="Times New Roman"/>
                      <w:color w:val="auto"/>
                      <w:szCs w:val="21"/>
                      <w:highlight w:val="none"/>
                    </w:rPr>
                  </w:pPr>
                  <w:r>
                    <w:rPr>
                      <w:rFonts w:ascii="Times New Roman" w:hAnsi="Times New Roman"/>
                      <w:color w:val="auto"/>
                      <w:szCs w:val="21"/>
                      <w:highlight w:val="none"/>
                    </w:rPr>
                    <w:t>符合</w:t>
                  </w:r>
                </w:p>
              </w:tc>
            </w:tr>
            <w:tr w14:paraId="24EF64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5" w:type="pct"/>
                  <w:noWrap w:val="0"/>
                  <w:vAlign w:val="center"/>
                </w:tcPr>
                <w:p w14:paraId="50F5B52E">
                  <w:pPr>
                    <w:widowControl/>
                    <w:spacing w:line="240" w:lineRule="auto"/>
                    <w:rPr>
                      <w:color w:val="auto"/>
                      <w:szCs w:val="21"/>
                      <w:highlight w:val="none"/>
                    </w:rPr>
                  </w:pPr>
                  <w:r>
                    <w:rPr>
                      <w:color w:val="auto"/>
                      <w:kern w:val="0"/>
                      <w:szCs w:val="21"/>
                      <w:highlight w:val="none"/>
                      <w:lang w:bidi="ar"/>
                    </w:rPr>
                    <w:t>环境风险防控</w:t>
                  </w:r>
                </w:p>
              </w:tc>
              <w:tc>
                <w:tcPr>
                  <w:tcW w:w="3099" w:type="dxa"/>
                  <w:noWrap w:val="0"/>
                  <w:vAlign w:val="center"/>
                </w:tcPr>
                <w:p w14:paraId="62290724">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kern w:val="0"/>
                      <w:szCs w:val="21"/>
                      <w:highlight w:val="none"/>
                      <w:lang w:val="en-US" w:eastAsia="zh-CN" w:bidi="ar"/>
                    </w:rPr>
                  </w:pPr>
                  <w:r>
                    <w:rPr>
                      <w:rFonts w:ascii="Times New Roman" w:hAnsi="Times New Roman" w:eastAsia="宋体" w:cs="Times New Roman"/>
                      <w:color w:val="auto"/>
                    </w:rPr>
                    <w:t>1.重点企业需设置防渗应急池、比对观测井等防漏和检漏设施；2.实施防渗的区域均设置检漏装置，其中可能泄漏危险废物的重点污染防治区和特殊污染防治区的防渗设置自动检漏装置。3.固体废物（含危险废物）在贮存、转移、利用、处置固体废物（含危险废物）过程中，应配套防扬散、防流失、防渗漏及其他防止污染环境的措施。</w:t>
                  </w:r>
                </w:p>
              </w:tc>
              <w:tc>
                <w:tcPr>
                  <w:tcW w:w="2886" w:type="dxa"/>
                  <w:noWrap w:val="0"/>
                  <w:vAlign w:val="center"/>
                </w:tcPr>
                <w:p w14:paraId="37CF6597">
                  <w:pPr>
                    <w:pStyle w:val="75"/>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Times New Roman" w:hAnsi="Times New Roman" w:eastAsia="宋体"/>
                      <w:color w:val="auto"/>
                      <w:sz w:val="21"/>
                      <w:szCs w:val="21"/>
                      <w:highlight w:val="none"/>
                      <w:lang w:eastAsia="zh-CN"/>
                    </w:rPr>
                  </w:pPr>
                  <w:r>
                    <w:rPr>
                      <w:rFonts w:ascii="Times New Roman" w:hAnsi="Times New Roman" w:cs="Times New Roman"/>
                      <w:color w:val="auto"/>
                      <w:sz w:val="21"/>
                      <w:szCs w:val="21"/>
                    </w:rPr>
                    <w:t>本项目产生的生活垃圾，集中收集后交由环卫部门处置；一般固废中</w:t>
                  </w:r>
                  <w:r>
                    <w:rPr>
                      <w:rFonts w:hint="eastAsia" w:ascii="Times New Roman" w:hAnsi="Times New Roman" w:cs="Times New Roman"/>
                      <w:color w:val="auto"/>
                      <w:sz w:val="21"/>
                      <w:szCs w:val="21"/>
                      <w:lang w:eastAsia="zh-CN"/>
                    </w:rPr>
                    <w:t>除尘器收尘灰</w:t>
                  </w:r>
                  <w:r>
                    <w:rPr>
                      <w:rFonts w:ascii="Times New Roman" w:hAnsi="Times New Roman" w:cs="Times New Roman"/>
                      <w:color w:val="auto"/>
                      <w:sz w:val="21"/>
                      <w:szCs w:val="21"/>
                    </w:rPr>
                    <w:t>、废</w:t>
                  </w:r>
                  <w:r>
                    <w:rPr>
                      <w:rFonts w:hint="eastAsia" w:ascii="Times New Roman" w:hAnsi="Times New Roman" w:cs="Times New Roman"/>
                      <w:color w:val="auto"/>
                      <w:sz w:val="21"/>
                      <w:szCs w:val="21"/>
                      <w:lang w:eastAsia="zh-CN"/>
                    </w:rPr>
                    <w:t>木</w:t>
                  </w:r>
                  <w:r>
                    <w:rPr>
                      <w:rFonts w:ascii="Times New Roman" w:hAnsi="Times New Roman" w:cs="Times New Roman"/>
                      <w:color w:val="auto"/>
                      <w:sz w:val="21"/>
                      <w:szCs w:val="21"/>
                    </w:rPr>
                    <w:t>料</w:t>
                  </w:r>
                  <w:r>
                    <w:rPr>
                      <w:rFonts w:hint="eastAsia" w:ascii="Times New Roman" w:hAnsi="Times New Roman" w:cs="Times New Roman"/>
                      <w:color w:val="auto"/>
                      <w:sz w:val="21"/>
                      <w:szCs w:val="21"/>
                      <w:lang w:eastAsia="zh-CN"/>
                    </w:rPr>
                    <w:t>、废包装膜</w:t>
                  </w:r>
                  <w:r>
                    <w:rPr>
                      <w:rFonts w:ascii="Times New Roman" w:hAnsi="Times New Roman" w:cs="Times New Roman"/>
                      <w:color w:val="auto"/>
                      <w:sz w:val="21"/>
                      <w:szCs w:val="21"/>
                    </w:rPr>
                    <w:t>暂存于一般固废</w:t>
                  </w:r>
                  <w:r>
                    <w:rPr>
                      <w:rFonts w:hint="eastAsia" w:ascii="Times New Roman" w:hAnsi="Times New Roman" w:cs="Times New Roman"/>
                      <w:color w:val="auto"/>
                      <w:sz w:val="21"/>
                      <w:szCs w:val="21"/>
                      <w:lang w:eastAsia="zh-CN"/>
                    </w:rPr>
                    <w:t>暂存</w:t>
                  </w:r>
                  <w:r>
                    <w:rPr>
                      <w:rFonts w:ascii="Times New Roman" w:hAnsi="Times New Roman" w:cs="Times New Roman"/>
                      <w:color w:val="auto"/>
                      <w:sz w:val="21"/>
                      <w:szCs w:val="21"/>
                    </w:rPr>
                    <w:t>间定期外售处置</w:t>
                  </w:r>
                  <w:r>
                    <w:rPr>
                      <w:rFonts w:hint="eastAsia" w:ascii="Times New Roman" w:hAnsi="Times New Roman" w:cs="Times New Roman"/>
                      <w:color w:val="auto"/>
                      <w:sz w:val="21"/>
                      <w:szCs w:val="21"/>
                      <w:lang w:eastAsia="zh-CN"/>
                    </w:rPr>
                    <w:t>，废布袋定期由厂家更换回收</w:t>
                  </w:r>
                  <w:r>
                    <w:rPr>
                      <w:rFonts w:ascii="Times New Roman" w:hAnsi="Times New Roman" w:cs="Times New Roman"/>
                      <w:color w:val="auto"/>
                      <w:sz w:val="21"/>
                      <w:szCs w:val="21"/>
                    </w:rPr>
                    <w:t>；</w:t>
                  </w:r>
                  <w:r>
                    <w:rPr>
                      <w:rFonts w:hint="eastAsia" w:ascii="Times New Roman" w:hAnsi="Times New Roman" w:cs="Times New Roman"/>
                      <w:color w:val="auto"/>
                      <w:sz w:val="21"/>
                      <w:szCs w:val="21"/>
                      <w:lang w:eastAsia="zh-CN"/>
                    </w:rPr>
                    <w:t>除废辊筒不在厂内贮存，</w:t>
                  </w:r>
                  <w:r>
                    <w:rPr>
                      <w:rFonts w:hint="eastAsia" w:ascii="Times New Roman" w:hAnsi="Times New Roman" w:eastAsia="宋体" w:cs="Times New Roman"/>
                      <w:color w:val="auto"/>
                      <w:sz w:val="21"/>
                      <w:szCs w:val="21"/>
                      <w:lang w:val="en-US" w:eastAsia="zh-CN"/>
                    </w:rPr>
                    <w:t>由</w:t>
                  </w:r>
                  <w:r>
                    <w:rPr>
                      <w:rFonts w:hint="eastAsia" w:ascii="Times New Roman" w:hAnsi="Times New Roman" w:eastAsia="宋体" w:cs="Times New Roman"/>
                      <w:color w:val="auto"/>
                      <w:sz w:val="21"/>
                      <w:szCs w:val="21"/>
                      <w:lang w:eastAsia="zh-CN"/>
                    </w:rPr>
                    <w:t>委托的资质单位直接运走处置，</w:t>
                  </w:r>
                  <w:r>
                    <w:rPr>
                      <w:rFonts w:hint="eastAsia" w:ascii="Times New Roman" w:hAnsi="Times New Roman" w:cs="Times New Roman"/>
                      <w:color w:val="auto"/>
                      <w:sz w:val="21"/>
                      <w:szCs w:val="21"/>
                      <w:lang w:eastAsia="zh-CN"/>
                    </w:rPr>
                    <w:t>其余</w:t>
                  </w:r>
                  <w:r>
                    <w:rPr>
                      <w:rFonts w:ascii="Times New Roman" w:hAnsi="Times New Roman" w:cs="Times New Roman"/>
                      <w:color w:val="auto"/>
                      <w:sz w:val="21"/>
                      <w:szCs w:val="21"/>
                    </w:rPr>
                    <w:t>危险废物暂存于</w:t>
                  </w:r>
                  <w:r>
                    <w:rPr>
                      <w:rFonts w:hint="eastAsia" w:ascii="Times New Roman" w:hAnsi="Times New Roman" w:cs="Times New Roman"/>
                      <w:color w:val="auto"/>
                      <w:sz w:val="21"/>
                      <w:szCs w:val="21"/>
                      <w:lang w:eastAsia="zh-CN"/>
                    </w:rPr>
                    <w:t>危险废物贮存点</w:t>
                  </w:r>
                  <w:r>
                    <w:rPr>
                      <w:rFonts w:ascii="Times New Roman" w:hAnsi="Times New Roman" w:cs="Times New Roman"/>
                      <w:color w:val="auto"/>
                      <w:sz w:val="21"/>
                      <w:szCs w:val="21"/>
                    </w:rPr>
                    <w:t>，委托</w:t>
                  </w:r>
                  <w:r>
                    <w:rPr>
                      <w:rFonts w:hint="eastAsia" w:ascii="Times New Roman" w:hAnsi="Times New Roman" w:cs="Times New Roman"/>
                      <w:color w:val="auto"/>
                      <w:sz w:val="21"/>
                      <w:szCs w:val="21"/>
                      <w:lang w:eastAsia="zh-CN"/>
                    </w:rPr>
                    <w:t>有资质单位</w:t>
                  </w:r>
                  <w:r>
                    <w:rPr>
                      <w:rFonts w:ascii="Times New Roman" w:hAnsi="Times New Roman" w:cs="Times New Roman"/>
                      <w:color w:val="auto"/>
                      <w:sz w:val="21"/>
                      <w:szCs w:val="21"/>
                    </w:rPr>
                    <w:t>处置。</w:t>
                  </w:r>
                </w:p>
              </w:tc>
              <w:tc>
                <w:tcPr>
                  <w:tcW w:w="343" w:type="pct"/>
                  <w:noWrap w:val="0"/>
                  <w:vAlign w:val="center"/>
                </w:tcPr>
                <w:p w14:paraId="283284C0">
                  <w:pPr>
                    <w:pStyle w:val="13"/>
                    <w:spacing w:line="240" w:lineRule="auto"/>
                    <w:jc w:val="center"/>
                    <w:rPr>
                      <w:rFonts w:ascii="Times New Roman" w:hAnsi="Times New Roman"/>
                      <w:color w:val="auto"/>
                      <w:szCs w:val="21"/>
                      <w:highlight w:val="none"/>
                    </w:rPr>
                  </w:pPr>
                  <w:r>
                    <w:rPr>
                      <w:rFonts w:ascii="Times New Roman" w:hAnsi="Times New Roman"/>
                      <w:color w:val="auto"/>
                      <w:szCs w:val="21"/>
                      <w:highlight w:val="none"/>
                    </w:rPr>
                    <w:t>符合</w:t>
                  </w:r>
                </w:p>
              </w:tc>
            </w:tr>
            <w:tr w14:paraId="1F98B8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5" w:type="pct"/>
                  <w:noWrap w:val="0"/>
                  <w:vAlign w:val="center"/>
                </w:tcPr>
                <w:p w14:paraId="365085E3">
                  <w:pPr>
                    <w:widowControl/>
                    <w:spacing w:line="240" w:lineRule="auto"/>
                    <w:rPr>
                      <w:color w:val="auto"/>
                      <w:szCs w:val="21"/>
                      <w:highlight w:val="none"/>
                    </w:rPr>
                  </w:pPr>
                  <w:r>
                    <w:rPr>
                      <w:color w:val="auto"/>
                      <w:kern w:val="0"/>
                      <w:szCs w:val="21"/>
                      <w:highlight w:val="none"/>
                      <w:lang w:bidi="ar"/>
                    </w:rPr>
                    <w:t>资源开发效率要求</w:t>
                  </w:r>
                </w:p>
              </w:tc>
              <w:tc>
                <w:tcPr>
                  <w:tcW w:w="3099" w:type="dxa"/>
                  <w:noWrap w:val="0"/>
                  <w:vAlign w:val="center"/>
                </w:tcPr>
                <w:p w14:paraId="0F4D0EC4">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kern w:val="0"/>
                      <w:szCs w:val="21"/>
                      <w:highlight w:val="none"/>
                      <w:lang w:val="en-US" w:eastAsia="zh-CN" w:bidi="ar"/>
                    </w:rPr>
                  </w:pPr>
                  <w:r>
                    <w:rPr>
                      <w:rFonts w:ascii="Times New Roman" w:hAnsi="Times New Roman" w:eastAsia="宋体" w:cs="Times New Roman"/>
                      <w:color w:val="auto"/>
                    </w:rPr>
                    <w:t>1.禁止在规划区内使用高污染燃料设施，提倡天然气、电及其他清洁能源。2.园区内企业应开展企业内工业用水的循环利用，提高循环水重复利用率。工业用水重复利用率达到85%。</w:t>
                  </w:r>
                </w:p>
              </w:tc>
              <w:tc>
                <w:tcPr>
                  <w:tcW w:w="2886" w:type="dxa"/>
                  <w:noWrap w:val="0"/>
                  <w:vAlign w:val="center"/>
                </w:tcPr>
                <w:p w14:paraId="12A60E42">
                  <w:pPr>
                    <w:pStyle w:val="75"/>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Times New Roman" w:hAnsi="Times New Roman" w:eastAsia="宋体"/>
                      <w:color w:val="auto"/>
                      <w:szCs w:val="21"/>
                      <w:highlight w:val="none"/>
                      <w:lang w:eastAsia="zh-CN"/>
                    </w:rPr>
                  </w:pPr>
                  <w:r>
                    <w:rPr>
                      <w:rFonts w:ascii="Times New Roman" w:hAnsi="Times New Roman" w:cs="Times New Roman"/>
                      <w:color w:val="auto"/>
                      <w:sz w:val="21"/>
                      <w:szCs w:val="21"/>
                    </w:rPr>
                    <w:t>本项目用水为生活用水</w:t>
                  </w:r>
                  <w:r>
                    <w:rPr>
                      <w:rFonts w:hint="eastAsia" w:ascii="Times New Roman" w:hAnsi="Times New Roman" w:cs="Times New Roman"/>
                      <w:color w:val="auto"/>
                      <w:sz w:val="21"/>
                      <w:szCs w:val="21"/>
                      <w:lang w:eastAsia="zh-CN"/>
                    </w:rPr>
                    <w:t>；不涉及高污染燃料使用</w:t>
                  </w:r>
                  <w:r>
                    <w:rPr>
                      <w:rFonts w:ascii="Times New Roman" w:hAnsi="Times New Roman" w:cs="Times New Roman"/>
                      <w:color w:val="auto"/>
                      <w:sz w:val="21"/>
                      <w:szCs w:val="21"/>
                    </w:rPr>
                    <w:t>。</w:t>
                  </w:r>
                </w:p>
              </w:tc>
              <w:tc>
                <w:tcPr>
                  <w:tcW w:w="343" w:type="pct"/>
                  <w:noWrap w:val="0"/>
                  <w:vAlign w:val="center"/>
                </w:tcPr>
                <w:p w14:paraId="11741EEB">
                  <w:pPr>
                    <w:pStyle w:val="13"/>
                    <w:spacing w:line="240" w:lineRule="auto"/>
                    <w:jc w:val="center"/>
                    <w:rPr>
                      <w:rFonts w:ascii="Times New Roman" w:hAnsi="Times New Roman"/>
                      <w:color w:val="auto"/>
                      <w:szCs w:val="21"/>
                      <w:highlight w:val="none"/>
                    </w:rPr>
                  </w:pPr>
                  <w:r>
                    <w:rPr>
                      <w:rFonts w:ascii="Times New Roman" w:hAnsi="Times New Roman"/>
                      <w:color w:val="auto"/>
                      <w:szCs w:val="21"/>
                      <w:highlight w:val="none"/>
                    </w:rPr>
                    <w:t>符合</w:t>
                  </w:r>
                </w:p>
              </w:tc>
            </w:tr>
          </w:tbl>
          <w:p w14:paraId="3A01FF72">
            <w:pPr>
              <w:tabs>
                <w:tab w:val="left" w:pos="1064"/>
              </w:tabs>
              <w:rPr>
                <w:color w:val="auto"/>
                <w:highlight w:val="none"/>
              </w:rPr>
            </w:pPr>
          </w:p>
          <w:p w14:paraId="71D8FF56">
            <w:pPr>
              <w:pStyle w:val="59"/>
              <w:spacing w:line="360" w:lineRule="auto"/>
              <w:ind w:firstLine="0" w:firstLineChars="0"/>
              <w:rPr>
                <w:rFonts w:hint="eastAsia" w:ascii="Times New Roman" w:hAnsi="Times New Roman" w:eastAsia="宋体" w:cs="Times New Roman"/>
                <w:b w:val="0"/>
                <w:bCs w:val="0"/>
                <w:color w:val="auto"/>
                <w:sz w:val="24"/>
                <w:highlight w:val="none"/>
                <w:lang w:eastAsia="zh-CN"/>
              </w:rPr>
            </w:pPr>
            <w:r>
              <w:rPr>
                <w:rFonts w:hint="eastAsia" w:ascii="Times New Roman" w:hAnsi="Times New Roman" w:eastAsia="宋体" w:cs="Times New Roman"/>
                <w:b w:val="0"/>
                <w:bCs w:val="0"/>
                <w:color w:val="auto"/>
                <w:sz w:val="24"/>
                <w:highlight w:val="none"/>
                <w:lang w:val="en-US" w:eastAsia="zh-CN"/>
              </w:rPr>
              <w:t>3</w:t>
            </w:r>
            <w:r>
              <w:rPr>
                <w:rFonts w:hint="eastAsia" w:ascii="Times New Roman" w:hAnsi="Times New Roman" w:eastAsia="宋体" w:cs="Times New Roman"/>
                <w:b w:val="0"/>
                <w:bCs w:val="0"/>
                <w:color w:val="auto"/>
                <w:sz w:val="24"/>
                <w:highlight w:val="none"/>
                <w:lang w:eastAsia="zh-CN"/>
              </w:rPr>
              <w:t>、项目与《抚顺县产业园区环境准入负面清单》符合性分析</w:t>
            </w:r>
          </w:p>
          <w:p w14:paraId="439E60CE">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本项目与《</w:t>
            </w:r>
            <w:r>
              <w:rPr>
                <w:rFonts w:hint="eastAsia" w:ascii="Times New Roman" w:hAnsi="Times New Roman" w:eastAsia="宋体" w:cs="Times New Roman"/>
                <w:b w:val="0"/>
                <w:bCs w:val="0"/>
                <w:color w:val="auto"/>
                <w:sz w:val="24"/>
                <w:szCs w:val="24"/>
                <w:lang w:eastAsia="zh-CN"/>
              </w:rPr>
              <w:t>抚顺县产业园区环境准入负面清单》</w:t>
            </w:r>
            <w:r>
              <w:rPr>
                <w:rFonts w:hint="eastAsia" w:ascii="Times New Roman" w:hAnsi="Times New Roman" w:eastAsia="宋体" w:cs="Times New Roman"/>
                <w:color w:val="auto"/>
                <w:sz w:val="24"/>
                <w:szCs w:val="24"/>
                <w:lang w:eastAsia="zh-CN"/>
              </w:rPr>
              <w:t>符合性分析详见下表。</w:t>
            </w:r>
          </w:p>
          <w:p w14:paraId="439B5D25">
            <w:pPr>
              <w:pStyle w:val="75"/>
              <w:keepNext w:val="0"/>
              <w:keepLines w:val="0"/>
              <w:pageBreakBefore w:val="0"/>
              <w:widowControl w:val="0"/>
              <w:numPr>
                <w:ilvl w:val="0"/>
                <w:numId w:val="4"/>
              </w:numPr>
              <w:kinsoku/>
              <w:wordWrap/>
              <w:overflowPunct/>
              <w:topLinePunct w:val="0"/>
              <w:autoSpaceDE/>
              <w:autoSpaceDN/>
              <w:bidi w:val="0"/>
              <w:adjustRightInd/>
              <w:snapToGrid/>
              <w:spacing w:line="360" w:lineRule="auto"/>
              <w:ind w:left="0" w:leftChars="0" w:firstLine="0" w:firstLineChars="0"/>
              <w:jc w:val="center"/>
              <w:textAlignment w:val="auto"/>
              <w:rPr>
                <w:rFonts w:hint="eastAsia" w:ascii="Times New Roman" w:hAnsi="Times New Roman" w:eastAsia="宋体" w:cs="Times New Roman"/>
                <w:b/>
                <w:bCs/>
                <w:color w:val="auto"/>
                <w:sz w:val="21"/>
                <w:szCs w:val="21"/>
                <w:lang w:val="en-US" w:eastAsia="zh-CN"/>
              </w:rPr>
            </w:pPr>
            <w:r>
              <w:rPr>
                <w:rFonts w:hint="eastAsia" w:ascii="Times New Roman" w:hAnsi="Times New Roman" w:eastAsia="宋体" w:cs="Times New Roman"/>
                <w:b/>
                <w:bCs/>
                <w:color w:val="auto"/>
                <w:sz w:val="21"/>
                <w:szCs w:val="21"/>
                <w:lang w:val="en-US" w:eastAsia="zh-CN"/>
              </w:rPr>
              <w:t xml:space="preserve">  与《抚顺县产业园区环境准入负面清单》相符性分析</w:t>
            </w:r>
          </w:p>
          <w:tbl>
            <w:tblPr>
              <w:tblStyle w:val="25"/>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55"/>
              <w:gridCol w:w="3825"/>
              <w:gridCol w:w="2106"/>
              <w:gridCol w:w="426"/>
            </w:tblGrid>
            <w:tr w14:paraId="2451B2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02" w:type="pct"/>
                  <w:tcBorders>
                    <w:tl2br w:val="nil"/>
                    <w:tr2bl w:val="nil"/>
                  </w:tcBorders>
                  <w:noWrap w:val="0"/>
                  <w:vAlign w:val="center"/>
                </w:tcPr>
                <w:p w14:paraId="5B0C26AB">
                  <w:pPr>
                    <w:pStyle w:val="49"/>
                    <w:keepNext w:val="0"/>
                    <w:keepLines w:val="0"/>
                    <w:pageBreakBefore w:val="0"/>
                    <w:widowControl w:val="0"/>
                    <w:kinsoku/>
                    <w:wordWrap/>
                    <w:overflowPunct/>
                    <w:topLinePunct w:val="0"/>
                    <w:autoSpaceDE/>
                    <w:autoSpaceDN/>
                    <w:bidi w:val="0"/>
                    <w:adjustRightInd w:val="0"/>
                    <w:snapToGrid w:val="0"/>
                    <w:spacing w:beforeLines="0" w:afterLines="0" w:line="240" w:lineRule="auto"/>
                    <w:textAlignment w:val="auto"/>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eastAsia="zh-CN"/>
                    </w:rPr>
                    <w:t>管控类型</w:t>
                  </w:r>
                </w:p>
              </w:tc>
              <w:tc>
                <w:tcPr>
                  <w:tcW w:w="2867" w:type="pct"/>
                  <w:tcBorders>
                    <w:tl2br w:val="nil"/>
                    <w:tr2bl w:val="nil"/>
                  </w:tcBorders>
                  <w:noWrap w:val="0"/>
                  <w:vAlign w:val="center"/>
                </w:tcPr>
                <w:p w14:paraId="225EA52F">
                  <w:pPr>
                    <w:pStyle w:val="49"/>
                    <w:keepNext w:val="0"/>
                    <w:keepLines w:val="0"/>
                    <w:pageBreakBefore w:val="0"/>
                    <w:widowControl w:val="0"/>
                    <w:kinsoku/>
                    <w:wordWrap/>
                    <w:overflowPunct/>
                    <w:topLinePunct w:val="0"/>
                    <w:autoSpaceDE/>
                    <w:autoSpaceDN/>
                    <w:bidi w:val="0"/>
                    <w:adjustRightInd w:val="0"/>
                    <w:snapToGrid w:val="0"/>
                    <w:spacing w:beforeLines="0" w:afterLines="0" w:line="240" w:lineRule="auto"/>
                    <w:textAlignment w:val="auto"/>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管控要求</w:t>
                  </w:r>
                </w:p>
              </w:tc>
              <w:tc>
                <w:tcPr>
                  <w:tcW w:w="1225" w:type="pct"/>
                  <w:tcBorders>
                    <w:tl2br w:val="nil"/>
                    <w:tr2bl w:val="nil"/>
                  </w:tcBorders>
                  <w:noWrap w:val="0"/>
                  <w:vAlign w:val="center"/>
                </w:tcPr>
                <w:p w14:paraId="73BF469F">
                  <w:pPr>
                    <w:pStyle w:val="49"/>
                    <w:keepNext w:val="0"/>
                    <w:keepLines w:val="0"/>
                    <w:pageBreakBefore w:val="0"/>
                    <w:widowControl w:val="0"/>
                    <w:kinsoku/>
                    <w:wordWrap/>
                    <w:overflowPunct/>
                    <w:topLinePunct w:val="0"/>
                    <w:autoSpaceDE/>
                    <w:autoSpaceDN/>
                    <w:bidi w:val="0"/>
                    <w:adjustRightInd w:val="0"/>
                    <w:snapToGrid w:val="0"/>
                    <w:spacing w:beforeLines="0" w:afterLines="0" w:line="240" w:lineRule="auto"/>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项目具体情况</w:t>
                  </w:r>
                </w:p>
              </w:tc>
              <w:tc>
                <w:tcPr>
                  <w:tcW w:w="405" w:type="pct"/>
                  <w:tcBorders>
                    <w:tl2br w:val="nil"/>
                    <w:tr2bl w:val="nil"/>
                  </w:tcBorders>
                  <w:noWrap w:val="0"/>
                  <w:vAlign w:val="center"/>
                </w:tcPr>
                <w:p w14:paraId="7706A505">
                  <w:pPr>
                    <w:pStyle w:val="49"/>
                    <w:keepNext w:val="0"/>
                    <w:keepLines w:val="0"/>
                    <w:pageBreakBefore w:val="0"/>
                    <w:widowControl w:val="0"/>
                    <w:kinsoku/>
                    <w:wordWrap/>
                    <w:overflowPunct/>
                    <w:topLinePunct w:val="0"/>
                    <w:autoSpaceDE/>
                    <w:autoSpaceDN/>
                    <w:bidi w:val="0"/>
                    <w:adjustRightInd w:val="0"/>
                    <w:snapToGrid w:val="0"/>
                    <w:spacing w:beforeLines="0" w:afterLines="0" w:line="240" w:lineRule="auto"/>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符合性</w:t>
                  </w:r>
                </w:p>
              </w:tc>
            </w:tr>
            <w:tr w14:paraId="447C9E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02" w:type="pct"/>
                  <w:tcBorders>
                    <w:tl2br w:val="nil"/>
                    <w:tr2bl w:val="nil"/>
                  </w:tcBorders>
                  <w:noWrap w:val="0"/>
                  <w:vAlign w:val="center"/>
                </w:tcPr>
                <w:p w14:paraId="2F373B28">
                  <w:pPr>
                    <w:pStyle w:val="49"/>
                    <w:keepNext w:val="0"/>
                    <w:keepLines w:val="0"/>
                    <w:pageBreakBefore w:val="0"/>
                    <w:widowControl w:val="0"/>
                    <w:kinsoku/>
                    <w:wordWrap/>
                    <w:overflowPunct/>
                    <w:topLinePunct w:val="0"/>
                    <w:autoSpaceDE/>
                    <w:autoSpaceDN/>
                    <w:bidi w:val="0"/>
                    <w:adjustRightInd w:val="0"/>
                    <w:snapToGrid w:val="0"/>
                    <w:spacing w:beforeLines="0" w:afterLines="0" w:line="240" w:lineRule="auto"/>
                    <w:jc w:val="center"/>
                    <w:textAlignment w:val="auto"/>
                    <w:rPr>
                      <w:rFonts w:hint="default"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val="en-US" w:eastAsia="zh-CN"/>
                    </w:rPr>
                    <w:t>产业发展定位</w:t>
                  </w:r>
                </w:p>
              </w:tc>
              <w:tc>
                <w:tcPr>
                  <w:tcW w:w="2867" w:type="pct"/>
                  <w:tcBorders>
                    <w:tl2br w:val="nil"/>
                    <w:tr2bl w:val="nil"/>
                  </w:tcBorders>
                  <w:noWrap w:val="0"/>
                  <w:vAlign w:val="center"/>
                </w:tcPr>
                <w:p w14:paraId="1229F251">
                  <w:pPr>
                    <w:pStyle w:val="49"/>
                    <w:keepNext w:val="0"/>
                    <w:keepLines w:val="0"/>
                    <w:pageBreakBefore w:val="0"/>
                    <w:widowControl w:val="0"/>
                    <w:kinsoku/>
                    <w:wordWrap/>
                    <w:overflowPunct/>
                    <w:topLinePunct w:val="0"/>
                    <w:autoSpaceDE/>
                    <w:autoSpaceDN/>
                    <w:bidi w:val="0"/>
                    <w:adjustRightInd w:val="0"/>
                    <w:snapToGrid w:val="0"/>
                    <w:spacing w:beforeLines="0" w:afterLines="0" w:line="240" w:lineRule="auto"/>
                    <w:jc w:val="both"/>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打造“一区四园”的产业布局结构。抚顺县产业园区核心区（石文再生资源产业园、石文铁矿业产业园）石文再生资源产业园未来将以再生资源产业为主要产业，石文铁矿业产业园新材料产业为主要产业。救兵木业产业园将以木业为主导产业，并构建东北亚木业交易中心。海浪应急产业园A园未来主要以应急服务业为主导，海浪应急产业园B区未来主要以公共卫生应急产业为主导，主要功能为应急物资生产、应急装备制造区。</w:t>
                  </w:r>
                </w:p>
              </w:tc>
              <w:tc>
                <w:tcPr>
                  <w:tcW w:w="1225" w:type="pct"/>
                  <w:tcBorders>
                    <w:tl2br w:val="nil"/>
                    <w:tr2bl w:val="nil"/>
                  </w:tcBorders>
                  <w:noWrap w:val="0"/>
                  <w:vAlign w:val="center"/>
                </w:tcPr>
                <w:p w14:paraId="7C1E9561">
                  <w:pPr>
                    <w:pStyle w:val="49"/>
                    <w:keepNext w:val="0"/>
                    <w:keepLines w:val="0"/>
                    <w:pageBreakBefore w:val="0"/>
                    <w:widowControl w:val="0"/>
                    <w:kinsoku/>
                    <w:wordWrap/>
                    <w:overflowPunct/>
                    <w:topLinePunct w:val="0"/>
                    <w:autoSpaceDE/>
                    <w:autoSpaceDN/>
                    <w:bidi w:val="0"/>
                    <w:adjustRightInd w:val="0"/>
                    <w:snapToGrid w:val="0"/>
                    <w:spacing w:beforeLines="0" w:afterLines="0" w:line="240" w:lineRule="auto"/>
                    <w:textAlignment w:val="auto"/>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本项目位于救兵木业产业园内（现已更名为抚顺县救兵木业和新材料产业园区），生产产品为木地板，符合“</w:t>
                  </w:r>
                  <w:r>
                    <w:rPr>
                      <w:rFonts w:hint="eastAsia" w:ascii="Times New Roman" w:hAnsi="Times New Roman" w:eastAsia="宋体" w:cs="Times New Roman"/>
                      <w:color w:val="auto"/>
                      <w:sz w:val="21"/>
                      <w:szCs w:val="21"/>
                      <w:lang w:val="en-US" w:eastAsia="zh-CN"/>
                    </w:rPr>
                    <w:t>救兵木业产业园将以木业为主导产业</w:t>
                  </w:r>
                  <w:r>
                    <w:rPr>
                      <w:rFonts w:hint="eastAsia" w:ascii="Times New Roman" w:hAnsi="Times New Roman" w:eastAsia="宋体" w:cs="Times New Roman"/>
                      <w:color w:val="auto"/>
                      <w:sz w:val="21"/>
                      <w:szCs w:val="21"/>
                      <w:lang w:eastAsia="zh-CN"/>
                    </w:rPr>
                    <w:t>”的要求。</w:t>
                  </w:r>
                </w:p>
              </w:tc>
              <w:tc>
                <w:tcPr>
                  <w:tcW w:w="405" w:type="pct"/>
                  <w:tcBorders>
                    <w:tl2br w:val="nil"/>
                    <w:tr2bl w:val="nil"/>
                  </w:tcBorders>
                  <w:noWrap w:val="0"/>
                  <w:vAlign w:val="center"/>
                </w:tcPr>
                <w:p w14:paraId="69CCBAD6">
                  <w:pPr>
                    <w:pStyle w:val="49"/>
                    <w:keepNext w:val="0"/>
                    <w:keepLines w:val="0"/>
                    <w:pageBreakBefore w:val="0"/>
                    <w:widowControl w:val="0"/>
                    <w:kinsoku/>
                    <w:wordWrap/>
                    <w:overflowPunct/>
                    <w:topLinePunct w:val="0"/>
                    <w:autoSpaceDE/>
                    <w:autoSpaceDN/>
                    <w:bidi w:val="0"/>
                    <w:adjustRightInd w:val="0"/>
                    <w:snapToGrid w:val="0"/>
                    <w:spacing w:beforeLines="0" w:afterLines="0" w:line="240" w:lineRule="auto"/>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310999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02" w:type="pct"/>
                  <w:tcBorders>
                    <w:tl2br w:val="nil"/>
                    <w:tr2bl w:val="nil"/>
                  </w:tcBorders>
                  <w:noWrap w:val="0"/>
                  <w:vAlign w:val="center"/>
                </w:tcPr>
                <w:p w14:paraId="6CC7CE25">
                  <w:pPr>
                    <w:pStyle w:val="49"/>
                    <w:keepNext w:val="0"/>
                    <w:keepLines w:val="0"/>
                    <w:pageBreakBefore w:val="0"/>
                    <w:widowControl w:val="0"/>
                    <w:kinsoku/>
                    <w:wordWrap/>
                    <w:overflowPunct/>
                    <w:topLinePunct w:val="0"/>
                    <w:autoSpaceDE/>
                    <w:autoSpaceDN/>
                    <w:bidi w:val="0"/>
                    <w:adjustRightInd w:val="0"/>
                    <w:snapToGrid w:val="0"/>
                    <w:spacing w:beforeLines="0" w:afterLines="0" w:line="240" w:lineRule="auto"/>
                    <w:jc w:val="center"/>
                    <w:textAlignment w:val="auto"/>
                    <w:rPr>
                      <w:rFonts w:hint="default"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val="en-US" w:eastAsia="zh-CN"/>
                    </w:rPr>
                    <w:t>空间布局约束</w:t>
                  </w:r>
                </w:p>
              </w:tc>
              <w:tc>
                <w:tcPr>
                  <w:tcW w:w="2867" w:type="pct"/>
                  <w:tcBorders>
                    <w:tl2br w:val="nil"/>
                    <w:tr2bl w:val="nil"/>
                  </w:tcBorders>
                  <w:noWrap w:val="0"/>
                  <w:vAlign w:val="center"/>
                </w:tcPr>
                <w:p w14:paraId="3F610BAC">
                  <w:pPr>
                    <w:pStyle w:val="49"/>
                    <w:keepNext w:val="0"/>
                    <w:keepLines w:val="0"/>
                    <w:pageBreakBefore w:val="0"/>
                    <w:widowControl w:val="0"/>
                    <w:numPr>
                      <w:ilvl w:val="0"/>
                      <w:numId w:val="5"/>
                    </w:numPr>
                    <w:kinsoku/>
                    <w:wordWrap/>
                    <w:overflowPunct/>
                    <w:topLinePunct w:val="0"/>
                    <w:autoSpaceDE/>
                    <w:autoSpaceDN/>
                    <w:bidi w:val="0"/>
                    <w:adjustRightInd w:val="0"/>
                    <w:snapToGrid w:val="0"/>
                    <w:spacing w:beforeLines="0" w:afterLines="0" w:line="240" w:lineRule="auto"/>
                    <w:jc w:val="both"/>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严格限制布设以钢铁、建材、石化、化工、金属冶炼等高污染行业为主导产业的园区</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eastAsia="zh-CN"/>
                    </w:rPr>
                    <w:t>严格项目引入政策，严控以大气污染为主的企业。禁止新建除集中供热外的燃煤锅炉，禁止新建涉及有毒有害气体排放的项目</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eastAsia="zh-CN"/>
                    </w:rPr>
                    <w:t>优先实施清洁能源替代。</w:t>
                  </w:r>
                </w:p>
                <w:p w14:paraId="39D21DD4">
                  <w:pPr>
                    <w:pStyle w:val="49"/>
                    <w:keepNext w:val="0"/>
                    <w:keepLines w:val="0"/>
                    <w:pageBreakBefore w:val="0"/>
                    <w:widowControl w:val="0"/>
                    <w:numPr>
                      <w:ilvl w:val="0"/>
                      <w:numId w:val="5"/>
                    </w:numPr>
                    <w:kinsoku/>
                    <w:wordWrap/>
                    <w:overflowPunct/>
                    <w:topLinePunct w:val="0"/>
                    <w:autoSpaceDE/>
                    <w:autoSpaceDN/>
                    <w:bidi w:val="0"/>
                    <w:adjustRightInd w:val="0"/>
                    <w:snapToGrid w:val="0"/>
                    <w:spacing w:beforeLines="0" w:afterLines="0" w:line="240" w:lineRule="auto"/>
                    <w:ind w:left="0" w:leftChars="0" w:firstLine="0" w:firstLineChars="0"/>
                    <w:jc w:val="both"/>
                    <w:textAlignment w:val="auto"/>
                    <w:rPr>
                      <w:rFonts w:hint="eastAsia"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重大风险源布局尽可能相对独立、</w:t>
                  </w:r>
                  <w:r>
                    <w:rPr>
                      <w:rFonts w:hint="eastAsia" w:ascii="Times New Roman" w:hAnsi="Times New Roman" w:eastAsia="宋体" w:cs="Times New Roman"/>
                      <w:color w:val="auto"/>
                      <w:sz w:val="21"/>
                      <w:szCs w:val="21"/>
                      <w:lang w:eastAsia="zh-CN"/>
                    </w:rPr>
                    <w:t>自成体系</w:t>
                  </w:r>
                  <w:r>
                    <w:rPr>
                      <w:rFonts w:hint="default" w:ascii="Times New Roman" w:hAnsi="Times New Roman" w:eastAsia="宋体" w:cs="Times New Roman"/>
                      <w:color w:val="auto"/>
                      <w:sz w:val="21"/>
                      <w:szCs w:val="21"/>
                      <w:lang w:eastAsia="zh-CN"/>
                    </w:rPr>
                    <w:t>，确保事故发生时，各系统间不发生连锁反应</w:t>
                  </w:r>
                  <w:r>
                    <w:rPr>
                      <w:rFonts w:hint="eastAsia" w:ascii="Times New Roman" w:hAnsi="Times New Roman" w:eastAsia="宋体" w:cs="Times New Roman"/>
                      <w:color w:val="auto"/>
                      <w:sz w:val="21"/>
                      <w:szCs w:val="21"/>
                      <w:lang w:eastAsia="zh-CN"/>
                    </w:rPr>
                    <w:t>。</w:t>
                  </w:r>
                </w:p>
                <w:p w14:paraId="5AF60EEE">
                  <w:pPr>
                    <w:pStyle w:val="49"/>
                    <w:keepNext w:val="0"/>
                    <w:keepLines w:val="0"/>
                    <w:pageBreakBefore w:val="0"/>
                    <w:widowControl w:val="0"/>
                    <w:numPr>
                      <w:ilvl w:val="0"/>
                      <w:numId w:val="5"/>
                    </w:numPr>
                    <w:kinsoku/>
                    <w:wordWrap/>
                    <w:overflowPunct/>
                    <w:topLinePunct w:val="0"/>
                    <w:autoSpaceDE/>
                    <w:autoSpaceDN/>
                    <w:bidi w:val="0"/>
                    <w:adjustRightInd w:val="0"/>
                    <w:snapToGrid w:val="0"/>
                    <w:spacing w:beforeLines="0" w:afterLines="0" w:line="240" w:lineRule="auto"/>
                    <w:ind w:left="0" w:leftChars="0" w:firstLine="0" w:firstLineChars="0"/>
                    <w:jc w:val="both"/>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根据抚顺县空间管控规划图，本规划不涉及土地利用空间管制中的禁止建设区，目前规划园区用地为允许建设区、有条件建设区及限制建设区。规划范围内的有条件建设区根据不同区域土地管控的要求，依法办理用地手续，根据土地性质转化情况合理确定开发时序，在土地性质未转化成建设用地前，严禁进行任何开发建设。规划范围内的限制建设区土地主导用途为农业生产空间，禁止城市、建制镇和集镇新增建设，控制线型基础设施用地、采矿用地和其他独立建设用地。</w:t>
                  </w:r>
                </w:p>
                <w:p w14:paraId="2A45B83F">
                  <w:pPr>
                    <w:pStyle w:val="49"/>
                    <w:keepNext w:val="0"/>
                    <w:keepLines w:val="0"/>
                    <w:pageBreakBefore w:val="0"/>
                    <w:widowControl w:val="0"/>
                    <w:numPr>
                      <w:ilvl w:val="0"/>
                      <w:numId w:val="0"/>
                    </w:numPr>
                    <w:kinsoku/>
                    <w:wordWrap/>
                    <w:overflowPunct/>
                    <w:topLinePunct w:val="0"/>
                    <w:autoSpaceDE/>
                    <w:autoSpaceDN/>
                    <w:bidi w:val="0"/>
                    <w:adjustRightInd w:val="0"/>
                    <w:snapToGrid w:val="0"/>
                    <w:spacing w:beforeLines="0" w:afterLines="0" w:line="240" w:lineRule="auto"/>
                    <w:ind w:leftChars="0"/>
                    <w:jc w:val="both"/>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4、干道绿化隔离带</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eastAsia="zh-CN"/>
                    </w:rPr>
                    <w:t>除道路及附属设施外，不得侵占两旁绿地，以起到隔离作用</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eastAsia="zh-CN"/>
                    </w:rPr>
                    <w:t>输气管道中心线两侧各50m范围内为禁建区，禁止安排建设项目，该范围做绿化用地</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eastAsia="zh-CN"/>
                    </w:rPr>
                    <w:t>中心线两侧50m</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eastAsia="zh-CN"/>
                    </w:rPr>
                    <w:t>200m范围为限建区，原则不得安排建设用地</w:t>
                  </w:r>
                  <w:r>
                    <w:rPr>
                      <w:rFonts w:hint="eastAsia" w:ascii="Times New Roman" w:hAnsi="Times New Roman" w:eastAsia="宋体" w:cs="Times New Roman"/>
                      <w:color w:val="auto"/>
                      <w:sz w:val="21"/>
                      <w:szCs w:val="21"/>
                      <w:lang w:eastAsia="zh-CN"/>
                    </w:rPr>
                    <w:t>。</w:t>
                  </w:r>
                </w:p>
              </w:tc>
              <w:tc>
                <w:tcPr>
                  <w:tcW w:w="1225" w:type="pct"/>
                  <w:tcBorders>
                    <w:tl2br w:val="nil"/>
                    <w:tr2bl w:val="nil"/>
                  </w:tcBorders>
                  <w:noWrap w:val="0"/>
                  <w:vAlign w:val="center"/>
                </w:tcPr>
                <w:p w14:paraId="6E28502C">
                  <w:pPr>
                    <w:pStyle w:val="49"/>
                    <w:keepNext w:val="0"/>
                    <w:keepLines w:val="0"/>
                    <w:pageBreakBefore w:val="0"/>
                    <w:widowControl w:val="0"/>
                    <w:kinsoku/>
                    <w:wordWrap/>
                    <w:overflowPunct/>
                    <w:topLinePunct w:val="0"/>
                    <w:autoSpaceDE/>
                    <w:autoSpaceDN/>
                    <w:bidi w:val="0"/>
                    <w:adjustRightInd w:val="0"/>
                    <w:snapToGrid w:val="0"/>
                    <w:spacing w:beforeLines="0" w:afterLines="0" w:line="240" w:lineRule="auto"/>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eastAsia="zh-CN"/>
                    </w:rPr>
                    <w:t>本项目为木地板制造项目，不属于高污染、锅炉项目；本项目位于救兵木业产业园内（现已更名为抚顺县救兵木业和新材料产业园区），土地性质为工业用地，土地证见附件</w:t>
                  </w:r>
                  <w:r>
                    <w:rPr>
                      <w:rFonts w:hint="eastAsia" w:ascii="Times New Roman" w:hAnsi="Times New Roman" w:eastAsia="宋体" w:cs="Times New Roman"/>
                      <w:color w:val="auto"/>
                      <w:sz w:val="21"/>
                      <w:szCs w:val="21"/>
                      <w:lang w:val="en-US" w:eastAsia="zh-CN"/>
                    </w:rPr>
                    <w:t>5。</w:t>
                  </w:r>
                </w:p>
              </w:tc>
              <w:tc>
                <w:tcPr>
                  <w:tcW w:w="405" w:type="pct"/>
                  <w:tcBorders>
                    <w:tl2br w:val="nil"/>
                    <w:tr2bl w:val="nil"/>
                  </w:tcBorders>
                  <w:noWrap w:val="0"/>
                  <w:vAlign w:val="center"/>
                </w:tcPr>
                <w:p w14:paraId="2F13B934">
                  <w:pPr>
                    <w:pStyle w:val="49"/>
                    <w:keepNext w:val="0"/>
                    <w:keepLines w:val="0"/>
                    <w:pageBreakBefore w:val="0"/>
                    <w:widowControl w:val="0"/>
                    <w:kinsoku/>
                    <w:wordWrap/>
                    <w:overflowPunct/>
                    <w:topLinePunct w:val="0"/>
                    <w:autoSpaceDE/>
                    <w:autoSpaceDN/>
                    <w:bidi w:val="0"/>
                    <w:adjustRightInd w:val="0"/>
                    <w:snapToGrid w:val="0"/>
                    <w:spacing w:beforeLines="0" w:afterLines="0" w:line="240" w:lineRule="auto"/>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07652B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02" w:type="pct"/>
                  <w:tcBorders>
                    <w:tl2br w:val="nil"/>
                    <w:tr2bl w:val="nil"/>
                  </w:tcBorders>
                  <w:noWrap w:val="0"/>
                  <w:vAlign w:val="center"/>
                </w:tcPr>
                <w:p w14:paraId="3033D440">
                  <w:pPr>
                    <w:pStyle w:val="49"/>
                    <w:keepNext w:val="0"/>
                    <w:keepLines w:val="0"/>
                    <w:pageBreakBefore w:val="0"/>
                    <w:widowControl w:val="0"/>
                    <w:kinsoku/>
                    <w:wordWrap/>
                    <w:overflowPunct/>
                    <w:topLinePunct w:val="0"/>
                    <w:autoSpaceDE/>
                    <w:autoSpaceDN/>
                    <w:bidi w:val="0"/>
                    <w:adjustRightInd w:val="0"/>
                    <w:snapToGrid w:val="0"/>
                    <w:spacing w:beforeLines="0" w:afterLines="0" w:line="240" w:lineRule="auto"/>
                    <w:jc w:val="center"/>
                    <w:textAlignment w:val="auto"/>
                    <w:rPr>
                      <w:rFonts w:hint="default"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val="en-US" w:eastAsia="zh-CN"/>
                    </w:rPr>
                    <w:t>污染物排放管控</w:t>
                  </w:r>
                </w:p>
              </w:tc>
              <w:tc>
                <w:tcPr>
                  <w:tcW w:w="2867" w:type="pct"/>
                  <w:tcBorders>
                    <w:tl2br w:val="nil"/>
                    <w:tr2bl w:val="nil"/>
                  </w:tcBorders>
                  <w:noWrap w:val="0"/>
                  <w:vAlign w:val="center"/>
                </w:tcPr>
                <w:p w14:paraId="4204A4A2">
                  <w:pPr>
                    <w:pStyle w:val="49"/>
                    <w:keepNext w:val="0"/>
                    <w:keepLines w:val="0"/>
                    <w:pageBreakBefore w:val="0"/>
                    <w:widowControl w:val="0"/>
                    <w:numPr>
                      <w:ilvl w:val="0"/>
                      <w:numId w:val="6"/>
                    </w:numPr>
                    <w:kinsoku/>
                    <w:wordWrap/>
                    <w:overflowPunct/>
                    <w:topLinePunct w:val="0"/>
                    <w:autoSpaceDE/>
                    <w:autoSpaceDN/>
                    <w:bidi w:val="0"/>
                    <w:adjustRightInd w:val="0"/>
                    <w:snapToGrid w:val="0"/>
                    <w:spacing w:beforeLines="0" w:afterLines="0" w:line="240" w:lineRule="auto"/>
                    <w:jc w:val="both"/>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重点行业二氧化硫、氮氧化物、颗粒物、VOCs全面执行大气污染物特别排放限值。新建涉VOCs排放的石化、化工、包装印刷、工业涂装等重点行业企业原则上要入产业集聚区，实行区域内VOCs排放等量或倍量削减替代。</w:t>
                  </w:r>
                </w:p>
                <w:p w14:paraId="46D409FF">
                  <w:pPr>
                    <w:pStyle w:val="49"/>
                    <w:keepNext w:val="0"/>
                    <w:keepLines w:val="0"/>
                    <w:pageBreakBefore w:val="0"/>
                    <w:widowControl w:val="0"/>
                    <w:numPr>
                      <w:ilvl w:val="0"/>
                      <w:numId w:val="6"/>
                    </w:numPr>
                    <w:kinsoku/>
                    <w:wordWrap/>
                    <w:overflowPunct/>
                    <w:topLinePunct w:val="0"/>
                    <w:autoSpaceDE/>
                    <w:autoSpaceDN/>
                    <w:bidi w:val="0"/>
                    <w:adjustRightInd w:val="0"/>
                    <w:snapToGrid w:val="0"/>
                    <w:spacing w:beforeLines="0" w:afterLines="0" w:line="240" w:lineRule="auto"/>
                    <w:ind w:left="0" w:leftChars="0" w:firstLine="0" w:firstLineChars="0"/>
                    <w:jc w:val="both"/>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污水处理率达到100%，污水处理厂出水执行《城镇污水处理厂污染物排放标准》</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eastAsia="zh-CN"/>
                    </w:rPr>
                    <w:t>GB18918-2002</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eastAsia="zh-CN"/>
                    </w:rPr>
                    <w:t>一级A标准</w:t>
                  </w:r>
                  <w:r>
                    <w:rPr>
                      <w:rFonts w:hint="eastAsia" w:ascii="Times New Roman" w:hAnsi="Times New Roman" w:eastAsia="宋体" w:cs="Times New Roman"/>
                      <w:color w:val="auto"/>
                      <w:sz w:val="21"/>
                      <w:szCs w:val="21"/>
                      <w:lang w:eastAsia="zh-CN"/>
                    </w:rPr>
                    <w:t>；</w:t>
                  </w:r>
                </w:p>
                <w:p w14:paraId="433D3BD7">
                  <w:pPr>
                    <w:pStyle w:val="49"/>
                    <w:keepNext w:val="0"/>
                    <w:keepLines w:val="0"/>
                    <w:pageBreakBefore w:val="0"/>
                    <w:widowControl w:val="0"/>
                    <w:numPr>
                      <w:ilvl w:val="0"/>
                      <w:numId w:val="0"/>
                    </w:numPr>
                    <w:kinsoku/>
                    <w:wordWrap/>
                    <w:overflowPunct/>
                    <w:topLinePunct w:val="0"/>
                    <w:autoSpaceDE/>
                    <w:autoSpaceDN/>
                    <w:bidi w:val="0"/>
                    <w:adjustRightInd w:val="0"/>
                    <w:snapToGrid w:val="0"/>
                    <w:spacing w:beforeLines="0" w:afterLines="0" w:line="240" w:lineRule="auto"/>
                    <w:ind w:leftChars="0"/>
                    <w:jc w:val="both"/>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3、园区内不再新增燃煤锅炉</w:t>
                  </w:r>
                  <w:r>
                    <w:rPr>
                      <w:rFonts w:hint="eastAsia" w:ascii="Times New Roman" w:hAnsi="Times New Roman" w:eastAsia="宋体" w:cs="Times New Roman"/>
                      <w:color w:val="auto"/>
                      <w:sz w:val="21"/>
                      <w:szCs w:val="21"/>
                      <w:lang w:eastAsia="zh-CN"/>
                    </w:rPr>
                    <w:t>；</w:t>
                  </w:r>
                </w:p>
                <w:p w14:paraId="0D2073C2">
                  <w:pPr>
                    <w:pStyle w:val="49"/>
                    <w:keepNext w:val="0"/>
                    <w:keepLines w:val="0"/>
                    <w:pageBreakBefore w:val="0"/>
                    <w:widowControl w:val="0"/>
                    <w:kinsoku/>
                    <w:wordWrap/>
                    <w:overflowPunct/>
                    <w:topLinePunct w:val="0"/>
                    <w:autoSpaceDE/>
                    <w:autoSpaceDN/>
                    <w:bidi w:val="0"/>
                    <w:adjustRightInd w:val="0"/>
                    <w:snapToGrid w:val="0"/>
                    <w:spacing w:beforeLines="0" w:afterLines="0" w:line="240" w:lineRule="auto"/>
                    <w:jc w:val="both"/>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4、根据《辽宁省打赢蓝天保卫战三年行动方案</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eastAsia="zh-CN"/>
                    </w:rPr>
                    <w:t>2018</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eastAsia="zh-CN"/>
                    </w:rPr>
                    <w:t>2020年</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eastAsia="zh-CN"/>
                    </w:rPr>
                    <w:t>》，2019年全省新改扩建项目执行特别排放限值，2021年起全省其余城市执行特别排放限值。新入区的企业应该按照特别排放限值要求进行设计，区内已建及在建拟建未按特别排放限值标准要求设计的项目应对工艺和环保措施进行升级改造，以保证园区内所有项目均能适时满足国家排放标准要求</w:t>
                  </w:r>
                  <w:r>
                    <w:rPr>
                      <w:rFonts w:hint="eastAsia" w:ascii="Times New Roman" w:hAnsi="Times New Roman" w:eastAsia="宋体" w:cs="Times New Roman"/>
                      <w:color w:val="auto"/>
                      <w:sz w:val="21"/>
                      <w:szCs w:val="21"/>
                      <w:lang w:eastAsia="zh-CN"/>
                    </w:rPr>
                    <w:t>；</w:t>
                  </w:r>
                </w:p>
                <w:p w14:paraId="118B6749">
                  <w:pPr>
                    <w:pStyle w:val="49"/>
                    <w:keepNext w:val="0"/>
                    <w:keepLines w:val="0"/>
                    <w:pageBreakBefore w:val="0"/>
                    <w:widowControl w:val="0"/>
                    <w:kinsoku/>
                    <w:wordWrap/>
                    <w:overflowPunct/>
                    <w:topLinePunct w:val="0"/>
                    <w:autoSpaceDE/>
                    <w:autoSpaceDN/>
                    <w:bidi w:val="0"/>
                    <w:adjustRightInd w:val="0"/>
                    <w:snapToGrid w:val="0"/>
                    <w:spacing w:beforeLines="0" w:afterLines="0" w:line="240" w:lineRule="auto"/>
                    <w:jc w:val="both"/>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5、禁止引入突破园区废水、废气污染物排放总量管控限值的项目</w:t>
                  </w:r>
                  <w:r>
                    <w:rPr>
                      <w:rFonts w:hint="eastAsia" w:ascii="Times New Roman" w:hAnsi="Times New Roman" w:eastAsia="宋体" w:cs="Times New Roman"/>
                      <w:color w:val="auto"/>
                      <w:sz w:val="21"/>
                      <w:szCs w:val="21"/>
                      <w:lang w:eastAsia="zh-CN"/>
                    </w:rPr>
                    <w:t>；</w:t>
                  </w:r>
                </w:p>
                <w:p w14:paraId="1CAD758D">
                  <w:pPr>
                    <w:pStyle w:val="49"/>
                    <w:keepNext w:val="0"/>
                    <w:keepLines w:val="0"/>
                    <w:pageBreakBefore w:val="0"/>
                    <w:widowControl w:val="0"/>
                    <w:kinsoku/>
                    <w:wordWrap/>
                    <w:overflowPunct/>
                    <w:topLinePunct w:val="0"/>
                    <w:autoSpaceDE/>
                    <w:autoSpaceDN/>
                    <w:bidi w:val="0"/>
                    <w:adjustRightInd w:val="0"/>
                    <w:snapToGrid w:val="0"/>
                    <w:spacing w:beforeLines="0" w:afterLines="0" w:line="240" w:lineRule="auto"/>
                    <w:jc w:val="both"/>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6、符合《关于加强高耗能、高排放建设项目生态环境源头防控的指导意见》环环评</w:t>
                  </w:r>
                  <w:r>
                    <w:rPr>
                      <w:rFonts w:hint="eastAsia" w:ascii="Times New Roman" w:hAnsi="Times New Roman" w:eastAsia="宋体" w:cs="Times New Roman"/>
                      <w:b w:val="0"/>
                      <w:bCs w:val="0"/>
                      <w:color w:val="auto"/>
                      <w:sz w:val="21"/>
                      <w:szCs w:val="21"/>
                      <w:lang w:eastAsia="zh-CN"/>
                    </w:rPr>
                    <w:t>〔202</w:t>
                  </w:r>
                  <w:r>
                    <w:rPr>
                      <w:rFonts w:hint="eastAsia" w:ascii="Times New Roman" w:hAnsi="Times New Roman" w:eastAsia="宋体" w:cs="Times New Roman"/>
                      <w:b w:val="0"/>
                      <w:bCs w:val="0"/>
                      <w:color w:val="auto"/>
                      <w:sz w:val="21"/>
                      <w:szCs w:val="21"/>
                      <w:lang w:val="en-US" w:eastAsia="zh-CN"/>
                    </w:rPr>
                    <w:t>1</w:t>
                  </w:r>
                  <w:r>
                    <w:rPr>
                      <w:rFonts w:hint="eastAsia" w:ascii="Times New Roman" w:hAnsi="Times New Roman" w:eastAsia="宋体" w:cs="Times New Roman"/>
                      <w:b w:val="0"/>
                      <w:bCs w:val="0"/>
                      <w:color w:val="auto"/>
                      <w:sz w:val="21"/>
                      <w:szCs w:val="21"/>
                      <w:lang w:eastAsia="zh-CN"/>
                    </w:rPr>
                    <w:t>〕</w:t>
                  </w:r>
                  <w:r>
                    <w:rPr>
                      <w:rFonts w:hint="default" w:ascii="Times New Roman" w:hAnsi="Times New Roman" w:eastAsia="宋体" w:cs="Times New Roman"/>
                      <w:color w:val="auto"/>
                      <w:sz w:val="21"/>
                      <w:szCs w:val="21"/>
                      <w:lang w:eastAsia="zh-CN"/>
                    </w:rPr>
                    <w:t>45号和《辽宁省人民政府办公厅关于加强全省高耗能、高排放项目准入管理的意见》辽政办发</w:t>
                  </w:r>
                  <w:r>
                    <w:rPr>
                      <w:rFonts w:hint="eastAsia" w:ascii="Times New Roman" w:hAnsi="Times New Roman" w:eastAsia="宋体" w:cs="Times New Roman"/>
                      <w:b w:val="0"/>
                      <w:bCs w:val="0"/>
                      <w:color w:val="auto"/>
                      <w:sz w:val="21"/>
                      <w:szCs w:val="21"/>
                      <w:lang w:eastAsia="zh-CN"/>
                    </w:rPr>
                    <w:t>〔202</w:t>
                  </w:r>
                  <w:r>
                    <w:rPr>
                      <w:rFonts w:hint="eastAsia" w:ascii="Times New Roman" w:hAnsi="Times New Roman" w:eastAsia="宋体" w:cs="Times New Roman"/>
                      <w:b w:val="0"/>
                      <w:bCs w:val="0"/>
                      <w:color w:val="auto"/>
                      <w:sz w:val="21"/>
                      <w:szCs w:val="21"/>
                      <w:lang w:val="en-US" w:eastAsia="zh-CN"/>
                    </w:rPr>
                    <w:t>1</w:t>
                  </w:r>
                  <w:r>
                    <w:rPr>
                      <w:rFonts w:hint="eastAsia" w:ascii="Times New Roman" w:hAnsi="Times New Roman" w:eastAsia="宋体" w:cs="Times New Roman"/>
                      <w:b w:val="0"/>
                      <w:bCs w:val="0"/>
                      <w:color w:val="auto"/>
                      <w:sz w:val="21"/>
                      <w:szCs w:val="21"/>
                      <w:lang w:eastAsia="zh-CN"/>
                    </w:rPr>
                    <w:t>〕</w:t>
                  </w:r>
                  <w:r>
                    <w:rPr>
                      <w:rFonts w:hint="default" w:ascii="Times New Roman" w:hAnsi="Times New Roman" w:eastAsia="宋体" w:cs="Times New Roman"/>
                      <w:color w:val="auto"/>
                      <w:sz w:val="21"/>
                      <w:szCs w:val="21"/>
                      <w:lang w:eastAsia="zh-CN"/>
                    </w:rPr>
                    <w:t>6号相关要求，严格高耗能、高排放项目准入管理。</w:t>
                  </w:r>
                </w:p>
              </w:tc>
              <w:tc>
                <w:tcPr>
                  <w:tcW w:w="1225" w:type="pct"/>
                  <w:tcBorders>
                    <w:tl2br w:val="nil"/>
                    <w:tr2bl w:val="nil"/>
                  </w:tcBorders>
                  <w:noWrap w:val="0"/>
                  <w:vAlign w:val="center"/>
                </w:tcPr>
                <w:p w14:paraId="08E1F8CE">
                  <w:pPr>
                    <w:pStyle w:val="49"/>
                    <w:keepNext w:val="0"/>
                    <w:keepLines w:val="0"/>
                    <w:pageBreakBefore w:val="0"/>
                    <w:widowControl w:val="0"/>
                    <w:kinsoku/>
                    <w:wordWrap/>
                    <w:overflowPunct/>
                    <w:topLinePunct w:val="0"/>
                    <w:autoSpaceDE/>
                    <w:autoSpaceDN/>
                    <w:bidi w:val="0"/>
                    <w:adjustRightInd w:val="0"/>
                    <w:snapToGrid w:val="0"/>
                    <w:spacing w:beforeLines="0" w:afterLines="0" w:line="240" w:lineRule="auto"/>
                    <w:textAlignment w:val="auto"/>
                    <w:rPr>
                      <w:rFonts w:hint="default"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本项目产生的颗粒物执行《大气污染物综合排放标准》（GB16297-1996）表2排放限值要求；辊涂、紫外光固化工序产生的TVOC（以VOC</w:t>
                  </w:r>
                  <w:r>
                    <w:rPr>
                      <w:rFonts w:hint="eastAsia" w:ascii="Times New Roman" w:hAnsi="Times New Roman" w:eastAsia="宋体" w:cs="Times New Roman"/>
                      <w:color w:val="auto"/>
                      <w:sz w:val="21"/>
                      <w:szCs w:val="21"/>
                      <w:lang w:val="en-US" w:eastAsia="zh-CN"/>
                    </w:rPr>
                    <w:t>s</w:t>
                  </w:r>
                  <w:r>
                    <w:rPr>
                      <w:rFonts w:hint="eastAsia" w:ascii="Times New Roman" w:hAnsi="Times New Roman" w:eastAsia="宋体" w:cs="Times New Roman"/>
                      <w:color w:val="auto"/>
                      <w:sz w:val="21"/>
                      <w:szCs w:val="21"/>
                      <w:lang w:eastAsia="zh-CN"/>
                    </w:rPr>
                    <w:t>计）执行《工业涂装工序挥发性有机物排放标准》（DB21/3160-2019）中“涉及工业涂装工序的其他行业”排放限值。本项目涉及工业涂装工序，并排放VOC</w:t>
                  </w:r>
                  <w:r>
                    <w:rPr>
                      <w:rFonts w:hint="eastAsia" w:ascii="Times New Roman" w:hAnsi="Times New Roman" w:eastAsia="宋体" w:cs="Times New Roman"/>
                      <w:color w:val="auto"/>
                      <w:sz w:val="21"/>
                      <w:szCs w:val="21"/>
                      <w:lang w:val="en-US" w:eastAsia="zh-CN"/>
                    </w:rPr>
                    <w:t>s，项目租用</w:t>
                  </w:r>
                  <w:r>
                    <w:rPr>
                      <w:rFonts w:hint="eastAsia" w:ascii="宋体" w:hAnsi="宋体" w:eastAsia="宋体" w:cs="宋体"/>
                      <w:color w:val="auto"/>
                      <w:sz w:val="21"/>
                      <w:szCs w:val="21"/>
                      <w:highlight w:val="none"/>
                      <w:lang w:eastAsia="zh-CN"/>
                    </w:rPr>
                    <w:t>抚顺县救兵木业和新材料产业园区内厂房进行</w:t>
                  </w:r>
                  <w:r>
                    <w:rPr>
                      <w:rFonts w:hint="default" w:ascii="Times New Roman" w:hAnsi="Times New Roman" w:eastAsia="宋体" w:cs="Times New Roman"/>
                      <w:color w:val="auto"/>
                      <w:sz w:val="21"/>
                      <w:szCs w:val="21"/>
                      <w:highlight w:val="none"/>
                      <w:lang w:eastAsia="zh-CN"/>
                    </w:rPr>
                    <w:t>建设</w:t>
                  </w:r>
                  <w:r>
                    <w:rPr>
                      <w:rFonts w:hint="eastAsia" w:ascii="Times New Roman" w:hAnsi="Times New Roman" w:eastAsia="宋体" w:cs="Times New Roman"/>
                      <w:color w:val="auto"/>
                      <w:sz w:val="21"/>
                      <w:szCs w:val="21"/>
                      <w:highlight w:val="none"/>
                      <w:lang w:eastAsia="zh-CN"/>
                    </w:rPr>
                    <w:t>。本项目不涉及锅炉建设。不属于</w:t>
                  </w:r>
                  <w:r>
                    <w:rPr>
                      <w:rFonts w:hint="default" w:ascii="Times New Roman" w:hAnsi="Times New Roman" w:eastAsia="宋体" w:cs="Times New Roman"/>
                      <w:color w:val="auto"/>
                      <w:sz w:val="21"/>
                      <w:szCs w:val="21"/>
                      <w:lang w:eastAsia="zh-CN"/>
                    </w:rPr>
                    <w:t>高耗能、高排放</w:t>
                  </w:r>
                  <w:r>
                    <w:rPr>
                      <w:rFonts w:hint="eastAsia" w:ascii="Times New Roman" w:hAnsi="Times New Roman" w:eastAsia="宋体" w:cs="Times New Roman"/>
                      <w:color w:val="auto"/>
                      <w:sz w:val="21"/>
                      <w:szCs w:val="21"/>
                      <w:lang w:eastAsia="zh-CN"/>
                    </w:rPr>
                    <w:t>项目。</w:t>
                  </w:r>
                </w:p>
              </w:tc>
              <w:tc>
                <w:tcPr>
                  <w:tcW w:w="405" w:type="pct"/>
                  <w:tcBorders>
                    <w:tl2br w:val="nil"/>
                    <w:tr2bl w:val="nil"/>
                  </w:tcBorders>
                  <w:noWrap w:val="0"/>
                  <w:vAlign w:val="center"/>
                </w:tcPr>
                <w:p w14:paraId="787A9B38">
                  <w:pPr>
                    <w:pStyle w:val="49"/>
                    <w:keepNext w:val="0"/>
                    <w:keepLines w:val="0"/>
                    <w:pageBreakBefore w:val="0"/>
                    <w:widowControl w:val="0"/>
                    <w:kinsoku/>
                    <w:wordWrap/>
                    <w:overflowPunct/>
                    <w:topLinePunct w:val="0"/>
                    <w:autoSpaceDE/>
                    <w:autoSpaceDN/>
                    <w:bidi w:val="0"/>
                    <w:adjustRightInd w:val="0"/>
                    <w:snapToGrid w:val="0"/>
                    <w:spacing w:beforeLines="0" w:afterLines="0" w:line="240" w:lineRule="auto"/>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364C68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02" w:type="pct"/>
                  <w:tcBorders>
                    <w:tl2br w:val="nil"/>
                    <w:tr2bl w:val="nil"/>
                  </w:tcBorders>
                  <w:noWrap w:val="0"/>
                  <w:vAlign w:val="center"/>
                </w:tcPr>
                <w:p w14:paraId="43A4FBE3">
                  <w:pPr>
                    <w:pStyle w:val="49"/>
                    <w:keepNext w:val="0"/>
                    <w:keepLines w:val="0"/>
                    <w:pageBreakBefore w:val="0"/>
                    <w:widowControl w:val="0"/>
                    <w:kinsoku/>
                    <w:wordWrap/>
                    <w:overflowPunct/>
                    <w:topLinePunct w:val="0"/>
                    <w:autoSpaceDE/>
                    <w:autoSpaceDN/>
                    <w:bidi w:val="0"/>
                    <w:adjustRightInd w:val="0"/>
                    <w:snapToGrid w:val="0"/>
                    <w:spacing w:beforeLines="0" w:afterLines="0" w:line="240" w:lineRule="auto"/>
                    <w:jc w:val="center"/>
                    <w:textAlignment w:val="auto"/>
                    <w:rPr>
                      <w:rFonts w:hint="default"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val="en-US" w:eastAsia="zh-CN"/>
                    </w:rPr>
                    <w:t>环境风险管控</w:t>
                  </w:r>
                </w:p>
              </w:tc>
              <w:tc>
                <w:tcPr>
                  <w:tcW w:w="2867" w:type="pct"/>
                  <w:tcBorders>
                    <w:tl2br w:val="nil"/>
                    <w:tr2bl w:val="nil"/>
                  </w:tcBorders>
                  <w:noWrap w:val="0"/>
                  <w:vAlign w:val="center"/>
                </w:tcPr>
                <w:p w14:paraId="68EB1F00">
                  <w:pPr>
                    <w:pStyle w:val="49"/>
                    <w:keepNext w:val="0"/>
                    <w:keepLines w:val="0"/>
                    <w:pageBreakBefore w:val="0"/>
                    <w:widowControl w:val="0"/>
                    <w:kinsoku/>
                    <w:wordWrap/>
                    <w:overflowPunct/>
                    <w:topLinePunct w:val="0"/>
                    <w:autoSpaceDE/>
                    <w:autoSpaceDN/>
                    <w:bidi w:val="0"/>
                    <w:adjustRightInd w:val="0"/>
                    <w:snapToGrid w:val="0"/>
                    <w:spacing w:beforeLines="0" w:afterLines="0" w:line="240" w:lineRule="auto"/>
                    <w:jc w:val="both"/>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1、再生资源园区需要设置卫生防护距离，园区防护距离为危险废物处置区三类用地边界外延800m，并与水体保持150m距离。河流两侧150m范围内不得布置危险废物处理处置类企业。评价建议再生园区规划污水处理厂、救兵木业产业园区污水处理厂、海浪污水处理厂设置初步卫生防护距离为300m，其最终防护距离仍应结合实际情况以项目环评结论为主。其他园区建议将居住用地和工业用地进行整合，整合后居住用地和工业用地各自分区</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eastAsia="zh-CN"/>
                    </w:rPr>
                    <w:t>同时建议在二类工业用地与居住用地和教育科研用地之间设置30米绿化隔离带，在规划区边界设置50米绿化隔离带，以降低工业生产可能对居住和科研环境造成的不利影响。环评建议位于规划区边界的企业应选择对环境影响小的企业，保证居民区环境质量达标。环境敏感点控制距离范围内不能规划或新建居民点、学校、机关单位等</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eastAsia="zh-CN"/>
                    </w:rPr>
                    <w:t>环境敏感点控制距离范围内现有居民根据政府承诺逐步搬迁</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eastAsia="zh-CN"/>
                    </w:rPr>
                    <w:t>园区内新建项目的环境防护距离包络线不能位于环境敏感点控制距离边界线以外。</w:t>
                  </w:r>
                </w:p>
                <w:p w14:paraId="5E224313">
                  <w:pPr>
                    <w:pStyle w:val="49"/>
                    <w:keepNext w:val="0"/>
                    <w:keepLines w:val="0"/>
                    <w:pageBreakBefore w:val="0"/>
                    <w:widowControl w:val="0"/>
                    <w:kinsoku/>
                    <w:wordWrap/>
                    <w:overflowPunct/>
                    <w:topLinePunct w:val="0"/>
                    <w:autoSpaceDE/>
                    <w:autoSpaceDN/>
                    <w:bidi w:val="0"/>
                    <w:adjustRightInd w:val="0"/>
                    <w:snapToGrid w:val="0"/>
                    <w:spacing w:beforeLines="0" w:afterLines="0" w:line="240" w:lineRule="auto"/>
                    <w:jc w:val="both"/>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2、建立环境风险预警体系，逐步建立和完善集污染源监控、环境质量监控和图像监控于一体的数字化在线监测中心</w:t>
                  </w:r>
                  <w:r>
                    <w:rPr>
                      <w:rFonts w:hint="eastAsia" w:ascii="Times New Roman" w:hAnsi="Times New Roman" w:eastAsia="宋体" w:cs="Times New Roman"/>
                      <w:color w:val="auto"/>
                      <w:sz w:val="21"/>
                      <w:szCs w:val="21"/>
                      <w:lang w:eastAsia="zh-CN"/>
                    </w:rPr>
                    <w:t>；</w:t>
                  </w:r>
                </w:p>
                <w:p w14:paraId="4A5DCACA">
                  <w:pPr>
                    <w:pStyle w:val="49"/>
                    <w:keepNext w:val="0"/>
                    <w:keepLines w:val="0"/>
                    <w:pageBreakBefore w:val="0"/>
                    <w:widowControl w:val="0"/>
                    <w:kinsoku/>
                    <w:wordWrap/>
                    <w:overflowPunct/>
                    <w:topLinePunct w:val="0"/>
                    <w:autoSpaceDE/>
                    <w:autoSpaceDN/>
                    <w:bidi w:val="0"/>
                    <w:adjustRightInd w:val="0"/>
                    <w:snapToGrid w:val="0"/>
                    <w:spacing w:beforeLines="0" w:afterLines="0" w:line="240" w:lineRule="auto"/>
                    <w:jc w:val="both"/>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3、建立环境风险防控体系，建立企业、园区和周边水系三级环境风险防控体系</w:t>
                  </w:r>
                  <w:r>
                    <w:rPr>
                      <w:rFonts w:hint="eastAsia" w:ascii="Times New Roman" w:hAnsi="Times New Roman" w:eastAsia="宋体" w:cs="Times New Roman"/>
                      <w:color w:val="auto"/>
                      <w:sz w:val="21"/>
                      <w:szCs w:val="21"/>
                      <w:lang w:eastAsia="zh-CN"/>
                    </w:rPr>
                    <w:t>；</w:t>
                  </w:r>
                </w:p>
                <w:p w14:paraId="58FE9172">
                  <w:pPr>
                    <w:pStyle w:val="49"/>
                    <w:keepNext w:val="0"/>
                    <w:keepLines w:val="0"/>
                    <w:pageBreakBefore w:val="0"/>
                    <w:widowControl w:val="0"/>
                    <w:kinsoku/>
                    <w:wordWrap/>
                    <w:overflowPunct/>
                    <w:topLinePunct w:val="0"/>
                    <w:autoSpaceDE/>
                    <w:autoSpaceDN/>
                    <w:bidi w:val="0"/>
                    <w:adjustRightInd w:val="0"/>
                    <w:snapToGrid w:val="0"/>
                    <w:spacing w:beforeLines="0" w:afterLines="0" w:line="240" w:lineRule="auto"/>
                    <w:jc w:val="both"/>
                    <w:textAlignment w:val="auto"/>
                    <w:rPr>
                      <w:rFonts w:hint="eastAsia"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4、修编突发环境事故应急预案，加强应急救援队伍、装备和设施建设，储备必要的应急物资，建立</w:t>
                  </w:r>
                  <w:r>
                    <w:rPr>
                      <w:rFonts w:hint="eastAsia" w:ascii="Times New Roman" w:hAnsi="Times New Roman" w:eastAsia="宋体" w:cs="Times New Roman"/>
                      <w:color w:val="auto"/>
                      <w:sz w:val="21"/>
                      <w:szCs w:val="21"/>
                      <w:lang w:eastAsia="zh-CN"/>
                    </w:rPr>
                    <w:t>重大</w:t>
                  </w:r>
                  <w:r>
                    <w:rPr>
                      <w:rFonts w:hint="default" w:ascii="Times New Roman" w:hAnsi="Times New Roman" w:eastAsia="宋体" w:cs="Times New Roman"/>
                      <w:color w:val="auto"/>
                      <w:sz w:val="21"/>
                      <w:szCs w:val="21"/>
                      <w:lang w:eastAsia="zh-CN"/>
                    </w:rPr>
                    <w:t>泄漏的应急疏散与隔离</w:t>
                  </w:r>
                  <w:r>
                    <w:rPr>
                      <w:rFonts w:hint="eastAsia" w:ascii="Times New Roman" w:hAnsi="Times New Roman" w:eastAsia="宋体" w:cs="Times New Roman"/>
                      <w:color w:val="auto"/>
                      <w:sz w:val="21"/>
                      <w:szCs w:val="21"/>
                      <w:lang w:eastAsia="zh-CN"/>
                    </w:rPr>
                    <w:t>机制；</w:t>
                  </w:r>
                  <w:r>
                    <w:rPr>
                      <w:rFonts w:hint="default" w:ascii="Times New Roman" w:hAnsi="Times New Roman" w:eastAsia="宋体" w:cs="Times New Roman"/>
                      <w:color w:val="auto"/>
                      <w:sz w:val="21"/>
                      <w:szCs w:val="21"/>
                      <w:lang w:eastAsia="zh-CN"/>
                    </w:rPr>
                    <w:t>当装置发生事故时，为避免污染大气，造成局部的污染区，必须实行紧急处置</w:t>
                  </w:r>
                  <w:r>
                    <w:rPr>
                      <w:rFonts w:hint="eastAsia" w:ascii="Times New Roman" w:hAnsi="Times New Roman" w:eastAsia="宋体" w:cs="Times New Roman"/>
                      <w:color w:val="auto"/>
                      <w:sz w:val="21"/>
                      <w:szCs w:val="21"/>
                      <w:lang w:eastAsia="zh-CN"/>
                    </w:rPr>
                    <w:t>；</w:t>
                  </w:r>
                </w:p>
                <w:p w14:paraId="1D3EC5D2">
                  <w:pPr>
                    <w:pStyle w:val="49"/>
                    <w:keepNext w:val="0"/>
                    <w:keepLines w:val="0"/>
                    <w:pageBreakBefore w:val="0"/>
                    <w:widowControl w:val="0"/>
                    <w:kinsoku/>
                    <w:wordWrap/>
                    <w:overflowPunct/>
                    <w:topLinePunct w:val="0"/>
                    <w:autoSpaceDE/>
                    <w:autoSpaceDN/>
                    <w:bidi w:val="0"/>
                    <w:adjustRightInd w:val="0"/>
                    <w:snapToGrid w:val="0"/>
                    <w:spacing w:beforeLines="0" w:afterLines="0" w:line="240" w:lineRule="auto"/>
                    <w:jc w:val="both"/>
                    <w:textAlignment w:val="auto"/>
                    <w:rPr>
                      <w:rFonts w:hint="eastAsia"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5、按要求进行危险化学品环境管理登记，加强化学品环境风险管理，对危险物质的分布、流向、数量须加以监控和限制，要根据储存、转运、加工等过程</w:t>
                  </w:r>
                  <w:r>
                    <w:rPr>
                      <w:rFonts w:hint="eastAsia" w:ascii="Times New Roman" w:hAnsi="Times New Roman" w:eastAsia="宋体" w:cs="Times New Roman"/>
                      <w:color w:val="auto"/>
                      <w:sz w:val="21"/>
                      <w:szCs w:val="21"/>
                      <w:lang w:eastAsia="zh-CN"/>
                    </w:rPr>
                    <w:t>进行</w:t>
                  </w:r>
                  <w:r>
                    <w:rPr>
                      <w:rFonts w:hint="default" w:ascii="Times New Roman" w:hAnsi="Times New Roman" w:eastAsia="宋体" w:cs="Times New Roman"/>
                      <w:color w:val="auto"/>
                      <w:sz w:val="21"/>
                      <w:szCs w:val="21"/>
                      <w:lang w:eastAsia="zh-CN"/>
                    </w:rPr>
                    <w:t>危险性评价，并采取相应预防措施</w:t>
                  </w:r>
                  <w:r>
                    <w:rPr>
                      <w:rFonts w:hint="eastAsia" w:ascii="Times New Roman" w:hAnsi="Times New Roman" w:eastAsia="宋体" w:cs="Times New Roman"/>
                      <w:color w:val="auto"/>
                      <w:sz w:val="21"/>
                      <w:szCs w:val="21"/>
                      <w:lang w:eastAsia="zh-CN"/>
                    </w:rPr>
                    <w:t>；</w:t>
                  </w:r>
                </w:p>
                <w:p w14:paraId="0D095511">
                  <w:pPr>
                    <w:pStyle w:val="49"/>
                    <w:keepNext w:val="0"/>
                    <w:keepLines w:val="0"/>
                    <w:pageBreakBefore w:val="0"/>
                    <w:widowControl w:val="0"/>
                    <w:kinsoku/>
                    <w:wordWrap/>
                    <w:overflowPunct/>
                    <w:topLinePunct w:val="0"/>
                    <w:autoSpaceDE/>
                    <w:autoSpaceDN/>
                    <w:bidi w:val="0"/>
                    <w:adjustRightInd w:val="0"/>
                    <w:snapToGrid w:val="0"/>
                    <w:spacing w:beforeLines="0" w:afterLines="0" w:line="240" w:lineRule="auto"/>
                    <w:jc w:val="both"/>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7、对列入《特别管控危险化学品目录</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eastAsia="zh-CN"/>
                    </w:rPr>
                    <w:t>第一版</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eastAsia="zh-CN"/>
                    </w:rPr>
                    <w:t>》的危险化学品按照《应急管理部工业和信息化部公安部交通运输部公告》</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eastAsia="zh-CN"/>
                    </w:rPr>
                    <w:t>2020年第3号</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eastAsia="zh-CN"/>
                    </w:rPr>
                    <w:t>的要求落实各项管控措施。</w:t>
                  </w:r>
                </w:p>
              </w:tc>
              <w:tc>
                <w:tcPr>
                  <w:tcW w:w="1225" w:type="pct"/>
                  <w:tcBorders>
                    <w:tl2br w:val="nil"/>
                    <w:tr2bl w:val="nil"/>
                  </w:tcBorders>
                  <w:noWrap w:val="0"/>
                  <w:vAlign w:val="center"/>
                </w:tcPr>
                <w:p w14:paraId="6004F0CC">
                  <w:pPr>
                    <w:pStyle w:val="49"/>
                    <w:keepNext w:val="0"/>
                    <w:keepLines w:val="0"/>
                    <w:pageBreakBefore w:val="0"/>
                    <w:widowControl w:val="0"/>
                    <w:kinsoku/>
                    <w:wordWrap/>
                    <w:overflowPunct/>
                    <w:topLinePunct w:val="0"/>
                    <w:autoSpaceDE/>
                    <w:autoSpaceDN/>
                    <w:bidi w:val="0"/>
                    <w:adjustRightInd w:val="0"/>
                    <w:snapToGrid w:val="0"/>
                    <w:spacing w:beforeLines="0" w:afterLines="0" w:line="240" w:lineRule="auto"/>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eastAsia="zh-CN"/>
                    </w:rPr>
                    <w:t>本项目距离最近的居民区为厂址西侧约</w:t>
                  </w:r>
                  <w:r>
                    <w:rPr>
                      <w:rFonts w:hint="eastAsia" w:ascii="Times New Roman" w:hAnsi="Times New Roman" w:eastAsia="宋体" w:cs="Times New Roman"/>
                      <w:color w:val="auto"/>
                      <w:sz w:val="21"/>
                      <w:szCs w:val="21"/>
                      <w:lang w:val="en-US" w:eastAsia="zh-CN"/>
                    </w:rPr>
                    <w:t>960m的小东村；本项目不涉及危险化学品及</w:t>
                  </w:r>
                  <w:r>
                    <w:rPr>
                      <w:rFonts w:hint="default" w:ascii="Times New Roman" w:hAnsi="Times New Roman" w:eastAsia="宋体" w:cs="Times New Roman"/>
                      <w:color w:val="auto"/>
                      <w:sz w:val="21"/>
                      <w:szCs w:val="21"/>
                      <w:lang w:eastAsia="zh-CN"/>
                    </w:rPr>
                    <w:t>《特别管控危险化学品目录</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eastAsia="zh-CN"/>
                    </w:rPr>
                    <w:t>第一版</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lang w:eastAsia="zh-CN"/>
                    </w:rPr>
                    <w:t>中所列危险化学品。</w:t>
                  </w:r>
                </w:p>
              </w:tc>
              <w:tc>
                <w:tcPr>
                  <w:tcW w:w="405" w:type="pct"/>
                  <w:tcBorders>
                    <w:tl2br w:val="nil"/>
                    <w:tr2bl w:val="nil"/>
                  </w:tcBorders>
                  <w:noWrap w:val="0"/>
                  <w:vAlign w:val="center"/>
                </w:tcPr>
                <w:p w14:paraId="48DD9819">
                  <w:pPr>
                    <w:pStyle w:val="49"/>
                    <w:keepNext w:val="0"/>
                    <w:keepLines w:val="0"/>
                    <w:pageBreakBefore w:val="0"/>
                    <w:widowControl w:val="0"/>
                    <w:kinsoku/>
                    <w:wordWrap/>
                    <w:overflowPunct/>
                    <w:topLinePunct w:val="0"/>
                    <w:autoSpaceDE/>
                    <w:autoSpaceDN/>
                    <w:bidi w:val="0"/>
                    <w:adjustRightInd w:val="0"/>
                    <w:snapToGrid w:val="0"/>
                    <w:spacing w:beforeLines="0" w:afterLines="0" w:line="240" w:lineRule="auto"/>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r w14:paraId="6311B0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02" w:type="pct"/>
                  <w:tcBorders>
                    <w:tl2br w:val="nil"/>
                    <w:tr2bl w:val="nil"/>
                  </w:tcBorders>
                  <w:noWrap w:val="0"/>
                  <w:vAlign w:val="center"/>
                </w:tcPr>
                <w:p w14:paraId="579955F9">
                  <w:pPr>
                    <w:pStyle w:val="49"/>
                    <w:keepNext w:val="0"/>
                    <w:keepLines w:val="0"/>
                    <w:pageBreakBefore w:val="0"/>
                    <w:widowControl w:val="0"/>
                    <w:kinsoku/>
                    <w:wordWrap/>
                    <w:overflowPunct/>
                    <w:topLinePunct w:val="0"/>
                    <w:autoSpaceDE/>
                    <w:autoSpaceDN/>
                    <w:bidi w:val="0"/>
                    <w:adjustRightInd w:val="0"/>
                    <w:snapToGrid w:val="0"/>
                    <w:spacing w:beforeLines="0" w:afterLines="0" w:line="240" w:lineRule="auto"/>
                    <w:jc w:val="center"/>
                    <w:textAlignment w:val="auto"/>
                    <w:rPr>
                      <w:rFonts w:hint="default"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val="en-US" w:eastAsia="zh-CN"/>
                    </w:rPr>
                    <w:t>资源开发利用</w:t>
                  </w:r>
                </w:p>
              </w:tc>
              <w:tc>
                <w:tcPr>
                  <w:tcW w:w="2867" w:type="pct"/>
                  <w:tcBorders>
                    <w:tl2br w:val="nil"/>
                    <w:tr2bl w:val="nil"/>
                  </w:tcBorders>
                  <w:noWrap w:val="0"/>
                  <w:vAlign w:val="center"/>
                </w:tcPr>
                <w:p w14:paraId="3ABC421D">
                  <w:pPr>
                    <w:pStyle w:val="49"/>
                    <w:keepNext w:val="0"/>
                    <w:keepLines w:val="0"/>
                    <w:pageBreakBefore w:val="0"/>
                    <w:widowControl w:val="0"/>
                    <w:kinsoku/>
                    <w:wordWrap/>
                    <w:overflowPunct/>
                    <w:topLinePunct w:val="0"/>
                    <w:autoSpaceDE/>
                    <w:autoSpaceDN/>
                    <w:bidi w:val="0"/>
                    <w:adjustRightInd w:val="0"/>
                    <w:snapToGrid w:val="0"/>
                    <w:spacing w:beforeLines="0" w:afterLines="0" w:line="240" w:lineRule="auto"/>
                    <w:jc w:val="both"/>
                    <w:textAlignment w:val="auto"/>
                    <w:rPr>
                      <w:rFonts w:hint="default"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val="en-US" w:eastAsia="zh-CN"/>
                    </w:rPr>
                    <w:t>1、</w:t>
                  </w:r>
                  <w:r>
                    <w:rPr>
                      <w:rFonts w:hint="default" w:ascii="Times New Roman" w:hAnsi="Times New Roman" w:eastAsia="宋体" w:cs="Times New Roman"/>
                      <w:color w:val="auto"/>
                      <w:sz w:val="21"/>
                      <w:szCs w:val="21"/>
                      <w:lang w:eastAsia="zh-CN"/>
                    </w:rPr>
                    <w:t>提高区内清洁生产水平，工业用水重复利用率达到90%，生活污水再生利用率达到100%</w:t>
                  </w:r>
                  <w:r>
                    <w:rPr>
                      <w:rFonts w:hint="eastAsia" w:ascii="Times New Roman" w:hAnsi="Times New Roman" w:eastAsia="宋体" w:cs="Times New Roman"/>
                      <w:color w:val="auto"/>
                      <w:sz w:val="21"/>
                      <w:szCs w:val="21"/>
                      <w:lang w:eastAsia="zh-CN"/>
                    </w:rPr>
                    <w:t>；</w:t>
                  </w:r>
                </w:p>
                <w:p w14:paraId="45709216">
                  <w:pPr>
                    <w:pStyle w:val="49"/>
                    <w:keepNext w:val="0"/>
                    <w:keepLines w:val="0"/>
                    <w:pageBreakBefore w:val="0"/>
                    <w:widowControl w:val="0"/>
                    <w:numPr>
                      <w:ilvl w:val="0"/>
                      <w:numId w:val="0"/>
                    </w:numPr>
                    <w:kinsoku/>
                    <w:wordWrap/>
                    <w:overflowPunct/>
                    <w:topLinePunct w:val="0"/>
                    <w:autoSpaceDE/>
                    <w:autoSpaceDN/>
                    <w:bidi w:val="0"/>
                    <w:adjustRightInd w:val="0"/>
                    <w:snapToGrid w:val="0"/>
                    <w:spacing w:beforeLines="0" w:afterLines="0" w:line="240" w:lineRule="auto"/>
                    <w:ind w:leftChars="0"/>
                    <w:jc w:val="both"/>
                    <w:textAlignment w:val="auto"/>
                    <w:rPr>
                      <w:rFonts w:hint="default"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val="en-US" w:eastAsia="zh-CN"/>
                    </w:rPr>
                    <w:t>2、</w:t>
                  </w:r>
                  <w:r>
                    <w:rPr>
                      <w:rFonts w:hint="default" w:ascii="Times New Roman" w:hAnsi="Times New Roman" w:eastAsia="宋体" w:cs="Times New Roman"/>
                      <w:color w:val="auto"/>
                      <w:sz w:val="21"/>
                      <w:szCs w:val="21"/>
                      <w:lang w:eastAsia="zh-CN"/>
                    </w:rPr>
                    <w:t>取水量超过园区水资源分配量</w:t>
                  </w:r>
                  <w:r>
                    <w:rPr>
                      <w:rFonts w:hint="eastAsia" w:ascii="Times New Roman" w:hAnsi="Times New Roman" w:eastAsia="宋体" w:cs="Times New Roman"/>
                      <w:color w:val="auto"/>
                      <w:sz w:val="21"/>
                      <w:szCs w:val="21"/>
                      <w:lang w:eastAsia="zh-CN"/>
                    </w:rPr>
                    <w:t>且无其他</w:t>
                  </w:r>
                  <w:r>
                    <w:rPr>
                      <w:rFonts w:hint="default" w:ascii="Times New Roman" w:hAnsi="Times New Roman" w:eastAsia="宋体" w:cs="Times New Roman"/>
                      <w:color w:val="auto"/>
                      <w:sz w:val="21"/>
                      <w:szCs w:val="21"/>
                      <w:lang w:eastAsia="zh-CN"/>
                    </w:rPr>
                    <w:t>增加项目可用水资源来源的项目</w:t>
                  </w:r>
                  <w:r>
                    <w:rPr>
                      <w:rFonts w:hint="eastAsia" w:ascii="Times New Roman" w:hAnsi="Times New Roman" w:eastAsia="宋体" w:cs="Times New Roman"/>
                      <w:color w:val="auto"/>
                      <w:sz w:val="21"/>
                      <w:szCs w:val="21"/>
                      <w:lang w:eastAsia="zh-CN"/>
                    </w:rPr>
                    <w:t>；</w:t>
                  </w:r>
                </w:p>
                <w:p w14:paraId="3AD5544E">
                  <w:pPr>
                    <w:pStyle w:val="49"/>
                    <w:keepNext w:val="0"/>
                    <w:keepLines w:val="0"/>
                    <w:pageBreakBefore w:val="0"/>
                    <w:widowControl w:val="0"/>
                    <w:numPr>
                      <w:ilvl w:val="0"/>
                      <w:numId w:val="0"/>
                    </w:numPr>
                    <w:kinsoku/>
                    <w:wordWrap/>
                    <w:overflowPunct/>
                    <w:topLinePunct w:val="0"/>
                    <w:autoSpaceDE/>
                    <w:autoSpaceDN/>
                    <w:bidi w:val="0"/>
                    <w:adjustRightInd w:val="0"/>
                    <w:snapToGrid w:val="0"/>
                    <w:spacing w:beforeLines="0" w:afterLines="0" w:line="240" w:lineRule="auto"/>
                    <w:ind w:leftChars="0"/>
                    <w:jc w:val="both"/>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3</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eastAsia="zh-CN"/>
                    </w:rPr>
                    <w:t>禁止引入无法获得煤炭指标、无煤炭消费等量或减量替代方案的新增用煤企业</w:t>
                  </w:r>
                  <w:r>
                    <w:rPr>
                      <w:rFonts w:hint="eastAsia" w:ascii="Times New Roman" w:hAnsi="Times New Roman" w:eastAsia="宋体" w:cs="Times New Roman"/>
                      <w:color w:val="auto"/>
                      <w:sz w:val="21"/>
                      <w:szCs w:val="21"/>
                      <w:lang w:eastAsia="zh-CN"/>
                    </w:rPr>
                    <w:t>。</w:t>
                  </w:r>
                </w:p>
              </w:tc>
              <w:tc>
                <w:tcPr>
                  <w:tcW w:w="1225" w:type="pct"/>
                  <w:tcBorders>
                    <w:tl2br w:val="nil"/>
                    <w:tr2bl w:val="nil"/>
                  </w:tcBorders>
                  <w:noWrap w:val="0"/>
                  <w:vAlign w:val="center"/>
                </w:tcPr>
                <w:p w14:paraId="7D87A401">
                  <w:pPr>
                    <w:pStyle w:val="49"/>
                    <w:keepNext w:val="0"/>
                    <w:keepLines w:val="0"/>
                    <w:pageBreakBefore w:val="0"/>
                    <w:widowControl w:val="0"/>
                    <w:kinsoku/>
                    <w:wordWrap/>
                    <w:overflowPunct/>
                    <w:topLinePunct w:val="0"/>
                    <w:autoSpaceDE/>
                    <w:autoSpaceDN/>
                    <w:bidi w:val="0"/>
                    <w:adjustRightInd w:val="0"/>
                    <w:snapToGrid w:val="0"/>
                    <w:spacing w:beforeLines="0" w:afterLines="0" w:line="240" w:lineRule="auto"/>
                    <w:jc w:val="center"/>
                    <w:textAlignment w:val="auto"/>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本项目工业用水仅为少量的地面冲洗水，经自然蒸发；生活污水排入抚顺县救兵镇污水处理厂处理；本项目无需用煤。</w:t>
                  </w:r>
                </w:p>
              </w:tc>
              <w:tc>
                <w:tcPr>
                  <w:tcW w:w="405" w:type="pct"/>
                  <w:tcBorders>
                    <w:tl2br w:val="nil"/>
                    <w:tr2bl w:val="nil"/>
                  </w:tcBorders>
                  <w:noWrap w:val="0"/>
                  <w:vAlign w:val="center"/>
                </w:tcPr>
                <w:p w14:paraId="4CC29AD1">
                  <w:pPr>
                    <w:pStyle w:val="49"/>
                    <w:keepNext w:val="0"/>
                    <w:keepLines w:val="0"/>
                    <w:pageBreakBefore w:val="0"/>
                    <w:widowControl w:val="0"/>
                    <w:kinsoku/>
                    <w:wordWrap/>
                    <w:overflowPunct/>
                    <w:topLinePunct w:val="0"/>
                    <w:autoSpaceDE/>
                    <w:autoSpaceDN/>
                    <w:bidi w:val="0"/>
                    <w:adjustRightInd w:val="0"/>
                    <w:snapToGrid w:val="0"/>
                    <w:spacing w:beforeLines="0" w:afterLines="0" w:line="240" w:lineRule="auto"/>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bl>
          <w:p w14:paraId="4ADE8920">
            <w:pPr>
              <w:adjustRightInd w:val="0"/>
              <w:snapToGrid w:val="0"/>
              <w:rPr>
                <w:color w:val="auto"/>
                <w:sz w:val="24"/>
                <w:szCs w:val="22"/>
                <w:highlight w:val="none"/>
              </w:rPr>
            </w:pPr>
          </w:p>
          <w:p w14:paraId="0162FF19">
            <w:pPr>
              <w:adjustRightInd w:val="0"/>
              <w:snapToGrid w:val="0"/>
              <w:ind w:firstLine="480" w:firstLineChars="200"/>
              <w:rPr>
                <w:color w:val="auto"/>
                <w:sz w:val="24"/>
                <w:highlight w:val="none"/>
              </w:rPr>
            </w:pPr>
            <w:r>
              <w:rPr>
                <w:color w:val="auto"/>
                <w:sz w:val="24"/>
                <w:szCs w:val="22"/>
                <w:highlight w:val="none"/>
              </w:rPr>
              <w:t>综上分析，本项目符合《抚顺市生态环境管控基本要求》、《</w:t>
            </w:r>
            <w:r>
              <w:rPr>
                <w:rFonts w:hint="eastAsia"/>
                <w:color w:val="auto"/>
                <w:sz w:val="24"/>
                <w:szCs w:val="22"/>
                <w:highlight w:val="none"/>
                <w:lang w:eastAsia="zh-CN"/>
              </w:rPr>
              <w:t>抚顺县</w:t>
            </w:r>
            <w:r>
              <w:rPr>
                <w:color w:val="auto"/>
                <w:sz w:val="24"/>
                <w:szCs w:val="22"/>
                <w:highlight w:val="none"/>
              </w:rPr>
              <w:t>生态环境总体准入要求》</w:t>
            </w:r>
            <w:r>
              <w:rPr>
                <w:rFonts w:hint="eastAsia"/>
                <w:color w:val="auto"/>
                <w:sz w:val="24"/>
                <w:szCs w:val="22"/>
                <w:highlight w:val="none"/>
                <w:lang w:eastAsia="zh-CN"/>
              </w:rPr>
              <w:t>、</w:t>
            </w:r>
            <w:r>
              <w:rPr>
                <w:color w:val="auto"/>
                <w:sz w:val="24"/>
                <w:szCs w:val="22"/>
                <w:highlight w:val="none"/>
              </w:rPr>
              <w:t>《</w:t>
            </w:r>
            <w:r>
              <w:rPr>
                <w:rFonts w:hint="eastAsia"/>
                <w:color w:val="auto"/>
                <w:sz w:val="24"/>
                <w:szCs w:val="22"/>
                <w:highlight w:val="none"/>
                <w:lang w:eastAsia="zh-CN"/>
              </w:rPr>
              <w:t>抚顺县</w:t>
            </w:r>
            <w:r>
              <w:rPr>
                <w:color w:val="auto"/>
                <w:sz w:val="24"/>
                <w:szCs w:val="22"/>
                <w:highlight w:val="none"/>
              </w:rPr>
              <w:t>环境管控单元准入清单》（</w:t>
            </w:r>
            <w:r>
              <w:rPr>
                <w:rFonts w:hint="eastAsia" w:ascii="Times New Roman" w:hAnsi="Times New Roman" w:eastAsia="宋体" w:cs="Times New Roman"/>
                <w:color w:val="auto"/>
                <w:sz w:val="24"/>
                <w:highlight w:val="none"/>
                <w:lang w:eastAsia="zh-CN"/>
              </w:rPr>
              <w:t>抚顺县产业园区</w:t>
            </w:r>
            <w:r>
              <w:rPr>
                <w:color w:val="auto"/>
                <w:sz w:val="24"/>
                <w:szCs w:val="22"/>
                <w:highlight w:val="none"/>
              </w:rPr>
              <w:t>）</w:t>
            </w:r>
            <w:r>
              <w:rPr>
                <w:rFonts w:hint="eastAsia"/>
                <w:color w:val="auto"/>
                <w:sz w:val="24"/>
                <w:szCs w:val="22"/>
                <w:highlight w:val="none"/>
                <w:lang w:eastAsia="zh-CN"/>
              </w:rPr>
              <w:t>和</w:t>
            </w:r>
            <w:r>
              <w:rPr>
                <w:rFonts w:hint="eastAsia" w:ascii="Times New Roman" w:hAnsi="Times New Roman" w:eastAsia="宋体" w:cs="Times New Roman"/>
                <w:b w:val="0"/>
                <w:bCs w:val="0"/>
                <w:color w:val="auto"/>
                <w:sz w:val="24"/>
                <w:highlight w:val="none"/>
                <w:lang w:eastAsia="zh-CN"/>
              </w:rPr>
              <w:t>《抚顺县产业园区环境准入负面清单》</w:t>
            </w:r>
            <w:r>
              <w:rPr>
                <w:color w:val="auto"/>
                <w:sz w:val="24"/>
                <w:szCs w:val="22"/>
                <w:highlight w:val="none"/>
              </w:rPr>
              <w:t>要求。</w:t>
            </w:r>
          </w:p>
          <w:p w14:paraId="2250F722">
            <w:pPr>
              <w:numPr>
                <w:ilvl w:val="0"/>
                <w:numId w:val="7"/>
              </w:numPr>
              <w:adjustRightInd w:val="0"/>
              <w:snapToGrid w:val="0"/>
              <w:spacing w:line="240" w:lineRule="auto"/>
              <w:rPr>
                <w:b/>
                <w:bCs/>
                <w:color w:val="auto"/>
                <w:sz w:val="24"/>
                <w:highlight w:val="none"/>
              </w:rPr>
            </w:pPr>
            <w:r>
              <w:rPr>
                <w:rFonts w:hint="eastAsia"/>
                <w:b/>
                <w:bCs/>
                <w:color w:val="auto"/>
                <w:sz w:val="24"/>
                <w:highlight w:val="none"/>
              </w:rPr>
              <w:t>相关</w:t>
            </w:r>
            <w:r>
              <w:rPr>
                <w:rFonts w:hint="eastAsia"/>
                <w:b/>
                <w:bCs/>
                <w:color w:val="auto"/>
                <w:sz w:val="24"/>
                <w:highlight w:val="none"/>
                <w:lang w:eastAsia="zh-CN"/>
              </w:rPr>
              <w:t>环境管理</w:t>
            </w:r>
            <w:r>
              <w:rPr>
                <w:b/>
                <w:bCs/>
                <w:color w:val="auto"/>
                <w:sz w:val="24"/>
                <w:highlight w:val="none"/>
              </w:rPr>
              <w:t>政策相符性分析</w:t>
            </w:r>
          </w:p>
          <w:p w14:paraId="0D0DC542">
            <w:pPr>
              <w:numPr>
                <w:ilvl w:val="0"/>
                <w:numId w:val="0"/>
              </w:numPr>
              <w:adjustRightInd w:val="0"/>
              <w:snapToGrid w:val="0"/>
              <w:spacing w:line="240" w:lineRule="auto"/>
              <w:rPr>
                <w:b/>
                <w:bCs/>
                <w:color w:val="auto"/>
                <w:sz w:val="24"/>
                <w:highlight w:val="none"/>
              </w:rPr>
            </w:pPr>
          </w:p>
          <w:p w14:paraId="7C72D85C">
            <w:pPr>
              <w:pStyle w:val="75"/>
              <w:keepNext w:val="0"/>
              <w:keepLines w:val="0"/>
              <w:pageBreakBefore w:val="0"/>
              <w:widowControl w:val="0"/>
              <w:numPr>
                <w:ilvl w:val="0"/>
                <w:numId w:val="4"/>
              </w:numPr>
              <w:kinsoku/>
              <w:wordWrap/>
              <w:overflowPunct/>
              <w:topLinePunct w:val="0"/>
              <w:autoSpaceDE/>
              <w:autoSpaceDN/>
              <w:bidi w:val="0"/>
              <w:adjustRightInd/>
              <w:snapToGrid/>
              <w:spacing w:line="360" w:lineRule="auto"/>
              <w:ind w:left="0" w:leftChars="0" w:firstLine="0" w:firstLineChars="0"/>
              <w:jc w:val="center"/>
              <w:textAlignment w:val="auto"/>
              <w:rPr>
                <w:rFonts w:hint="eastAsia" w:ascii="Times New Roman" w:hAnsi="Times New Roman" w:eastAsia="宋体" w:cs="Times New Roman"/>
                <w:b/>
                <w:bCs/>
                <w:color w:val="auto"/>
                <w:sz w:val="21"/>
                <w:szCs w:val="21"/>
                <w:lang w:val="en-US" w:eastAsia="zh-CN"/>
              </w:rPr>
            </w:pPr>
            <w:r>
              <w:rPr>
                <w:rFonts w:hint="eastAsia" w:ascii="Times New Roman" w:hAnsi="Times New Roman" w:eastAsia="宋体" w:cs="Times New Roman"/>
                <w:b/>
                <w:bCs/>
                <w:color w:val="auto"/>
                <w:sz w:val="21"/>
                <w:szCs w:val="21"/>
                <w:lang w:val="en-US" w:eastAsia="zh-CN"/>
              </w:rPr>
              <w:t xml:space="preserve">  本项目与相关政策等相符性分析</w:t>
            </w:r>
          </w:p>
          <w:tbl>
            <w:tblPr>
              <w:tblStyle w:val="25"/>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13"/>
              <w:gridCol w:w="2795"/>
              <w:gridCol w:w="2437"/>
              <w:gridCol w:w="770"/>
            </w:tblGrid>
            <w:tr w14:paraId="6AF326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2681" w:type="pct"/>
                  <w:gridSpan w:val="2"/>
                  <w:noWrap w:val="0"/>
                  <w:vAlign w:val="center"/>
                </w:tcPr>
                <w:p w14:paraId="6285C58D">
                  <w:pPr>
                    <w:pStyle w:val="55"/>
                    <w:jc w:val="center"/>
                    <w:rPr>
                      <w:color w:val="auto"/>
                      <w:sz w:val="21"/>
                      <w:szCs w:val="21"/>
                      <w:highlight w:val="none"/>
                    </w:rPr>
                  </w:pPr>
                  <w:r>
                    <w:rPr>
                      <w:color w:val="auto"/>
                      <w:sz w:val="21"/>
                      <w:szCs w:val="21"/>
                      <w:highlight w:val="none"/>
                    </w:rPr>
                    <w:t>环保政策要求</w:t>
                  </w:r>
                </w:p>
              </w:tc>
              <w:tc>
                <w:tcPr>
                  <w:tcW w:w="1762" w:type="pct"/>
                  <w:noWrap w:val="0"/>
                  <w:vAlign w:val="center"/>
                </w:tcPr>
                <w:p w14:paraId="34C7DAD5">
                  <w:pPr>
                    <w:pStyle w:val="55"/>
                    <w:jc w:val="center"/>
                    <w:rPr>
                      <w:color w:val="auto"/>
                      <w:sz w:val="21"/>
                      <w:szCs w:val="21"/>
                      <w:highlight w:val="none"/>
                    </w:rPr>
                  </w:pPr>
                  <w:r>
                    <w:rPr>
                      <w:color w:val="auto"/>
                      <w:sz w:val="21"/>
                      <w:szCs w:val="21"/>
                      <w:highlight w:val="none"/>
                    </w:rPr>
                    <w:t>相符性分析</w:t>
                  </w:r>
                </w:p>
              </w:tc>
              <w:tc>
                <w:tcPr>
                  <w:tcW w:w="556" w:type="pct"/>
                  <w:noWrap w:val="0"/>
                  <w:vAlign w:val="center"/>
                </w:tcPr>
                <w:p w14:paraId="5F1B46B5">
                  <w:pPr>
                    <w:pStyle w:val="55"/>
                    <w:jc w:val="center"/>
                    <w:rPr>
                      <w:color w:val="auto"/>
                      <w:sz w:val="21"/>
                      <w:szCs w:val="21"/>
                      <w:highlight w:val="none"/>
                    </w:rPr>
                  </w:pPr>
                  <w:r>
                    <w:rPr>
                      <w:color w:val="auto"/>
                      <w:sz w:val="21"/>
                      <w:szCs w:val="21"/>
                      <w:highlight w:val="none"/>
                    </w:rPr>
                    <w:t>相符性</w:t>
                  </w:r>
                </w:p>
              </w:tc>
            </w:tr>
            <w:tr w14:paraId="59C07B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5000" w:type="pct"/>
                  <w:gridSpan w:val="4"/>
                  <w:noWrap w:val="0"/>
                  <w:vAlign w:val="center"/>
                </w:tcPr>
                <w:p w14:paraId="65F8BA68">
                  <w:pPr>
                    <w:pStyle w:val="55"/>
                    <w:jc w:val="center"/>
                    <w:rPr>
                      <w:color w:val="auto"/>
                      <w:sz w:val="21"/>
                      <w:szCs w:val="21"/>
                      <w:highlight w:val="none"/>
                    </w:rPr>
                  </w:pPr>
                  <w:r>
                    <w:rPr>
                      <w:rFonts w:hint="eastAsia"/>
                      <w:b/>
                      <w:bCs/>
                      <w:color w:val="auto"/>
                      <w:sz w:val="21"/>
                      <w:szCs w:val="21"/>
                      <w:highlight w:val="none"/>
                    </w:rPr>
                    <w:t>《“十三五”挥发性有机物污染防治工作方案》（环大气</w:t>
                  </w:r>
                  <w:r>
                    <w:rPr>
                      <w:rFonts w:hint="eastAsia"/>
                      <w:b/>
                      <w:bCs/>
                      <w:color w:val="auto"/>
                      <w:sz w:val="21"/>
                      <w:szCs w:val="21"/>
                      <w:lang w:bidi="zh-CN"/>
                    </w:rPr>
                    <w:t>〔201</w:t>
                  </w:r>
                  <w:r>
                    <w:rPr>
                      <w:rFonts w:hint="eastAsia"/>
                      <w:b/>
                      <w:bCs/>
                      <w:color w:val="auto"/>
                      <w:sz w:val="21"/>
                      <w:szCs w:val="21"/>
                      <w:lang w:val="en-US" w:bidi="zh-CN"/>
                    </w:rPr>
                    <w:t>7</w:t>
                  </w:r>
                  <w:r>
                    <w:rPr>
                      <w:rFonts w:hint="eastAsia"/>
                      <w:b/>
                      <w:bCs/>
                      <w:color w:val="auto"/>
                      <w:sz w:val="21"/>
                      <w:szCs w:val="21"/>
                      <w:lang w:bidi="zh-CN"/>
                    </w:rPr>
                    <w:t>〕</w:t>
                  </w:r>
                  <w:r>
                    <w:rPr>
                      <w:rFonts w:hint="eastAsia"/>
                      <w:b/>
                      <w:bCs/>
                      <w:color w:val="auto"/>
                      <w:sz w:val="21"/>
                      <w:szCs w:val="21"/>
                      <w:highlight w:val="none"/>
                    </w:rPr>
                    <w:t>121号）</w:t>
                  </w:r>
                </w:p>
              </w:tc>
            </w:tr>
            <w:tr w14:paraId="771AF8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2681" w:type="pct"/>
                  <w:gridSpan w:val="2"/>
                  <w:noWrap w:val="0"/>
                  <w:vAlign w:val="center"/>
                </w:tcPr>
                <w:p w14:paraId="1B7B472F">
                  <w:pPr>
                    <w:pStyle w:val="55"/>
                    <w:numPr>
                      <w:ilvl w:val="0"/>
                      <w:numId w:val="8"/>
                    </w:numPr>
                    <w:jc w:val="both"/>
                    <w:rPr>
                      <w:rFonts w:hint="eastAsia"/>
                      <w:color w:val="auto"/>
                      <w:sz w:val="21"/>
                      <w:szCs w:val="21"/>
                      <w:highlight w:val="none"/>
                      <w:lang w:eastAsia="zh-CN"/>
                    </w:rPr>
                  </w:pPr>
                  <w:r>
                    <w:rPr>
                      <w:rFonts w:hint="eastAsia"/>
                      <w:color w:val="auto"/>
                      <w:sz w:val="21"/>
                      <w:szCs w:val="21"/>
                      <w:highlight w:val="none"/>
                      <w:lang w:eastAsia="zh-CN"/>
                    </w:rPr>
                    <w:t>治理重点。</w:t>
                  </w:r>
                </w:p>
                <w:p w14:paraId="2D63DCC0">
                  <w:pPr>
                    <w:pStyle w:val="55"/>
                    <w:numPr>
                      <w:ilvl w:val="0"/>
                      <w:numId w:val="0"/>
                    </w:numPr>
                    <w:jc w:val="both"/>
                    <w:rPr>
                      <w:color w:val="auto"/>
                      <w:sz w:val="21"/>
                      <w:szCs w:val="21"/>
                      <w:highlight w:val="none"/>
                    </w:rPr>
                  </w:pPr>
                  <w:r>
                    <w:rPr>
                      <w:rFonts w:hint="eastAsia"/>
                      <w:color w:val="auto"/>
                      <w:sz w:val="21"/>
                      <w:szCs w:val="21"/>
                      <w:highlight w:val="none"/>
                      <w:lang w:eastAsia="zh-CN"/>
                    </w:rPr>
                    <w:t>（一）重点地区。京津冀及周边、长三角、珠三角、成渝、武汉及其周边、辽宁中部、陕西关中、长株潭等区域，涉及北京、天津、河北、辽宁、上海、江苏、浙江、安徽、山东、河南、广东、湖北、湖南、重庆、四川、陕西等16个省（市）。</w:t>
                  </w:r>
                </w:p>
              </w:tc>
              <w:tc>
                <w:tcPr>
                  <w:tcW w:w="1762" w:type="pct"/>
                  <w:noWrap w:val="0"/>
                  <w:vAlign w:val="center"/>
                </w:tcPr>
                <w:p w14:paraId="09DC4B7B">
                  <w:pPr>
                    <w:pStyle w:val="56"/>
                    <w:adjustRightInd w:val="0"/>
                    <w:spacing w:line="241" w:lineRule="exact"/>
                    <w:jc w:val="both"/>
                    <w:rPr>
                      <w:rFonts w:ascii="Times New Roman" w:hAnsi="Times New Roman" w:cs="Times New Roman"/>
                      <w:color w:val="auto"/>
                      <w:sz w:val="21"/>
                      <w:szCs w:val="21"/>
                      <w:highlight w:val="none"/>
                      <w:lang w:eastAsia="zh-CN"/>
                    </w:rPr>
                  </w:pPr>
                  <w:r>
                    <w:rPr>
                      <w:rFonts w:ascii="Times New Roman" w:hAnsi="Times New Roman" w:cs="Times New Roman"/>
                      <w:color w:val="auto"/>
                      <w:sz w:val="21"/>
                      <w:szCs w:val="21"/>
                      <w:highlight w:val="none"/>
                    </w:rPr>
                    <w:t>本项目</w:t>
                  </w:r>
                  <w:r>
                    <w:rPr>
                      <w:rFonts w:hint="eastAsia" w:ascii="Times New Roman" w:hAnsi="Times New Roman" w:cs="Times New Roman"/>
                      <w:color w:val="auto"/>
                      <w:sz w:val="21"/>
                      <w:szCs w:val="21"/>
                      <w:highlight w:val="none"/>
                      <w:lang w:eastAsia="zh-CN"/>
                    </w:rPr>
                    <w:t>位于辽宁省抚顺市，属于治理重点地区</w:t>
                  </w:r>
                  <w:r>
                    <w:rPr>
                      <w:rFonts w:ascii="Times New Roman" w:hAnsi="Times New Roman" w:cs="Times New Roman"/>
                      <w:color w:val="auto"/>
                      <w:sz w:val="21"/>
                      <w:szCs w:val="21"/>
                      <w:highlight w:val="none"/>
                    </w:rPr>
                    <w:t>。</w:t>
                  </w:r>
                </w:p>
              </w:tc>
              <w:tc>
                <w:tcPr>
                  <w:tcW w:w="556" w:type="pct"/>
                  <w:noWrap w:val="0"/>
                  <w:vAlign w:val="center"/>
                </w:tcPr>
                <w:p w14:paraId="74FB8A39">
                  <w:pPr>
                    <w:pStyle w:val="55"/>
                    <w:jc w:val="center"/>
                    <w:rPr>
                      <w:color w:val="auto"/>
                      <w:sz w:val="21"/>
                      <w:szCs w:val="21"/>
                      <w:highlight w:val="none"/>
                    </w:rPr>
                  </w:pPr>
                  <w:r>
                    <w:rPr>
                      <w:color w:val="auto"/>
                      <w:sz w:val="21"/>
                      <w:szCs w:val="21"/>
                      <w:highlight w:val="none"/>
                    </w:rPr>
                    <w:t>符合</w:t>
                  </w:r>
                </w:p>
              </w:tc>
            </w:tr>
            <w:tr w14:paraId="4C3477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2681" w:type="pct"/>
                  <w:gridSpan w:val="2"/>
                  <w:noWrap w:val="0"/>
                  <w:vAlign w:val="center"/>
                </w:tcPr>
                <w:p w14:paraId="4FD061CA">
                  <w:pPr>
                    <w:pStyle w:val="55"/>
                    <w:numPr>
                      <w:ilvl w:val="0"/>
                      <w:numId w:val="0"/>
                    </w:numPr>
                    <w:jc w:val="both"/>
                    <w:rPr>
                      <w:rFonts w:hint="eastAsia"/>
                      <w:color w:val="auto"/>
                      <w:sz w:val="21"/>
                      <w:szCs w:val="21"/>
                      <w:highlight w:val="none"/>
                      <w:lang w:eastAsia="zh-CN"/>
                    </w:rPr>
                  </w:pPr>
                  <w:r>
                    <w:rPr>
                      <w:rFonts w:hint="eastAsia"/>
                      <w:color w:val="auto"/>
                      <w:sz w:val="21"/>
                      <w:szCs w:val="21"/>
                      <w:highlight w:val="none"/>
                      <w:lang w:eastAsia="zh-CN"/>
                    </w:rPr>
                    <w:t>（二）</w:t>
                  </w:r>
                  <w:r>
                    <w:rPr>
                      <w:rFonts w:hint="default" w:ascii="Times New Roman" w:hAnsi="Times New Roman" w:cs="Times New Roman"/>
                      <w:color w:val="auto"/>
                      <w:sz w:val="21"/>
                      <w:szCs w:val="21"/>
                    </w:rPr>
                    <w:t>重点行业。重点推进石化、化工、包装印刷、工业涂装等重点行业以及机动车、油品储运销等交通源VOCs污染防治，实施一批重点工程。各地应结合自身产业结构特征、VOCs排放来源等，确定本地VOCs控制重点行业；充分考虑行业产能利用率、生产工艺特征以及污染物排放情况等，结合环境空气质量季节性变化特征，研究制定行业生产调控措施</w:t>
                  </w:r>
                  <w:r>
                    <w:rPr>
                      <w:rFonts w:hint="default" w:ascii="Times New Roman" w:hAnsi="Times New Roman" w:cs="Times New Roman"/>
                      <w:color w:val="auto"/>
                      <w:sz w:val="21"/>
                      <w:szCs w:val="21"/>
                      <w:lang w:eastAsia="zh-CN"/>
                    </w:rPr>
                    <w:t>。</w:t>
                  </w:r>
                </w:p>
              </w:tc>
              <w:tc>
                <w:tcPr>
                  <w:tcW w:w="1762" w:type="pct"/>
                  <w:noWrap w:val="0"/>
                  <w:vAlign w:val="center"/>
                </w:tcPr>
                <w:p w14:paraId="3062C273">
                  <w:pPr>
                    <w:pStyle w:val="56"/>
                    <w:adjustRightInd w:val="0"/>
                    <w:spacing w:line="241" w:lineRule="exact"/>
                    <w:jc w:val="both"/>
                    <w:rPr>
                      <w:rFonts w:ascii="Times New Roman" w:hAnsi="Times New Roman" w:cs="Times New Roman"/>
                      <w:color w:val="auto"/>
                      <w:sz w:val="21"/>
                      <w:szCs w:val="21"/>
                      <w:highlight w:val="none"/>
                    </w:rPr>
                  </w:pPr>
                  <w:r>
                    <w:rPr>
                      <w:rFonts w:hint="default" w:ascii="Times New Roman" w:hAnsi="Times New Roman" w:cs="Times New Roman"/>
                      <w:color w:val="auto"/>
                      <w:sz w:val="21"/>
                      <w:szCs w:val="21"/>
                    </w:rPr>
                    <w:t>本项目为</w:t>
                  </w:r>
                  <w:r>
                    <w:rPr>
                      <w:rFonts w:hint="eastAsia" w:ascii="Times New Roman" w:hAnsi="Times New Roman" w:cs="Times New Roman"/>
                      <w:color w:val="auto"/>
                      <w:sz w:val="21"/>
                      <w:szCs w:val="21"/>
                      <w:lang w:eastAsia="zh-CN"/>
                    </w:rPr>
                    <w:t>地板制造</w:t>
                  </w:r>
                  <w:r>
                    <w:rPr>
                      <w:rFonts w:hint="default" w:ascii="Times New Roman" w:hAnsi="Times New Roman" w:cs="Times New Roman"/>
                      <w:color w:val="auto"/>
                      <w:sz w:val="21"/>
                      <w:szCs w:val="21"/>
                      <w:lang w:eastAsia="zh-CN"/>
                    </w:rPr>
                    <w:t>项目</w:t>
                  </w:r>
                  <w:r>
                    <w:rPr>
                      <w:rFonts w:hint="default" w:ascii="Times New Roman" w:hAnsi="Times New Roman" w:cs="Times New Roman"/>
                      <w:color w:val="auto"/>
                      <w:sz w:val="21"/>
                      <w:szCs w:val="21"/>
                    </w:rPr>
                    <w:t>，</w:t>
                  </w:r>
                  <w:r>
                    <w:rPr>
                      <w:rFonts w:hint="eastAsia" w:ascii="Times New Roman" w:hAnsi="Times New Roman" w:eastAsia="宋体" w:cs="Times New Roman"/>
                      <w:color w:val="auto"/>
                      <w:kern w:val="2"/>
                      <w:sz w:val="21"/>
                      <w:szCs w:val="21"/>
                      <w:highlight w:val="none"/>
                      <w:lang w:val="en-US" w:eastAsia="zh-CN" w:bidi="ar-SA"/>
                    </w:rPr>
                    <w:t>辊涂工序属于工业涂装，会产生</w:t>
                  </w:r>
                  <w:r>
                    <w:rPr>
                      <w:rFonts w:hint="default" w:ascii="Times New Roman" w:hAnsi="Times New Roman" w:cs="Times New Roman"/>
                      <w:color w:val="auto"/>
                      <w:sz w:val="21"/>
                      <w:szCs w:val="21"/>
                    </w:rPr>
                    <w:t>挥发性有机物，经过处理后可以稳定达标排放</w:t>
                  </w:r>
                  <w:r>
                    <w:rPr>
                      <w:rFonts w:hint="default" w:ascii="Times New Roman" w:hAnsi="Times New Roman" w:cs="Times New Roman"/>
                      <w:color w:val="auto"/>
                      <w:sz w:val="21"/>
                      <w:szCs w:val="21"/>
                      <w:lang w:eastAsia="zh-CN"/>
                    </w:rPr>
                    <w:t>。</w:t>
                  </w:r>
                </w:p>
              </w:tc>
              <w:tc>
                <w:tcPr>
                  <w:tcW w:w="556" w:type="pct"/>
                  <w:noWrap w:val="0"/>
                  <w:vAlign w:val="center"/>
                </w:tcPr>
                <w:p w14:paraId="5A0D4BE9">
                  <w:pPr>
                    <w:pStyle w:val="55"/>
                    <w:jc w:val="center"/>
                    <w:rPr>
                      <w:color w:val="auto"/>
                      <w:sz w:val="21"/>
                      <w:szCs w:val="21"/>
                      <w:highlight w:val="none"/>
                    </w:rPr>
                  </w:pPr>
                </w:p>
              </w:tc>
            </w:tr>
            <w:tr w14:paraId="70201F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2681" w:type="pct"/>
                  <w:gridSpan w:val="2"/>
                  <w:noWrap w:val="0"/>
                  <w:vAlign w:val="center"/>
                </w:tcPr>
                <w:p w14:paraId="7D3AFAB9">
                  <w:pPr>
                    <w:pStyle w:val="55"/>
                    <w:numPr>
                      <w:ilvl w:val="0"/>
                      <w:numId w:val="0"/>
                    </w:numPr>
                    <w:jc w:val="both"/>
                    <w:rPr>
                      <w:rFonts w:hint="eastAsia"/>
                      <w:color w:val="auto"/>
                      <w:sz w:val="21"/>
                      <w:szCs w:val="21"/>
                      <w:highlight w:val="none"/>
                      <w:lang w:eastAsia="zh-CN"/>
                    </w:rPr>
                  </w:pPr>
                  <w:r>
                    <w:rPr>
                      <w:rFonts w:hint="eastAsia"/>
                      <w:color w:val="auto"/>
                      <w:sz w:val="21"/>
                      <w:szCs w:val="21"/>
                      <w:highlight w:val="none"/>
                      <w:lang w:eastAsia="zh-CN"/>
                    </w:rPr>
                    <w:t>（三）重点污染物。加强活性强的VOCs排放控制，主要为芳香烃、烯烃、炔烃、醛类等。各地应紧密围绕本地环境空气质量改善需求，基于</w:t>
                  </w:r>
                  <w:r>
                    <w:rPr>
                      <w:rFonts w:hint="eastAsia"/>
                      <w:color w:val="auto"/>
                      <w:sz w:val="21"/>
                      <w:szCs w:val="21"/>
                      <w:highlight w:val="none"/>
                      <w:lang w:val="en-US" w:eastAsia="zh-CN"/>
                    </w:rPr>
                    <w:t>O</w:t>
                  </w:r>
                  <w:r>
                    <w:rPr>
                      <w:rFonts w:hint="eastAsia"/>
                      <w:color w:val="auto"/>
                      <w:sz w:val="21"/>
                      <w:szCs w:val="21"/>
                      <w:highlight w:val="none"/>
                      <w:vertAlign w:val="subscript"/>
                      <w:lang w:val="en-US" w:eastAsia="zh-CN"/>
                    </w:rPr>
                    <w:t>3</w:t>
                  </w:r>
                  <w:r>
                    <w:rPr>
                      <w:rFonts w:hint="eastAsia"/>
                      <w:color w:val="auto"/>
                      <w:sz w:val="21"/>
                      <w:szCs w:val="21"/>
                      <w:highlight w:val="none"/>
                      <w:lang w:eastAsia="zh-CN"/>
                    </w:rPr>
                    <w:t>和PM</w:t>
                  </w:r>
                  <w:r>
                    <w:rPr>
                      <w:rFonts w:hint="eastAsia"/>
                      <w:color w:val="auto"/>
                      <w:sz w:val="21"/>
                      <w:szCs w:val="21"/>
                      <w:highlight w:val="none"/>
                      <w:vertAlign w:val="subscript"/>
                      <w:lang w:val="en-US" w:eastAsia="zh-CN"/>
                    </w:rPr>
                    <w:t>2.5</w:t>
                  </w:r>
                  <w:r>
                    <w:rPr>
                      <w:rFonts w:hint="eastAsia"/>
                      <w:color w:val="auto"/>
                      <w:sz w:val="21"/>
                      <w:szCs w:val="21"/>
                      <w:highlight w:val="none"/>
                      <w:lang w:eastAsia="zh-CN"/>
                    </w:rPr>
                    <w:t>来源解析，确定VOCs控制重点。</w:t>
                  </w:r>
                </w:p>
              </w:tc>
              <w:tc>
                <w:tcPr>
                  <w:tcW w:w="1762" w:type="pct"/>
                  <w:noWrap w:val="0"/>
                  <w:vAlign w:val="center"/>
                </w:tcPr>
                <w:p w14:paraId="0CB8A0DF">
                  <w:pPr>
                    <w:pStyle w:val="56"/>
                    <w:adjustRightInd w:val="0"/>
                    <w:spacing w:line="241" w:lineRule="exact"/>
                    <w:jc w:val="both"/>
                    <w:rPr>
                      <w:rFonts w:ascii="Times New Roman" w:hAnsi="Times New Roman" w:cs="Times New Roman"/>
                      <w:color w:val="auto"/>
                      <w:sz w:val="21"/>
                      <w:szCs w:val="21"/>
                      <w:highlight w:val="none"/>
                    </w:rPr>
                  </w:pPr>
                  <w:r>
                    <w:rPr>
                      <w:rFonts w:hint="eastAsia" w:ascii="Times New Roman" w:hAnsi="Times New Roman" w:eastAsia="宋体" w:cs="Times New Roman"/>
                      <w:color w:val="auto"/>
                      <w:kern w:val="2"/>
                      <w:sz w:val="21"/>
                      <w:szCs w:val="21"/>
                      <w:highlight w:val="none"/>
                      <w:lang w:val="en-US" w:eastAsia="zh-CN" w:bidi="ar-SA"/>
                    </w:rPr>
                    <w:t>本项目指接、辊漆、</w:t>
                  </w:r>
                  <w:r>
                    <w:rPr>
                      <w:rFonts w:hint="eastAsia" w:ascii="Times New Roman" w:hAnsi="Times New Roman" w:eastAsia="宋体" w:cs="Times New Roman"/>
                      <w:color w:val="auto"/>
                      <w:sz w:val="21"/>
                      <w:szCs w:val="21"/>
                      <w:highlight w:val="none"/>
                      <w:lang w:val="en-US" w:eastAsia="zh-CN"/>
                    </w:rPr>
                    <w:t>紫外光固化</w:t>
                  </w:r>
                  <w:r>
                    <w:rPr>
                      <w:rFonts w:hint="eastAsia" w:ascii="Times New Roman" w:hAnsi="Times New Roman" w:eastAsia="宋体" w:cs="Times New Roman"/>
                      <w:color w:val="auto"/>
                      <w:kern w:val="2"/>
                      <w:sz w:val="21"/>
                      <w:szCs w:val="21"/>
                      <w:highlight w:val="none"/>
                      <w:lang w:val="en-US" w:eastAsia="zh-CN" w:bidi="ar-SA"/>
                    </w:rPr>
                    <w:t>工段会产生挥发性有机物，属于重点污染物。</w:t>
                  </w:r>
                  <w:r>
                    <w:rPr>
                      <w:rFonts w:hint="eastAsia"/>
                      <w:color w:val="auto"/>
                      <w:sz w:val="21"/>
                      <w:szCs w:val="21"/>
                      <w:lang w:val="en-US" w:eastAsia="zh-CN"/>
                    </w:rPr>
                    <w:t>木工胶</w:t>
                  </w:r>
                  <w:r>
                    <w:rPr>
                      <w:rFonts w:hint="default" w:ascii="Times New Roman" w:hAnsi="Times New Roman" w:cs="Times New Roman"/>
                      <w:color w:val="auto"/>
                      <w:sz w:val="21"/>
                      <w:szCs w:val="21"/>
                      <w:lang w:val="en-US" w:eastAsia="zh-CN"/>
                    </w:rPr>
                    <w:t>VOCs</w:t>
                  </w:r>
                  <w:r>
                    <w:rPr>
                      <w:rFonts w:hint="eastAsia"/>
                      <w:color w:val="auto"/>
                      <w:sz w:val="21"/>
                      <w:szCs w:val="21"/>
                      <w:lang w:val="en-US" w:eastAsia="zh-CN"/>
                    </w:rPr>
                    <w:t>含量极少，本次环评不对其使用过程中产生的废气进行定量计算；</w:t>
                  </w:r>
                  <w:r>
                    <w:rPr>
                      <w:rFonts w:hint="eastAsia" w:ascii="Times New Roman" w:hAnsi="Times New Roman" w:eastAsia="宋体" w:cs="Times New Roman"/>
                      <w:color w:val="auto"/>
                      <w:kern w:val="2"/>
                      <w:sz w:val="21"/>
                      <w:szCs w:val="21"/>
                      <w:highlight w:val="none"/>
                      <w:lang w:val="en-US" w:eastAsia="zh-CN" w:bidi="ar-SA"/>
                    </w:rPr>
                    <w:t>辊漆、</w:t>
                  </w:r>
                  <w:r>
                    <w:rPr>
                      <w:rFonts w:hint="eastAsia" w:ascii="Times New Roman" w:hAnsi="Times New Roman" w:eastAsia="宋体" w:cs="Times New Roman"/>
                      <w:color w:val="auto"/>
                      <w:sz w:val="21"/>
                      <w:szCs w:val="21"/>
                      <w:highlight w:val="none"/>
                      <w:lang w:val="en-US" w:eastAsia="zh-CN"/>
                    </w:rPr>
                    <w:t>紫外光固化</w:t>
                  </w:r>
                  <w:r>
                    <w:rPr>
                      <w:rFonts w:hint="eastAsia" w:ascii="Times New Roman" w:hAnsi="Times New Roman" w:eastAsia="宋体" w:cs="Times New Roman"/>
                      <w:color w:val="auto"/>
                      <w:kern w:val="2"/>
                      <w:sz w:val="21"/>
                      <w:szCs w:val="21"/>
                      <w:highlight w:val="none"/>
                      <w:lang w:val="en-US" w:eastAsia="zh-CN" w:bidi="ar-SA"/>
                    </w:rPr>
                    <w:t>工段</w:t>
                  </w:r>
                  <w:r>
                    <w:rPr>
                      <w:rFonts w:hint="eastAsia" w:ascii="Times New Roman" w:hAnsi="Times New Roman" w:eastAsia="宋体" w:cs="Times New Roman"/>
                      <w:color w:val="auto"/>
                      <w:kern w:val="2"/>
                      <w:sz w:val="21"/>
                      <w:szCs w:val="21"/>
                      <w:highlight w:val="none"/>
                      <w:lang w:val="en-US" w:eastAsia="zh-CN" w:bidi="ar-SA"/>
                    </w:rPr>
                    <w:t>采用集气罩收集，处理工艺为</w:t>
                  </w:r>
                  <w:r>
                    <w:rPr>
                      <w:rFonts w:hint="eastAsia" w:ascii="Times New Roman" w:hAnsi="Times New Roman" w:eastAsia="宋体" w:cs="Times New Roman"/>
                      <w:color w:val="auto"/>
                      <w:sz w:val="21"/>
                      <w:szCs w:val="21"/>
                      <w:highlight w:val="none"/>
                      <w:lang w:eastAsia="zh-CN"/>
                    </w:rPr>
                    <w:t>带有自动控制系统的</w:t>
                  </w:r>
                  <w:r>
                    <w:rPr>
                      <w:rFonts w:hint="eastAsia" w:ascii="Times New Roman" w:hAnsi="Times New Roman" w:eastAsia="宋体" w:cs="Times New Roman"/>
                      <w:color w:val="auto"/>
                      <w:kern w:val="2"/>
                      <w:sz w:val="21"/>
                      <w:szCs w:val="21"/>
                      <w:highlight w:val="none"/>
                      <w:lang w:val="en-US" w:eastAsia="zh-CN" w:bidi="ar-SA"/>
                    </w:rPr>
                    <w:t>二级活性炭吸附，处理后经15m高排气筒达标排放。</w:t>
                  </w:r>
                </w:p>
              </w:tc>
              <w:tc>
                <w:tcPr>
                  <w:tcW w:w="556" w:type="pct"/>
                  <w:noWrap w:val="0"/>
                  <w:vAlign w:val="center"/>
                </w:tcPr>
                <w:p w14:paraId="64246FEE">
                  <w:pPr>
                    <w:pStyle w:val="55"/>
                    <w:jc w:val="center"/>
                    <w:rPr>
                      <w:color w:val="auto"/>
                      <w:sz w:val="21"/>
                      <w:szCs w:val="21"/>
                      <w:highlight w:val="none"/>
                    </w:rPr>
                  </w:pPr>
                  <w:r>
                    <w:rPr>
                      <w:color w:val="auto"/>
                      <w:sz w:val="21"/>
                      <w:szCs w:val="21"/>
                      <w:highlight w:val="none"/>
                    </w:rPr>
                    <w:t>符合</w:t>
                  </w:r>
                </w:p>
              </w:tc>
            </w:tr>
            <w:tr w14:paraId="53BBEF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2681" w:type="pct"/>
                  <w:gridSpan w:val="2"/>
                  <w:noWrap w:val="0"/>
                  <w:vAlign w:val="center"/>
                </w:tcPr>
                <w:p w14:paraId="00E42CE1">
                  <w:pPr>
                    <w:pStyle w:val="55"/>
                    <w:numPr>
                      <w:ilvl w:val="0"/>
                      <w:numId w:val="8"/>
                    </w:numPr>
                    <w:ind w:left="0" w:leftChars="0" w:firstLine="0" w:firstLineChars="0"/>
                    <w:jc w:val="both"/>
                    <w:rPr>
                      <w:rFonts w:hint="eastAsia"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主要任务</w:t>
                  </w:r>
                </w:p>
                <w:p w14:paraId="67841BF4">
                  <w:pPr>
                    <w:pStyle w:val="55"/>
                    <w:numPr>
                      <w:ilvl w:val="0"/>
                      <w:numId w:val="9"/>
                    </w:numPr>
                    <w:ind w:leftChars="0"/>
                    <w:jc w:val="both"/>
                    <w:rPr>
                      <w:rFonts w:hint="eastAsia"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加大产业结构调整力度。</w:t>
                  </w:r>
                </w:p>
                <w:p w14:paraId="1005F15F">
                  <w:pPr>
                    <w:pStyle w:val="55"/>
                    <w:numPr>
                      <w:ilvl w:val="0"/>
                      <w:numId w:val="0"/>
                    </w:numPr>
                    <w:jc w:val="both"/>
                    <w:rPr>
                      <w:rFonts w:hint="eastAsia"/>
                      <w:color w:val="auto"/>
                      <w:sz w:val="21"/>
                      <w:szCs w:val="21"/>
                      <w:highlight w:val="none"/>
                      <w:lang w:eastAsia="zh-CN"/>
                    </w:rPr>
                  </w:pPr>
                  <w:r>
                    <w:rPr>
                      <w:rFonts w:hint="eastAsia" w:ascii="Times New Roman" w:hAnsi="Times New Roman" w:cs="Times New Roman"/>
                      <w:color w:val="auto"/>
                      <w:sz w:val="21"/>
                      <w:szCs w:val="21"/>
                      <w:lang w:val="en-US" w:eastAsia="zh-CN"/>
                    </w:rPr>
                    <w:t>2.</w:t>
                  </w:r>
                  <w:r>
                    <w:rPr>
                      <w:rFonts w:hint="default" w:ascii="Times New Roman" w:hAnsi="Times New Roman" w:cs="Times New Roman"/>
                      <w:color w:val="auto"/>
                      <w:sz w:val="21"/>
                      <w:szCs w:val="21"/>
                    </w:rPr>
                    <w:t>严格建设项目环境准入。提高VOCs排放重点行业环保准入门槛，严格控制新增污染物排放量。加强废气收集，安装高效治理设施</w:t>
                  </w:r>
                  <w:r>
                    <w:rPr>
                      <w:rFonts w:hint="default" w:ascii="Times New Roman" w:hAnsi="Times New Roman" w:cs="Times New Roman"/>
                      <w:color w:val="auto"/>
                      <w:sz w:val="21"/>
                      <w:szCs w:val="21"/>
                      <w:lang w:eastAsia="zh-CN"/>
                    </w:rPr>
                    <w:t>。</w:t>
                  </w:r>
                </w:p>
              </w:tc>
              <w:tc>
                <w:tcPr>
                  <w:tcW w:w="1762" w:type="pct"/>
                  <w:noWrap w:val="0"/>
                  <w:vAlign w:val="center"/>
                </w:tcPr>
                <w:p w14:paraId="503DC01C">
                  <w:pPr>
                    <w:pStyle w:val="56"/>
                    <w:adjustRightInd w:val="0"/>
                    <w:spacing w:line="241" w:lineRule="exact"/>
                    <w:jc w:val="both"/>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rPr>
                    <w:t>本项目产生的</w:t>
                  </w:r>
                  <w:r>
                    <w:rPr>
                      <w:rFonts w:hint="eastAsia" w:ascii="Times New Roman" w:hAnsi="Times New Roman" w:cs="Times New Roman"/>
                      <w:color w:val="auto"/>
                      <w:sz w:val="21"/>
                      <w:szCs w:val="21"/>
                      <w:lang w:eastAsia="zh-CN"/>
                    </w:rPr>
                    <w:t>挥发性有机物（</w:t>
                  </w:r>
                  <w:r>
                    <w:rPr>
                      <w:rFonts w:hint="eastAsia" w:ascii="Times New Roman" w:hAnsi="Times New Roman" w:eastAsia="宋体" w:cs="Times New Roman"/>
                      <w:color w:val="auto"/>
                      <w:kern w:val="2"/>
                      <w:sz w:val="21"/>
                      <w:szCs w:val="21"/>
                      <w:highlight w:val="none"/>
                      <w:lang w:val="en-US" w:eastAsia="zh-CN" w:bidi="ar-SA"/>
                    </w:rPr>
                    <w:t>辊漆、</w:t>
                  </w:r>
                  <w:r>
                    <w:rPr>
                      <w:rFonts w:hint="eastAsia" w:ascii="Times New Roman" w:hAnsi="Times New Roman" w:eastAsia="宋体" w:cs="Times New Roman"/>
                      <w:color w:val="auto"/>
                      <w:sz w:val="21"/>
                      <w:szCs w:val="21"/>
                      <w:highlight w:val="none"/>
                      <w:lang w:val="en-US" w:eastAsia="zh-CN"/>
                    </w:rPr>
                    <w:t>紫外光固化</w:t>
                  </w:r>
                  <w:r>
                    <w:rPr>
                      <w:rFonts w:hint="eastAsia" w:ascii="Times New Roman" w:hAnsi="Times New Roman" w:cs="Times New Roman"/>
                      <w:color w:val="auto"/>
                      <w:sz w:val="21"/>
                      <w:szCs w:val="21"/>
                      <w:lang w:eastAsia="zh-CN"/>
                    </w:rPr>
                    <w:t>）</w:t>
                  </w:r>
                  <w:r>
                    <w:rPr>
                      <w:rFonts w:hint="default" w:ascii="Times New Roman" w:hAnsi="Times New Roman" w:cs="Times New Roman"/>
                      <w:color w:val="auto"/>
                      <w:sz w:val="21"/>
                      <w:szCs w:val="21"/>
                    </w:rPr>
                    <w:t>经</w:t>
                  </w:r>
                  <w:r>
                    <w:rPr>
                      <w:rFonts w:hint="eastAsia" w:ascii="Times New Roman" w:hAnsi="Times New Roman" w:eastAsia="宋体" w:cs="Times New Roman"/>
                      <w:color w:val="auto"/>
                      <w:kern w:val="2"/>
                      <w:sz w:val="21"/>
                      <w:szCs w:val="21"/>
                      <w:highlight w:val="none"/>
                      <w:lang w:val="en-US" w:eastAsia="zh-CN" w:bidi="ar-SA"/>
                    </w:rPr>
                    <w:t>集气罩</w:t>
                  </w:r>
                  <w:r>
                    <w:rPr>
                      <w:rFonts w:hint="eastAsia" w:ascii="Times New Roman" w:hAnsi="Times New Roman" w:eastAsia="宋体" w:cs="Times New Roman"/>
                      <w:color w:val="auto"/>
                      <w:kern w:val="2"/>
                      <w:sz w:val="21"/>
                      <w:szCs w:val="21"/>
                      <w:highlight w:val="none"/>
                      <w:lang w:val="en-US" w:eastAsia="zh-CN" w:bidi="ar-SA"/>
                    </w:rPr>
                    <w:t>收集后采用</w:t>
                  </w:r>
                  <w:r>
                    <w:rPr>
                      <w:rFonts w:hint="eastAsia" w:ascii="Times New Roman" w:hAnsi="Times New Roman" w:eastAsia="宋体" w:cs="Times New Roman"/>
                      <w:color w:val="auto"/>
                      <w:sz w:val="21"/>
                      <w:szCs w:val="21"/>
                      <w:highlight w:val="none"/>
                      <w:lang w:eastAsia="zh-CN"/>
                    </w:rPr>
                    <w:t>带有自动控制系统的</w:t>
                  </w:r>
                  <w:r>
                    <w:rPr>
                      <w:rFonts w:hint="eastAsia" w:ascii="Times New Roman" w:hAnsi="Times New Roman" w:eastAsia="宋体" w:cs="Times New Roman"/>
                      <w:color w:val="auto"/>
                      <w:kern w:val="2"/>
                      <w:sz w:val="21"/>
                      <w:szCs w:val="21"/>
                      <w:highlight w:val="none"/>
                      <w:lang w:val="en-US" w:eastAsia="zh-CN" w:bidi="ar-SA"/>
                    </w:rPr>
                    <w:t>二级活性炭吸附</w:t>
                  </w:r>
                  <w:r>
                    <w:rPr>
                      <w:rFonts w:hint="default" w:ascii="Times New Roman" w:hAnsi="Times New Roman" w:cs="Times New Roman"/>
                      <w:color w:val="auto"/>
                      <w:sz w:val="21"/>
                      <w:szCs w:val="21"/>
                    </w:rPr>
                    <w:t>处理后，再通过</w:t>
                  </w:r>
                  <w:r>
                    <w:rPr>
                      <w:rFonts w:hint="eastAsia" w:ascii="Times New Roman" w:hAnsi="Times New Roman" w:eastAsia="宋体" w:cs="Times New Roman"/>
                      <w:color w:val="auto"/>
                      <w:kern w:val="2"/>
                      <w:sz w:val="21"/>
                      <w:szCs w:val="21"/>
                      <w:highlight w:val="none"/>
                      <w:lang w:val="en-US" w:eastAsia="zh-CN" w:bidi="ar-SA"/>
                    </w:rPr>
                    <w:t>15m高</w:t>
                  </w:r>
                  <w:r>
                    <w:rPr>
                      <w:rFonts w:hint="default" w:ascii="Times New Roman" w:hAnsi="Times New Roman" w:cs="Times New Roman"/>
                      <w:color w:val="auto"/>
                      <w:sz w:val="21"/>
                      <w:szCs w:val="21"/>
                    </w:rPr>
                    <w:t>排气筒排放</w:t>
                  </w:r>
                  <w:r>
                    <w:rPr>
                      <w:rFonts w:hint="default" w:ascii="Times New Roman" w:hAnsi="Times New Roman" w:cs="Times New Roman"/>
                      <w:color w:val="auto"/>
                      <w:sz w:val="21"/>
                      <w:szCs w:val="21"/>
                      <w:lang w:eastAsia="zh-CN"/>
                    </w:rPr>
                    <w:t>。</w:t>
                  </w:r>
                </w:p>
              </w:tc>
              <w:tc>
                <w:tcPr>
                  <w:tcW w:w="556" w:type="pct"/>
                  <w:noWrap w:val="0"/>
                  <w:vAlign w:val="center"/>
                </w:tcPr>
                <w:p w14:paraId="421FB3EB">
                  <w:pPr>
                    <w:pStyle w:val="55"/>
                    <w:jc w:val="center"/>
                    <w:rPr>
                      <w:color w:val="auto"/>
                      <w:sz w:val="21"/>
                      <w:szCs w:val="21"/>
                      <w:highlight w:val="none"/>
                    </w:rPr>
                  </w:pPr>
                  <w:r>
                    <w:rPr>
                      <w:color w:val="auto"/>
                      <w:sz w:val="21"/>
                      <w:szCs w:val="21"/>
                      <w:highlight w:val="none"/>
                    </w:rPr>
                    <w:t>符合</w:t>
                  </w:r>
                </w:p>
              </w:tc>
            </w:tr>
            <w:tr w14:paraId="5DAA39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2681" w:type="pct"/>
                  <w:gridSpan w:val="2"/>
                  <w:noWrap w:val="0"/>
                  <w:vAlign w:val="center"/>
                </w:tcPr>
                <w:p w14:paraId="69DCDFF8">
                  <w:pPr>
                    <w:pStyle w:val="55"/>
                    <w:numPr>
                      <w:ilvl w:val="0"/>
                      <w:numId w:val="0"/>
                    </w:numPr>
                    <w:jc w:val="both"/>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（二）加快实施工业源</w:t>
                  </w:r>
                  <w:r>
                    <w:rPr>
                      <w:rFonts w:hint="default" w:ascii="Times New Roman" w:hAnsi="Times New Roman" w:cs="Times New Roman"/>
                      <w:color w:val="auto"/>
                      <w:sz w:val="21"/>
                      <w:szCs w:val="21"/>
                    </w:rPr>
                    <w:t>VOCs</w:t>
                  </w:r>
                  <w:r>
                    <w:rPr>
                      <w:rFonts w:hint="eastAsia" w:ascii="Times New Roman" w:hAnsi="Times New Roman" w:cs="Times New Roman"/>
                      <w:color w:val="auto"/>
                      <w:sz w:val="21"/>
                      <w:szCs w:val="21"/>
                      <w:lang w:val="en-US" w:eastAsia="zh-CN"/>
                    </w:rPr>
                    <w:t>污染防治。5.因地制宜推进其他工业行业VOCs综合治理。各地应结合本地产业结构特征和VOCs治理重点，因地制宜选择其他工业行业开展VOCs治理。木材加工行业应重点加强干燥、涂胶、热压过程VOCs排放治理。</w:t>
                  </w:r>
                </w:p>
              </w:tc>
              <w:tc>
                <w:tcPr>
                  <w:tcW w:w="1762" w:type="pct"/>
                  <w:noWrap w:val="0"/>
                  <w:vAlign w:val="center"/>
                </w:tcPr>
                <w:p w14:paraId="7DF1419B">
                  <w:pPr>
                    <w:pStyle w:val="56"/>
                    <w:adjustRightInd w:val="0"/>
                    <w:spacing w:line="241" w:lineRule="exact"/>
                    <w:jc w:val="both"/>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本项目产生的</w:t>
                  </w:r>
                  <w:r>
                    <w:rPr>
                      <w:rFonts w:hint="eastAsia" w:ascii="Times New Roman" w:hAnsi="Times New Roman" w:cs="Times New Roman"/>
                      <w:color w:val="auto"/>
                      <w:sz w:val="21"/>
                      <w:szCs w:val="21"/>
                      <w:lang w:eastAsia="zh-CN"/>
                    </w:rPr>
                    <w:t>挥发性有机物（</w:t>
                  </w:r>
                  <w:r>
                    <w:rPr>
                      <w:rFonts w:hint="eastAsia" w:ascii="Times New Roman" w:hAnsi="Times New Roman" w:eastAsia="宋体" w:cs="Times New Roman"/>
                      <w:color w:val="auto"/>
                      <w:kern w:val="2"/>
                      <w:sz w:val="21"/>
                      <w:szCs w:val="21"/>
                      <w:highlight w:val="none"/>
                      <w:lang w:val="en-US" w:eastAsia="zh-CN" w:bidi="ar-SA"/>
                    </w:rPr>
                    <w:t>辊漆、</w:t>
                  </w:r>
                  <w:r>
                    <w:rPr>
                      <w:rFonts w:hint="eastAsia" w:ascii="Times New Roman" w:hAnsi="Times New Roman" w:eastAsia="宋体" w:cs="Times New Roman"/>
                      <w:color w:val="auto"/>
                      <w:sz w:val="21"/>
                      <w:szCs w:val="21"/>
                      <w:highlight w:val="none"/>
                      <w:lang w:val="en-US" w:eastAsia="zh-CN"/>
                    </w:rPr>
                    <w:t>紫外光固化</w:t>
                  </w:r>
                  <w:r>
                    <w:rPr>
                      <w:rFonts w:hint="eastAsia" w:ascii="Times New Roman" w:hAnsi="Times New Roman" w:cs="Times New Roman"/>
                      <w:color w:val="auto"/>
                      <w:sz w:val="21"/>
                      <w:szCs w:val="21"/>
                      <w:lang w:eastAsia="zh-CN"/>
                    </w:rPr>
                    <w:t>）</w:t>
                  </w:r>
                  <w:r>
                    <w:rPr>
                      <w:rFonts w:hint="default" w:ascii="Times New Roman" w:hAnsi="Times New Roman" w:cs="Times New Roman"/>
                      <w:color w:val="auto"/>
                      <w:sz w:val="21"/>
                      <w:szCs w:val="21"/>
                    </w:rPr>
                    <w:t>经</w:t>
                  </w:r>
                  <w:r>
                    <w:rPr>
                      <w:rFonts w:hint="eastAsia" w:ascii="Times New Roman" w:hAnsi="Times New Roman" w:eastAsia="宋体" w:cs="Times New Roman"/>
                      <w:color w:val="auto"/>
                      <w:kern w:val="2"/>
                      <w:sz w:val="21"/>
                      <w:szCs w:val="21"/>
                      <w:highlight w:val="none"/>
                      <w:lang w:val="en-US" w:eastAsia="zh-CN" w:bidi="ar-SA"/>
                    </w:rPr>
                    <w:t>集气罩收集后采用</w:t>
                  </w:r>
                  <w:r>
                    <w:rPr>
                      <w:rFonts w:hint="eastAsia" w:ascii="Times New Roman" w:hAnsi="Times New Roman" w:eastAsia="宋体" w:cs="Times New Roman"/>
                      <w:color w:val="auto"/>
                      <w:sz w:val="21"/>
                      <w:szCs w:val="21"/>
                      <w:highlight w:val="none"/>
                      <w:lang w:eastAsia="zh-CN"/>
                    </w:rPr>
                    <w:t>带有自动控制系统的</w:t>
                  </w:r>
                  <w:r>
                    <w:rPr>
                      <w:rFonts w:hint="eastAsia" w:ascii="Times New Roman" w:hAnsi="Times New Roman" w:eastAsia="宋体" w:cs="Times New Roman"/>
                      <w:color w:val="auto"/>
                      <w:kern w:val="2"/>
                      <w:sz w:val="21"/>
                      <w:szCs w:val="21"/>
                      <w:highlight w:val="none"/>
                      <w:lang w:val="en-US" w:eastAsia="zh-CN" w:bidi="ar-SA"/>
                    </w:rPr>
                    <w:t>二级活性炭吸附</w:t>
                  </w:r>
                  <w:r>
                    <w:rPr>
                      <w:rFonts w:hint="default" w:ascii="Times New Roman" w:hAnsi="Times New Roman" w:cs="Times New Roman"/>
                      <w:color w:val="auto"/>
                      <w:sz w:val="21"/>
                      <w:szCs w:val="21"/>
                    </w:rPr>
                    <w:t>处理后，再通过</w:t>
                  </w:r>
                  <w:r>
                    <w:rPr>
                      <w:rFonts w:hint="eastAsia" w:ascii="Times New Roman" w:hAnsi="Times New Roman" w:eastAsia="宋体" w:cs="Times New Roman"/>
                      <w:color w:val="auto"/>
                      <w:kern w:val="2"/>
                      <w:sz w:val="21"/>
                      <w:szCs w:val="21"/>
                      <w:highlight w:val="none"/>
                      <w:lang w:val="en-US" w:eastAsia="zh-CN" w:bidi="ar-SA"/>
                    </w:rPr>
                    <w:t>15m高</w:t>
                  </w:r>
                  <w:r>
                    <w:rPr>
                      <w:rFonts w:hint="default" w:ascii="Times New Roman" w:hAnsi="Times New Roman" w:cs="Times New Roman"/>
                      <w:color w:val="auto"/>
                      <w:sz w:val="21"/>
                      <w:szCs w:val="21"/>
                    </w:rPr>
                    <w:t>排气筒排放</w:t>
                  </w:r>
                  <w:r>
                    <w:rPr>
                      <w:rFonts w:hint="default" w:ascii="Times New Roman" w:hAnsi="Times New Roman" w:cs="Times New Roman"/>
                      <w:color w:val="auto"/>
                      <w:sz w:val="21"/>
                      <w:szCs w:val="21"/>
                      <w:lang w:eastAsia="zh-CN"/>
                    </w:rPr>
                    <w:t>。</w:t>
                  </w:r>
                </w:p>
              </w:tc>
              <w:tc>
                <w:tcPr>
                  <w:tcW w:w="556" w:type="pct"/>
                  <w:noWrap w:val="0"/>
                  <w:vAlign w:val="center"/>
                </w:tcPr>
                <w:p w14:paraId="202EC8C7">
                  <w:pPr>
                    <w:pStyle w:val="55"/>
                    <w:jc w:val="center"/>
                    <w:rPr>
                      <w:color w:val="auto"/>
                      <w:sz w:val="21"/>
                      <w:szCs w:val="21"/>
                      <w:highlight w:val="none"/>
                    </w:rPr>
                  </w:pPr>
                  <w:r>
                    <w:rPr>
                      <w:color w:val="auto"/>
                      <w:sz w:val="21"/>
                      <w:szCs w:val="21"/>
                      <w:highlight w:val="none"/>
                    </w:rPr>
                    <w:t>符合</w:t>
                  </w:r>
                </w:p>
              </w:tc>
            </w:tr>
            <w:tr w14:paraId="254933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5" w:hRule="atLeast"/>
                <w:jc w:val="center"/>
              </w:trPr>
              <w:tc>
                <w:tcPr>
                  <w:tcW w:w="5000" w:type="pct"/>
                  <w:gridSpan w:val="4"/>
                  <w:noWrap w:val="0"/>
                  <w:vAlign w:val="center"/>
                </w:tcPr>
                <w:p w14:paraId="0659883A">
                  <w:pPr>
                    <w:pStyle w:val="56"/>
                    <w:spacing w:line="240" w:lineRule="auto"/>
                    <w:rPr>
                      <w:rFonts w:ascii="Times New Roman" w:hAnsi="Times New Roman" w:cs="Times New Roman"/>
                      <w:color w:val="auto"/>
                      <w:sz w:val="21"/>
                      <w:szCs w:val="21"/>
                      <w:highlight w:val="none"/>
                    </w:rPr>
                  </w:pPr>
                  <w:r>
                    <w:rPr>
                      <w:rFonts w:hint="eastAsia" w:ascii="Times New Roman" w:hAnsi="Times New Roman" w:cs="Times New Roman"/>
                      <w:b/>
                      <w:bCs/>
                      <w:color w:val="auto"/>
                      <w:sz w:val="21"/>
                      <w:szCs w:val="21"/>
                      <w:highlight w:val="none"/>
                      <w:lang w:eastAsia="zh-CN"/>
                    </w:rPr>
                    <w:t>《关于印发&lt;重点行业挥发性有机物综合治理方案&gt;的通知》（环大气</w:t>
                  </w:r>
                  <w:r>
                    <w:rPr>
                      <w:rFonts w:hint="eastAsia"/>
                      <w:b/>
                      <w:bCs/>
                      <w:color w:val="auto"/>
                      <w:sz w:val="21"/>
                      <w:szCs w:val="21"/>
                      <w:lang w:bidi="zh-CN"/>
                    </w:rPr>
                    <w:t>〔</w:t>
                  </w:r>
                  <w:r>
                    <w:rPr>
                      <w:rFonts w:hint="default" w:ascii="Times New Roman" w:hAnsi="Times New Roman" w:cs="Times New Roman"/>
                      <w:b/>
                      <w:bCs/>
                      <w:color w:val="auto"/>
                      <w:sz w:val="21"/>
                      <w:szCs w:val="21"/>
                      <w:lang w:bidi="zh-CN"/>
                    </w:rPr>
                    <w:t>201</w:t>
                  </w:r>
                  <w:r>
                    <w:rPr>
                      <w:rFonts w:hint="default" w:ascii="Times New Roman" w:hAnsi="Times New Roman" w:cs="Times New Roman"/>
                      <w:b/>
                      <w:bCs/>
                      <w:color w:val="auto"/>
                      <w:sz w:val="21"/>
                      <w:szCs w:val="21"/>
                      <w:lang w:val="en-US" w:bidi="zh-CN"/>
                    </w:rPr>
                    <w:t>9</w:t>
                  </w:r>
                  <w:r>
                    <w:rPr>
                      <w:rFonts w:hint="eastAsia"/>
                      <w:b/>
                      <w:bCs/>
                      <w:color w:val="auto"/>
                      <w:sz w:val="21"/>
                      <w:szCs w:val="21"/>
                      <w:lang w:bidi="zh-CN"/>
                    </w:rPr>
                    <w:t>〕</w:t>
                  </w:r>
                  <w:r>
                    <w:rPr>
                      <w:rFonts w:hint="eastAsia" w:ascii="Times New Roman" w:hAnsi="Times New Roman" w:cs="Times New Roman"/>
                      <w:b/>
                      <w:bCs/>
                      <w:color w:val="auto"/>
                      <w:sz w:val="21"/>
                      <w:szCs w:val="21"/>
                      <w:highlight w:val="none"/>
                      <w:lang w:eastAsia="zh-CN"/>
                    </w:rPr>
                    <w:t>53号）</w:t>
                  </w:r>
                </w:p>
              </w:tc>
            </w:tr>
            <w:tr w14:paraId="4DBDE3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81" w:type="pct"/>
                  <w:gridSpan w:val="2"/>
                  <w:noWrap w:val="0"/>
                  <w:vAlign w:val="center"/>
                </w:tcPr>
                <w:p w14:paraId="3DA09ECF">
                  <w:pPr>
                    <w:spacing w:line="240" w:lineRule="auto"/>
                    <w:jc w:val="left"/>
                    <w:rPr>
                      <w:rFonts w:ascii="Times New Roman" w:hAnsi="Times New Roman" w:cs="Times New Roman"/>
                      <w:color w:val="auto"/>
                      <w:sz w:val="21"/>
                      <w:szCs w:val="21"/>
                      <w:highlight w:val="none"/>
                    </w:rPr>
                  </w:pPr>
                  <w:r>
                    <w:rPr>
                      <w:rFonts w:hint="eastAsia" w:ascii="Times New Roman" w:hAnsi="Times New Roman" w:eastAsia="宋体" w:cs="Times New Roman"/>
                      <w:color w:val="auto"/>
                      <w:sz w:val="21"/>
                      <w:szCs w:val="21"/>
                      <w:lang w:eastAsia="zh-CN"/>
                    </w:rPr>
                    <w:t>四、（三）</w:t>
                  </w:r>
                  <w:r>
                    <w:rPr>
                      <w:rFonts w:ascii="Times New Roman" w:hAnsi="Times New Roman" w:eastAsia="宋体" w:cs="Times New Roman"/>
                      <w:color w:val="auto"/>
                      <w:sz w:val="21"/>
                      <w:szCs w:val="21"/>
                    </w:rPr>
                    <w:t>强化源头控制，加快使用粉末、水性、高固体分、辐射固化等低VOCs含量的涂料替代溶剂型涂料。重点区域汽车制造底漆大力推广使用水性涂料，乘用车中涂、色漆大力推广使用高固体分或水性涂料，加快客车、货车等中涂、色漆改造。钢制集装箱制造在箱内、箱外、木地板涂装等工序大力推广使用水性涂料，在确保防腐蚀功能的前提下，加快推进特种集装箱采用水性涂料。木质家具制造大力推广使用水性、辐射固化、粉末等涂料和水性胶粘剂；金属家具制造大力推广使用粉末涂料；软体家具制造大力推广使用水性胶粘剂。工程机械制造大力推广使用水性、粉末和高固体分涂料。电子产品制造推广使用粉末、水性、辐射固化等涂料。</w:t>
                  </w:r>
                </w:p>
              </w:tc>
              <w:tc>
                <w:tcPr>
                  <w:tcW w:w="1762" w:type="pct"/>
                  <w:noWrap w:val="0"/>
                  <w:vAlign w:val="center"/>
                </w:tcPr>
                <w:p w14:paraId="091F8024">
                  <w:pPr>
                    <w:spacing w:line="240" w:lineRule="auto"/>
                    <w:jc w:val="both"/>
                    <w:rPr>
                      <w:color w:val="auto"/>
                      <w:sz w:val="21"/>
                      <w:szCs w:val="21"/>
                      <w:highlight w:val="none"/>
                    </w:rPr>
                  </w:pPr>
                  <w:r>
                    <w:rPr>
                      <w:rFonts w:hint="eastAsia" w:ascii="Times New Roman" w:hAnsi="Times New Roman" w:eastAsia="宋体" w:cs="Times New Roman"/>
                      <w:color w:val="auto"/>
                      <w:sz w:val="21"/>
                      <w:szCs w:val="21"/>
                      <w:lang w:eastAsia="zh-CN" w:bidi="ar"/>
                    </w:rPr>
                    <w:t>本</w:t>
                  </w:r>
                  <w:r>
                    <w:rPr>
                      <w:rFonts w:hint="eastAsia" w:ascii="Times New Roman" w:hAnsi="Times New Roman" w:eastAsia="宋体" w:cs="Times New Roman"/>
                      <w:color w:val="auto"/>
                      <w:sz w:val="21"/>
                      <w:szCs w:val="21"/>
                      <w:lang w:bidi="ar"/>
                    </w:rPr>
                    <w:t>项目使用</w:t>
                  </w:r>
                  <w:r>
                    <w:rPr>
                      <w:rFonts w:hint="eastAsia" w:ascii="Times New Roman" w:hAnsi="Times New Roman" w:eastAsia="宋体" w:cs="Times New Roman"/>
                      <w:color w:val="auto"/>
                      <w:sz w:val="21"/>
                      <w:szCs w:val="21"/>
                      <w:lang w:eastAsia="zh-CN" w:bidi="ar"/>
                    </w:rPr>
                    <w:t>的</w:t>
                  </w:r>
                  <w:r>
                    <w:rPr>
                      <w:rFonts w:hint="eastAsia" w:ascii="Times New Roman" w:hAnsi="Times New Roman" w:eastAsia="宋体" w:cs="Times New Roman"/>
                      <w:color w:val="auto"/>
                      <w:sz w:val="21"/>
                      <w:szCs w:val="21"/>
                      <w:lang w:val="en-US" w:eastAsia="zh-CN" w:bidi="ar"/>
                    </w:rPr>
                    <w:t>UV底漆、UV面漆</w:t>
                  </w:r>
                  <w:r>
                    <w:rPr>
                      <w:rFonts w:hint="eastAsia" w:ascii="Times New Roman" w:hAnsi="Times New Roman" w:eastAsia="宋体" w:cs="Times New Roman"/>
                      <w:color w:val="auto"/>
                      <w:sz w:val="21"/>
                      <w:szCs w:val="21"/>
                      <w:lang w:bidi="ar"/>
                    </w:rPr>
                    <w:t>满足《低挥发性有机化合物含量涂料产品技术要求》（</w:t>
                  </w:r>
                  <w:r>
                    <w:rPr>
                      <w:rFonts w:hint="eastAsia" w:ascii="Times New Roman" w:hAnsi="Times New Roman" w:eastAsia="宋体" w:cs="Times New Roman"/>
                      <w:color w:val="auto"/>
                      <w:sz w:val="21"/>
                      <w:szCs w:val="21"/>
                      <w:lang w:eastAsia="zh-CN" w:bidi="ar"/>
                    </w:rPr>
                    <w:t>GB/T 38597</w:t>
                  </w:r>
                  <w:r>
                    <w:rPr>
                      <w:rFonts w:hint="eastAsia" w:ascii="Times New Roman" w:hAnsi="Times New Roman" w:eastAsia="宋体" w:cs="Times New Roman"/>
                      <w:color w:val="auto"/>
                      <w:sz w:val="21"/>
                      <w:szCs w:val="21"/>
                      <w:lang w:bidi="ar"/>
                    </w:rPr>
                    <w:t>-2020）低V</w:t>
                  </w:r>
                  <w:r>
                    <w:rPr>
                      <w:rFonts w:ascii="Times New Roman" w:hAnsi="Times New Roman" w:eastAsia="宋体" w:cs="Times New Roman"/>
                      <w:color w:val="auto"/>
                      <w:sz w:val="21"/>
                      <w:szCs w:val="21"/>
                      <w:lang w:bidi="ar"/>
                    </w:rPr>
                    <w:t>OCs</w:t>
                  </w:r>
                  <w:r>
                    <w:rPr>
                      <w:rFonts w:hint="eastAsia" w:ascii="Times New Roman" w:hAnsi="Times New Roman" w:eastAsia="宋体" w:cs="Times New Roman"/>
                      <w:color w:val="auto"/>
                      <w:sz w:val="21"/>
                      <w:szCs w:val="21"/>
                      <w:lang w:bidi="ar"/>
                    </w:rPr>
                    <w:t>含量限值要求，</w:t>
                  </w:r>
                  <w:r>
                    <w:rPr>
                      <w:rFonts w:hint="eastAsia"/>
                      <w:color w:val="auto"/>
                      <w:kern w:val="0"/>
                      <w:sz w:val="21"/>
                      <w:szCs w:val="21"/>
                    </w:rPr>
                    <w:t>辊</w:t>
                  </w:r>
                  <w:r>
                    <w:rPr>
                      <w:rFonts w:hint="eastAsia"/>
                      <w:color w:val="auto"/>
                      <w:kern w:val="0"/>
                      <w:sz w:val="21"/>
                      <w:szCs w:val="21"/>
                      <w:lang w:eastAsia="zh-CN"/>
                    </w:rPr>
                    <w:t>漆、</w:t>
                  </w:r>
                  <w:r>
                    <w:rPr>
                      <w:rFonts w:hint="eastAsia" w:ascii="Times New Roman" w:hAnsi="Times New Roman" w:eastAsia="宋体" w:cs="Times New Roman"/>
                      <w:color w:val="auto"/>
                      <w:sz w:val="21"/>
                      <w:szCs w:val="21"/>
                      <w:highlight w:val="none"/>
                      <w:lang w:val="en-US" w:eastAsia="zh-CN"/>
                    </w:rPr>
                    <w:t>紫外光固化</w:t>
                  </w:r>
                  <w:r>
                    <w:rPr>
                      <w:rFonts w:hint="eastAsia"/>
                      <w:color w:val="auto"/>
                      <w:kern w:val="0"/>
                      <w:sz w:val="21"/>
                      <w:szCs w:val="21"/>
                    </w:rPr>
                    <w:t>废气收集后经</w:t>
                  </w:r>
                  <w:r>
                    <w:rPr>
                      <w:rFonts w:hint="eastAsia" w:ascii="Times New Roman" w:hAnsi="Times New Roman" w:eastAsia="宋体" w:cs="Times New Roman"/>
                      <w:color w:val="auto"/>
                      <w:sz w:val="21"/>
                      <w:szCs w:val="21"/>
                      <w:highlight w:val="none"/>
                      <w:lang w:eastAsia="zh-CN"/>
                    </w:rPr>
                    <w:t>带有自动控制系统的</w:t>
                  </w:r>
                  <w:r>
                    <w:rPr>
                      <w:rFonts w:hint="eastAsia"/>
                      <w:color w:val="auto"/>
                      <w:kern w:val="0"/>
                      <w:sz w:val="21"/>
                      <w:szCs w:val="21"/>
                    </w:rPr>
                    <w:t>二级活性炭吸附装置处理后</w:t>
                  </w:r>
                  <w:r>
                    <w:rPr>
                      <w:rFonts w:hint="eastAsia"/>
                      <w:color w:val="auto"/>
                      <w:kern w:val="0"/>
                      <w:sz w:val="21"/>
                      <w:szCs w:val="21"/>
                      <w:lang w:eastAsia="zh-CN"/>
                    </w:rPr>
                    <w:t>通过</w:t>
                  </w:r>
                  <w:r>
                    <w:rPr>
                      <w:rFonts w:hint="eastAsia"/>
                      <w:color w:val="auto"/>
                      <w:kern w:val="0"/>
                      <w:sz w:val="21"/>
                      <w:szCs w:val="21"/>
                    </w:rPr>
                    <w:t>一套15m高排气筒</w:t>
                  </w:r>
                  <w:r>
                    <w:rPr>
                      <w:rFonts w:hint="eastAsia"/>
                      <w:color w:val="auto"/>
                      <w:kern w:val="0"/>
                      <w:sz w:val="21"/>
                      <w:szCs w:val="21"/>
                      <w:lang w:eastAsia="zh-CN"/>
                    </w:rPr>
                    <w:t>排放</w:t>
                  </w:r>
                  <w:r>
                    <w:rPr>
                      <w:rFonts w:hint="eastAsia" w:ascii="Times New Roman" w:hAnsi="Times New Roman" w:eastAsia="宋体" w:cs="Times New Roman"/>
                      <w:color w:val="auto"/>
                      <w:sz w:val="21"/>
                      <w:szCs w:val="21"/>
                      <w:lang w:eastAsia="zh-CN" w:bidi="ar"/>
                    </w:rPr>
                    <w:t>。</w:t>
                  </w:r>
                </w:p>
              </w:tc>
              <w:tc>
                <w:tcPr>
                  <w:tcW w:w="556" w:type="pct"/>
                  <w:noWrap w:val="0"/>
                  <w:vAlign w:val="center"/>
                </w:tcPr>
                <w:p w14:paraId="6EA8E8A9">
                  <w:pPr>
                    <w:pStyle w:val="55"/>
                    <w:jc w:val="center"/>
                    <w:rPr>
                      <w:color w:val="auto"/>
                      <w:sz w:val="21"/>
                      <w:szCs w:val="21"/>
                      <w:highlight w:val="none"/>
                    </w:rPr>
                  </w:pPr>
                  <w:r>
                    <w:rPr>
                      <w:color w:val="auto"/>
                      <w:sz w:val="21"/>
                      <w:szCs w:val="21"/>
                      <w:highlight w:val="none"/>
                    </w:rPr>
                    <w:t>符合</w:t>
                  </w:r>
                </w:p>
              </w:tc>
            </w:tr>
            <w:tr w14:paraId="68583D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81" w:type="pct"/>
                  <w:gridSpan w:val="2"/>
                  <w:noWrap w:val="0"/>
                  <w:vAlign w:val="center"/>
                </w:tcPr>
                <w:p w14:paraId="44359615">
                  <w:pPr>
                    <w:spacing w:line="240" w:lineRule="auto"/>
                    <w:jc w:val="left"/>
                    <w:rPr>
                      <w:rFonts w:ascii="Times New Roman" w:hAnsi="Times New Roman" w:cs="Times New Roman"/>
                      <w:color w:val="auto"/>
                      <w:sz w:val="21"/>
                      <w:szCs w:val="21"/>
                      <w:highlight w:val="none"/>
                    </w:rPr>
                  </w:pPr>
                  <w:r>
                    <w:rPr>
                      <w:rFonts w:hint="eastAsia" w:ascii="Times New Roman" w:hAnsi="Times New Roman" w:eastAsia="宋体" w:cs="Times New Roman"/>
                      <w:color w:val="auto"/>
                      <w:sz w:val="21"/>
                      <w:szCs w:val="21"/>
                      <w:lang w:eastAsia="zh-CN"/>
                    </w:rPr>
                    <w:t>四、（三）</w:t>
                  </w:r>
                  <w:r>
                    <w:rPr>
                      <w:rFonts w:ascii="Times New Roman" w:hAnsi="Times New Roman" w:eastAsia="宋体" w:cs="Times New Roman"/>
                      <w:color w:val="auto"/>
                      <w:sz w:val="21"/>
                      <w:szCs w:val="21"/>
                    </w:rPr>
                    <w:t>有效控制无组织排放。涂料、稀释剂、清洗剂等原辅材料应密闭存储，调配、使用、回收等过程应采用密闭设备或在密闭空间内操作，采用密闭管道或密闭容器等输送。除大型工件外，禁止敞开式喷涂、晾（风）干作业。除工艺限制外，原则上实行集中调配。调配、喷涂和干燥等VOCs排放工序应配备有效的废气收集系统。</w:t>
                  </w:r>
                </w:p>
              </w:tc>
              <w:tc>
                <w:tcPr>
                  <w:tcW w:w="1762" w:type="pct"/>
                  <w:noWrap w:val="0"/>
                  <w:vAlign w:val="center"/>
                </w:tcPr>
                <w:p w14:paraId="3BB2B00C">
                  <w:pPr>
                    <w:spacing w:line="240" w:lineRule="auto"/>
                    <w:jc w:val="left"/>
                    <w:rPr>
                      <w:rFonts w:ascii="Times New Roman" w:hAnsi="Times New Roman" w:cs="Times New Roman"/>
                      <w:color w:val="auto"/>
                      <w:sz w:val="21"/>
                      <w:szCs w:val="21"/>
                      <w:highlight w:val="none"/>
                      <w:lang w:eastAsia="zh-CN"/>
                    </w:rPr>
                  </w:pPr>
                  <w:r>
                    <w:rPr>
                      <w:rFonts w:hint="eastAsia" w:ascii="Times New Roman" w:hAnsi="Times New Roman" w:eastAsia="宋体" w:cs="Times New Roman"/>
                      <w:color w:val="auto"/>
                      <w:sz w:val="21"/>
                      <w:szCs w:val="21"/>
                      <w:lang w:eastAsia="zh-CN" w:bidi="ar"/>
                    </w:rPr>
                    <w:t>本</w:t>
                  </w:r>
                  <w:r>
                    <w:rPr>
                      <w:rFonts w:hint="eastAsia" w:ascii="Times New Roman" w:hAnsi="Times New Roman" w:eastAsia="宋体" w:cs="Times New Roman"/>
                      <w:color w:val="auto"/>
                      <w:sz w:val="21"/>
                      <w:szCs w:val="21"/>
                      <w:lang w:bidi="ar"/>
                    </w:rPr>
                    <w:t>项目使用</w:t>
                  </w:r>
                  <w:r>
                    <w:rPr>
                      <w:rFonts w:hint="eastAsia" w:ascii="Times New Roman" w:hAnsi="Times New Roman" w:eastAsia="宋体" w:cs="Times New Roman"/>
                      <w:color w:val="auto"/>
                      <w:sz w:val="21"/>
                      <w:szCs w:val="21"/>
                      <w:lang w:eastAsia="zh-CN" w:bidi="ar"/>
                    </w:rPr>
                    <w:t>的</w:t>
                  </w:r>
                  <w:r>
                    <w:rPr>
                      <w:rFonts w:hint="eastAsia" w:ascii="Times New Roman" w:hAnsi="Times New Roman" w:eastAsia="宋体" w:cs="Times New Roman"/>
                      <w:color w:val="auto"/>
                      <w:sz w:val="21"/>
                      <w:szCs w:val="21"/>
                      <w:lang w:val="en-US" w:eastAsia="zh-CN" w:bidi="ar"/>
                    </w:rPr>
                    <w:t>UV底漆、UV面漆以及木工胶</w:t>
                  </w:r>
                  <w:r>
                    <w:rPr>
                      <w:rFonts w:ascii="Times New Roman" w:hAnsi="Times New Roman" w:eastAsia="宋体" w:cs="Times New Roman"/>
                      <w:color w:val="auto"/>
                      <w:sz w:val="21"/>
                      <w:szCs w:val="21"/>
                    </w:rPr>
                    <w:t>等原辅材料密闭存储，</w:t>
                  </w:r>
                  <w:r>
                    <w:rPr>
                      <w:rFonts w:hint="eastAsia" w:ascii="Times New Roman" w:hAnsi="Times New Roman" w:eastAsia="宋体" w:cs="Times New Roman"/>
                      <w:color w:val="auto"/>
                      <w:sz w:val="21"/>
                      <w:szCs w:val="21"/>
                      <w:lang w:eastAsia="zh-CN"/>
                    </w:rPr>
                    <w:t>无需进行调配</w:t>
                  </w:r>
                  <w:r>
                    <w:rPr>
                      <w:rFonts w:ascii="Times New Roman" w:hAnsi="Times New Roman" w:eastAsia="宋体" w:cs="Times New Roman"/>
                      <w:color w:val="auto"/>
                      <w:sz w:val="21"/>
                      <w:szCs w:val="21"/>
                    </w:rPr>
                    <w:t>。</w:t>
                  </w:r>
                  <w:r>
                    <w:rPr>
                      <w:rFonts w:hint="eastAsia"/>
                      <w:color w:val="auto"/>
                      <w:kern w:val="0"/>
                      <w:sz w:val="21"/>
                      <w:szCs w:val="21"/>
                    </w:rPr>
                    <w:t>辊</w:t>
                  </w:r>
                  <w:r>
                    <w:rPr>
                      <w:rFonts w:hint="eastAsia"/>
                      <w:color w:val="auto"/>
                      <w:kern w:val="0"/>
                      <w:sz w:val="21"/>
                      <w:szCs w:val="21"/>
                      <w:lang w:eastAsia="zh-CN"/>
                    </w:rPr>
                    <w:t>漆、</w:t>
                  </w:r>
                  <w:r>
                    <w:rPr>
                      <w:rFonts w:hint="eastAsia" w:ascii="Times New Roman" w:hAnsi="Times New Roman" w:eastAsia="宋体" w:cs="Times New Roman"/>
                      <w:color w:val="auto"/>
                      <w:sz w:val="21"/>
                      <w:szCs w:val="21"/>
                      <w:highlight w:val="none"/>
                      <w:lang w:val="en-US" w:eastAsia="zh-CN"/>
                    </w:rPr>
                    <w:t>紫外光固化</w:t>
                  </w:r>
                  <w:r>
                    <w:rPr>
                      <w:rFonts w:hint="eastAsia"/>
                      <w:color w:val="auto"/>
                      <w:kern w:val="0"/>
                      <w:sz w:val="21"/>
                      <w:szCs w:val="21"/>
                    </w:rPr>
                    <w:t>等废气收集后经</w:t>
                  </w:r>
                  <w:r>
                    <w:rPr>
                      <w:rFonts w:hint="eastAsia" w:ascii="Times New Roman" w:hAnsi="Times New Roman" w:eastAsia="宋体" w:cs="Times New Roman"/>
                      <w:color w:val="auto"/>
                      <w:sz w:val="21"/>
                      <w:szCs w:val="21"/>
                      <w:highlight w:val="none"/>
                      <w:lang w:eastAsia="zh-CN"/>
                    </w:rPr>
                    <w:t>带有自动控制系统的</w:t>
                  </w:r>
                  <w:r>
                    <w:rPr>
                      <w:rFonts w:hint="eastAsia"/>
                      <w:color w:val="auto"/>
                      <w:kern w:val="0"/>
                      <w:sz w:val="21"/>
                      <w:szCs w:val="21"/>
                    </w:rPr>
                    <w:t>二级活性炭吸附装置处理后</w:t>
                  </w:r>
                  <w:r>
                    <w:rPr>
                      <w:rFonts w:hint="eastAsia"/>
                      <w:color w:val="auto"/>
                      <w:kern w:val="0"/>
                      <w:sz w:val="21"/>
                      <w:szCs w:val="21"/>
                      <w:lang w:eastAsia="zh-CN"/>
                    </w:rPr>
                    <w:t>通过</w:t>
                  </w:r>
                  <w:r>
                    <w:rPr>
                      <w:rFonts w:hint="eastAsia"/>
                      <w:color w:val="auto"/>
                      <w:kern w:val="0"/>
                      <w:sz w:val="21"/>
                      <w:szCs w:val="21"/>
                    </w:rPr>
                    <w:t>一套15m高排气筒</w:t>
                  </w:r>
                  <w:r>
                    <w:rPr>
                      <w:rFonts w:hint="eastAsia"/>
                      <w:color w:val="auto"/>
                      <w:kern w:val="0"/>
                      <w:sz w:val="21"/>
                      <w:szCs w:val="21"/>
                      <w:lang w:eastAsia="zh-CN"/>
                    </w:rPr>
                    <w:t>排放</w:t>
                  </w:r>
                  <w:r>
                    <w:rPr>
                      <w:rFonts w:hint="eastAsia" w:ascii="Times New Roman" w:hAnsi="Times New Roman" w:eastAsia="宋体" w:cs="Times New Roman"/>
                      <w:color w:val="auto"/>
                      <w:sz w:val="21"/>
                      <w:szCs w:val="21"/>
                      <w:lang w:eastAsia="zh-CN" w:bidi="ar"/>
                    </w:rPr>
                    <w:t>。</w:t>
                  </w:r>
                </w:p>
              </w:tc>
              <w:tc>
                <w:tcPr>
                  <w:tcW w:w="556" w:type="pct"/>
                  <w:noWrap w:val="0"/>
                  <w:vAlign w:val="center"/>
                </w:tcPr>
                <w:p w14:paraId="7E472720">
                  <w:pPr>
                    <w:pStyle w:val="55"/>
                    <w:jc w:val="center"/>
                    <w:rPr>
                      <w:color w:val="auto"/>
                      <w:sz w:val="21"/>
                      <w:szCs w:val="21"/>
                      <w:highlight w:val="none"/>
                    </w:rPr>
                  </w:pPr>
                  <w:r>
                    <w:rPr>
                      <w:color w:val="auto"/>
                      <w:sz w:val="21"/>
                      <w:szCs w:val="21"/>
                      <w:highlight w:val="none"/>
                    </w:rPr>
                    <w:t>符合</w:t>
                  </w:r>
                </w:p>
              </w:tc>
            </w:tr>
            <w:tr w14:paraId="7A464B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81" w:type="pct"/>
                  <w:gridSpan w:val="2"/>
                  <w:noWrap w:val="0"/>
                  <w:vAlign w:val="center"/>
                </w:tcPr>
                <w:p w14:paraId="3C43A2B1">
                  <w:pPr>
                    <w:spacing w:line="240" w:lineRule="auto"/>
                    <w:jc w:val="left"/>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lang w:eastAsia="zh-CN"/>
                    </w:rPr>
                    <w:t>四、（三）</w:t>
                  </w:r>
                  <w:r>
                    <w:rPr>
                      <w:rFonts w:ascii="Times New Roman" w:hAnsi="Times New Roman" w:eastAsia="宋体" w:cs="Times New Roman"/>
                      <w:color w:val="auto"/>
                      <w:sz w:val="21"/>
                      <w:szCs w:val="21"/>
                    </w:rPr>
                    <w:t>推进建设适宜高效的治污设施。喷涂废气应设置高效漆雾处理装置。喷涂、晾（风）干废气宜采用吸附浓缩+燃烧处理方式，小风量的可采用一次性活性炭吸附等工艺。调配、流平等废气可与喷涂、晾（风）干废气一并处理。使用溶剂型涂料的生产线，烘干废气宜采用燃烧方式单独处理，具备条件的可采用回收式热力燃烧装置。</w:t>
                  </w:r>
                </w:p>
              </w:tc>
              <w:tc>
                <w:tcPr>
                  <w:tcW w:w="1762" w:type="pct"/>
                  <w:noWrap w:val="0"/>
                  <w:vAlign w:val="center"/>
                </w:tcPr>
                <w:p w14:paraId="398335AC">
                  <w:pPr>
                    <w:spacing w:line="240" w:lineRule="auto"/>
                    <w:jc w:val="left"/>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lang w:eastAsia="zh-CN" w:bidi="ar"/>
                    </w:rPr>
                    <w:t>本</w:t>
                  </w:r>
                  <w:r>
                    <w:rPr>
                      <w:rFonts w:hint="eastAsia" w:ascii="Times New Roman" w:hAnsi="Times New Roman" w:eastAsia="宋体" w:cs="Times New Roman"/>
                      <w:color w:val="auto"/>
                      <w:sz w:val="21"/>
                      <w:szCs w:val="21"/>
                      <w:lang w:bidi="ar"/>
                    </w:rPr>
                    <w:t>项目</w:t>
                  </w:r>
                  <w:r>
                    <w:rPr>
                      <w:rFonts w:hint="eastAsia"/>
                      <w:color w:val="auto"/>
                      <w:sz w:val="21"/>
                      <w:szCs w:val="21"/>
                      <w:lang w:eastAsia="zh-CN"/>
                    </w:rPr>
                    <w:t>木工胶为水性胶黏剂，</w:t>
                  </w:r>
                  <w:r>
                    <w:rPr>
                      <w:rFonts w:hint="eastAsia"/>
                      <w:color w:val="auto"/>
                      <w:sz w:val="21"/>
                      <w:szCs w:val="21"/>
                    </w:rPr>
                    <w:t>UV</w:t>
                  </w:r>
                  <w:r>
                    <w:rPr>
                      <w:color w:val="auto"/>
                      <w:sz w:val="21"/>
                      <w:szCs w:val="21"/>
                    </w:rPr>
                    <w:t>底漆</w:t>
                  </w:r>
                  <w:r>
                    <w:rPr>
                      <w:rFonts w:hint="eastAsia"/>
                      <w:color w:val="auto"/>
                      <w:sz w:val="21"/>
                      <w:szCs w:val="21"/>
                      <w:lang w:eastAsia="zh-CN"/>
                    </w:rPr>
                    <w:t>及</w:t>
                  </w:r>
                  <w:r>
                    <w:rPr>
                      <w:rFonts w:hint="eastAsia"/>
                      <w:color w:val="auto"/>
                      <w:sz w:val="21"/>
                      <w:szCs w:val="21"/>
                    </w:rPr>
                    <w:t>UV</w:t>
                  </w:r>
                  <w:r>
                    <w:rPr>
                      <w:color w:val="auto"/>
                      <w:sz w:val="21"/>
                      <w:szCs w:val="21"/>
                    </w:rPr>
                    <w:t>面漆VOCs含量满足《低挥发性有机化合物含量涂料产品技术要求》（GB/T38597-2020）</w:t>
                  </w:r>
                  <w:r>
                    <w:rPr>
                      <w:rFonts w:hint="eastAsia"/>
                      <w:color w:val="auto"/>
                      <w:sz w:val="21"/>
                      <w:szCs w:val="21"/>
                      <w:lang w:eastAsia="zh-CN"/>
                    </w:rPr>
                    <w:t>表4中木质基材的非水性涂料限量值。</w:t>
                  </w:r>
                  <w:r>
                    <w:rPr>
                      <w:color w:val="auto"/>
                      <w:sz w:val="21"/>
                      <w:szCs w:val="21"/>
                    </w:rPr>
                    <w:t>因此，本项目所使用的涂料均为低挥发性有机物涂料</w:t>
                  </w:r>
                  <w:r>
                    <w:rPr>
                      <w:rFonts w:hint="eastAsia" w:ascii="Times New Roman" w:hAnsi="Times New Roman" w:eastAsia="宋体" w:cs="Times New Roman"/>
                      <w:color w:val="auto"/>
                      <w:sz w:val="21"/>
                      <w:szCs w:val="21"/>
                      <w:lang w:eastAsia="zh-CN" w:bidi="ar"/>
                    </w:rPr>
                    <w:t>。</w:t>
                  </w:r>
                  <w:r>
                    <w:rPr>
                      <w:rFonts w:hint="eastAsia" w:ascii="Times New Roman" w:hAnsi="Times New Roman" w:eastAsia="宋体" w:cs="Times New Roman"/>
                      <w:color w:val="auto"/>
                      <w:sz w:val="21"/>
                      <w:szCs w:val="21"/>
                      <w:lang w:bidi="ar"/>
                    </w:rPr>
                    <w:t>使用</w:t>
                  </w:r>
                  <w:r>
                    <w:rPr>
                      <w:rFonts w:hint="eastAsia" w:ascii="Times New Roman" w:hAnsi="Times New Roman" w:eastAsia="宋体" w:cs="Times New Roman"/>
                      <w:color w:val="auto"/>
                      <w:sz w:val="21"/>
                      <w:szCs w:val="21"/>
                      <w:lang w:eastAsia="zh-CN" w:bidi="ar"/>
                    </w:rPr>
                    <w:t>的</w:t>
                  </w:r>
                  <w:r>
                    <w:rPr>
                      <w:rFonts w:hint="eastAsia" w:ascii="Times New Roman" w:hAnsi="Times New Roman" w:eastAsia="宋体" w:cs="Times New Roman"/>
                      <w:color w:val="auto"/>
                      <w:sz w:val="21"/>
                      <w:szCs w:val="21"/>
                      <w:lang w:val="en-US" w:eastAsia="zh-CN" w:bidi="ar"/>
                    </w:rPr>
                    <w:t>UV底漆、UV面漆以及木工胶</w:t>
                  </w:r>
                  <w:r>
                    <w:rPr>
                      <w:rFonts w:ascii="Times New Roman" w:hAnsi="Times New Roman" w:eastAsia="宋体" w:cs="Times New Roman"/>
                      <w:color w:val="auto"/>
                      <w:sz w:val="21"/>
                      <w:szCs w:val="21"/>
                    </w:rPr>
                    <w:t>等原辅材料密闭存储，</w:t>
                  </w:r>
                  <w:r>
                    <w:rPr>
                      <w:rFonts w:hint="eastAsia" w:ascii="Times New Roman" w:hAnsi="Times New Roman" w:eastAsia="宋体" w:cs="Times New Roman"/>
                      <w:color w:val="auto"/>
                      <w:sz w:val="21"/>
                      <w:szCs w:val="21"/>
                      <w:lang w:eastAsia="zh-CN"/>
                    </w:rPr>
                    <w:t>无需进行调配</w:t>
                  </w:r>
                  <w:r>
                    <w:rPr>
                      <w:rFonts w:ascii="Times New Roman" w:hAnsi="Times New Roman" w:eastAsia="宋体" w:cs="Times New Roman"/>
                      <w:color w:val="auto"/>
                      <w:sz w:val="21"/>
                      <w:szCs w:val="21"/>
                    </w:rPr>
                    <w:t>。</w:t>
                  </w:r>
                  <w:r>
                    <w:rPr>
                      <w:rFonts w:hint="eastAsia"/>
                      <w:color w:val="auto"/>
                      <w:kern w:val="0"/>
                      <w:sz w:val="21"/>
                      <w:szCs w:val="21"/>
                    </w:rPr>
                    <w:t>辊</w:t>
                  </w:r>
                  <w:r>
                    <w:rPr>
                      <w:rFonts w:hint="eastAsia"/>
                      <w:color w:val="auto"/>
                      <w:kern w:val="0"/>
                      <w:sz w:val="21"/>
                      <w:szCs w:val="21"/>
                      <w:lang w:eastAsia="zh-CN"/>
                    </w:rPr>
                    <w:t>漆、紫外光固化</w:t>
                  </w:r>
                  <w:r>
                    <w:rPr>
                      <w:rFonts w:hint="eastAsia"/>
                      <w:color w:val="auto"/>
                      <w:kern w:val="0"/>
                      <w:sz w:val="21"/>
                      <w:szCs w:val="21"/>
                    </w:rPr>
                    <w:t>等废气收集后经</w:t>
                  </w:r>
                  <w:r>
                    <w:rPr>
                      <w:rFonts w:hint="eastAsia" w:ascii="Times New Roman" w:hAnsi="Times New Roman" w:eastAsia="宋体" w:cs="Times New Roman"/>
                      <w:color w:val="auto"/>
                      <w:sz w:val="21"/>
                      <w:szCs w:val="21"/>
                      <w:highlight w:val="none"/>
                      <w:lang w:eastAsia="zh-CN"/>
                    </w:rPr>
                    <w:t>带有自动控制系统的</w:t>
                  </w:r>
                  <w:r>
                    <w:rPr>
                      <w:rFonts w:hint="eastAsia"/>
                      <w:color w:val="auto"/>
                      <w:kern w:val="0"/>
                      <w:sz w:val="21"/>
                      <w:szCs w:val="21"/>
                    </w:rPr>
                    <w:t>二级活性炭吸附装置处理</w:t>
                  </w:r>
                  <w:r>
                    <w:rPr>
                      <w:rFonts w:hint="eastAsia"/>
                      <w:color w:val="auto"/>
                      <w:kern w:val="0"/>
                      <w:sz w:val="21"/>
                      <w:szCs w:val="21"/>
                      <w:lang w:eastAsia="zh-CN"/>
                    </w:rPr>
                    <w:t>，通过</w:t>
                  </w:r>
                  <w:r>
                    <w:rPr>
                      <w:rFonts w:hint="eastAsia"/>
                      <w:color w:val="auto"/>
                      <w:kern w:val="0"/>
                      <w:sz w:val="21"/>
                      <w:szCs w:val="21"/>
                    </w:rPr>
                    <w:t>一</w:t>
                  </w:r>
                  <w:r>
                    <w:rPr>
                      <w:rFonts w:hint="eastAsia"/>
                      <w:color w:val="auto"/>
                      <w:kern w:val="0"/>
                      <w:sz w:val="21"/>
                      <w:szCs w:val="21"/>
                      <w:lang w:eastAsia="zh-CN"/>
                    </w:rPr>
                    <w:t>根</w:t>
                  </w:r>
                  <w:r>
                    <w:rPr>
                      <w:rFonts w:hint="eastAsia"/>
                      <w:color w:val="auto"/>
                      <w:kern w:val="0"/>
                      <w:sz w:val="21"/>
                      <w:szCs w:val="21"/>
                    </w:rPr>
                    <w:t>15m高排气筒</w:t>
                  </w:r>
                  <w:r>
                    <w:rPr>
                      <w:rFonts w:hint="eastAsia"/>
                      <w:color w:val="auto"/>
                      <w:kern w:val="0"/>
                      <w:sz w:val="21"/>
                      <w:szCs w:val="21"/>
                      <w:lang w:eastAsia="zh-CN"/>
                    </w:rPr>
                    <w:t>排放</w:t>
                  </w:r>
                  <w:r>
                    <w:rPr>
                      <w:rFonts w:hint="eastAsia" w:ascii="Times New Roman" w:hAnsi="Times New Roman" w:eastAsia="宋体" w:cs="Times New Roman"/>
                      <w:color w:val="auto"/>
                      <w:sz w:val="21"/>
                      <w:szCs w:val="21"/>
                      <w:lang w:eastAsia="zh-CN" w:bidi="ar"/>
                    </w:rPr>
                    <w:t>。</w:t>
                  </w:r>
                </w:p>
              </w:tc>
              <w:tc>
                <w:tcPr>
                  <w:tcW w:w="556" w:type="pct"/>
                  <w:noWrap w:val="0"/>
                  <w:vAlign w:val="center"/>
                </w:tcPr>
                <w:p w14:paraId="7DBC1900">
                  <w:pPr>
                    <w:pStyle w:val="55"/>
                    <w:jc w:val="center"/>
                    <w:rPr>
                      <w:color w:val="auto"/>
                      <w:sz w:val="21"/>
                      <w:szCs w:val="21"/>
                      <w:highlight w:val="none"/>
                    </w:rPr>
                  </w:pPr>
                  <w:r>
                    <w:rPr>
                      <w:color w:val="auto"/>
                      <w:sz w:val="21"/>
                      <w:szCs w:val="21"/>
                      <w:highlight w:val="none"/>
                    </w:rPr>
                    <w:t>符合</w:t>
                  </w:r>
                </w:p>
              </w:tc>
            </w:tr>
            <w:tr w14:paraId="3CF9A3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4"/>
                  <w:noWrap w:val="0"/>
                  <w:vAlign w:val="center"/>
                </w:tcPr>
                <w:p w14:paraId="1C86FD6F">
                  <w:pPr>
                    <w:pStyle w:val="55"/>
                    <w:jc w:val="center"/>
                    <w:rPr>
                      <w:b/>
                      <w:bCs/>
                      <w:color w:val="auto"/>
                      <w:sz w:val="21"/>
                      <w:szCs w:val="21"/>
                      <w:highlight w:val="none"/>
                    </w:rPr>
                  </w:pPr>
                  <w:r>
                    <w:rPr>
                      <w:rFonts w:hint="eastAsia"/>
                      <w:b/>
                      <w:bCs/>
                      <w:color w:val="auto"/>
                      <w:sz w:val="21"/>
                      <w:szCs w:val="21"/>
                      <w:highlight w:val="none"/>
                    </w:rPr>
                    <w:t>《2020年挥发性有机物治理攻坚方案》（环大气〔2020〕33号）</w:t>
                  </w:r>
                </w:p>
              </w:tc>
            </w:tr>
            <w:tr w14:paraId="030F7D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81" w:type="pct"/>
                  <w:gridSpan w:val="2"/>
                  <w:noWrap w:val="0"/>
                  <w:vAlign w:val="center"/>
                </w:tcPr>
                <w:p w14:paraId="36A3757C">
                  <w:pPr>
                    <w:pStyle w:val="56"/>
                    <w:numPr>
                      <w:ilvl w:val="0"/>
                      <w:numId w:val="10"/>
                    </w:numPr>
                    <w:spacing w:line="240" w:lineRule="auto"/>
                    <w:jc w:val="both"/>
                    <w:rPr>
                      <w:rFonts w:hint="eastAsia" w:ascii="Times New Roman" w:hAnsi="Times New Roman" w:eastAsia="宋体" w:cs="Times New Roman"/>
                      <w:color w:val="auto"/>
                      <w:spacing w:val="-4"/>
                      <w:sz w:val="21"/>
                      <w:szCs w:val="21"/>
                      <w:highlight w:val="none"/>
                      <w:lang w:eastAsia="zh-CN"/>
                    </w:rPr>
                  </w:pPr>
                  <w:r>
                    <w:rPr>
                      <w:rFonts w:hint="eastAsia" w:ascii="Times New Roman" w:hAnsi="Times New Roman" w:eastAsia="宋体" w:cs="Times New Roman"/>
                      <w:color w:val="auto"/>
                      <w:spacing w:val="-4"/>
                      <w:sz w:val="21"/>
                      <w:szCs w:val="21"/>
                      <w:highlight w:val="none"/>
                    </w:rPr>
                    <w:t>大力推进源头替代，有效减少VOCs产生</w:t>
                  </w:r>
                  <w:r>
                    <w:rPr>
                      <w:rFonts w:hint="eastAsia" w:ascii="Times New Roman" w:hAnsi="Times New Roman" w:eastAsia="宋体" w:cs="Times New Roman"/>
                      <w:color w:val="auto"/>
                      <w:spacing w:val="-4"/>
                      <w:sz w:val="21"/>
                      <w:szCs w:val="21"/>
                      <w:highlight w:val="none"/>
                      <w:lang w:eastAsia="zh-CN"/>
                    </w:rPr>
                    <w:t>。</w:t>
                  </w:r>
                </w:p>
                <w:p w14:paraId="6473385D">
                  <w:pPr>
                    <w:pStyle w:val="56"/>
                    <w:numPr>
                      <w:ilvl w:val="0"/>
                      <w:numId w:val="0"/>
                    </w:numPr>
                    <w:spacing w:line="240" w:lineRule="auto"/>
                    <w:jc w:val="both"/>
                    <w:rPr>
                      <w:rFonts w:hint="eastAsia" w:ascii="Times New Roman" w:hAnsi="Times New Roman" w:eastAsia="宋体" w:cs="Times New Roman"/>
                      <w:color w:val="auto"/>
                      <w:spacing w:val="-4"/>
                      <w:sz w:val="21"/>
                      <w:szCs w:val="21"/>
                      <w:highlight w:val="none"/>
                      <w:lang w:eastAsia="zh-CN"/>
                    </w:rPr>
                  </w:pPr>
                  <w:r>
                    <w:rPr>
                      <w:rFonts w:hint="eastAsia" w:ascii="Times New Roman" w:hAnsi="Times New Roman" w:eastAsia="宋体" w:cs="Times New Roman"/>
                      <w:color w:val="auto"/>
                      <w:spacing w:val="-4"/>
                      <w:sz w:val="21"/>
                      <w:szCs w:val="21"/>
                      <w:highlight w:val="none"/>
                      <w:lang w:eastAsia="zh-CN"/>
                    </w:rPr>
                    <w:t>大力推进低（无）VOCs含量原辅材料替代。将全面使用符合国家要求的低VOCs含量原辅材料的企业纳入正面清单和政府绿色采购清单。企业应建立原辅材料台账，记录VOCs原辅材料名称、成分、VOCs含量、采购量、使用量、库存量、回收方式、回收量等信息，并保存相关证明材料。采用符合国家有关低VOCs含量产品规定的涂料、油墨、胶粘剂等，排放浓度稳定达标且排放速率满足相关规定的，相应生产工序可不要求建设末端治理设施。</w:t>
                  </w:r>
                </w:p>
              </w:tc>
              <w:tc>
                <w:tcPr>
                  <w:tcW w:w="1762" w:type="pct"/>
                  <w:noWrap w:val="0"/>
                  <w:vAlign w:val="center"/>
                </w:tcPr>
                <w:p w14:paraId="21AC1A0F">
                  <w:pPr>
                    <w:pStyle w:val="56"/>
                    <w:spacing w:line="240" w:lineRule="auto"/>
                    <w:jc w:val="both"/>
                    <w:rPr>
                      <w:rFonts w:hint="eastAsia" w:ascii="Times New Roman" w:hAnsi="Times New Roman" w:eastAsia="宋体" w:cs="Times New Roman"/>
                      <w:color w:val="auto"/>
                      <w:spacing w:val="-4"/>
                      <w:sz w:val="21"/>
                      <w:szCs w:val="21"/>
                      <w:highlight w:val="none"/>
                      <w:lang w:eastAsia="zh-CN"/>
                    </w:rPr>
                  </w:pPr>
                  <w:r>
                    <w:rPr>
                      <w:rFonts w:hint="eastAsia" w:ascii="Times New Roman" w:hAnsi="Times New Roman" w:eastAsia="宋体" w:cs="Times New Roman"/>
                      <w:color w:val="auto"/>
                      <w:spacing w:val="-4"/>
                      <w:sz w:val="21"/>
                      <w:szCs w:val="21"/>
                      <w:highlight w:val="none"/>
                      <w:lang w:eastAsia="zh-CN"/>
                    </w:rPr>
                    <w:t>企业设专人负责原辅材料台账，并记录相关内容。</w:t>
                  </w:r>
                  <w:r>
                    <w:rPr>
                      <w:rFonts w:ascii="Times New Roman" w:hAnsi="Times New Roman" w:eastAsia="宋体" w:cs="Times New Roman"/>
                      <w:color w:val="auto"/>
                      <w:spacing w:val="-4"/>
                      <w:sz w:val="21"/>
                      <w:szCs w:val="21"/>
                      <w:highlight w:val="none"/>
                    </w:rPr>
                    <w:t>本项目</w:t>
                  </w:r>
                  <w:r>
                    <w:rPr>
                      <w:rFonts w:hint="eastAsia" w:ascii="Times New Roman" w:hAnsi="Times New Roman" w:eastAsia="宋体" w:cs="Times New Roman"/>
                      <w:color w:val="auto"/>
                      <w:spacing w:val="-4"/>
                      <w:sz w:val="21"/>
                      <w:szCs w:val="21"/>
                      <w:highlight w:val="none"/>
                      <w:lang w:eastAsia="zh-CN"/>
                    </w:rPr>
                    <w:t>使用的漆料VOCs含量较低，</w:t>
                  </w:r>
                  <w:r>
                    <w:rPr>
                      <w:rFonts w:ascii="Times New Roman" w:hAnsi="Times New Roman" w:cs="Times New Roman"/>
                      <w:color w:val="auto"/>
                      <w:sz w:val="21"/>
                      <w:szCs w:val="21"/>
                    </w:rPr>
                    <w:t>满足低VOCs原辅材料源头替代</w:t>
                  </w:r>
                  <w:r>
                    <w:rPr>
                      <w:rFonts w:hint="eastAsia" w:ascii="Times New Roman" w:hAnsi="Times New Roman" w:cs="Times New Roman"/>
                      <w:color w:val="auto"/>
                      <w:sz w:val="21"/>
                      <w:szCs w:val="21"/>
                      <w:lang w:eastAsia="zh-CN"/>
                    </w:rPr>
                    <w:t>，</w:t>
                  </w:r>
                  <w:r>
                    <w:rPr>
                      <w:rFonts w:hint="eastAsia"/>
                      <w:color w:val="auto"/>
                      <w:kern w:val="0"/>
                      <w:sz w:val="21"/>
                      <w:szCs w:val="21"/>
                    </w:rPr>
                    <w:t>辊</w:t>
                  </w:r>
                  <w:r>
                    <w:rPr>
                      <w:rFonts w:hint="eastAsia"/>
                      <w:color w:val="auto"/>
                      <w:kern w:val="0"/>
                      <w:sz w:val="21"/>
                      <w:szCs w:val="21"/>
                      <w:lang w:eastAsia="zh-CN"/>
                    </w:rPr>
                    <w:t>漆、</w:t>
                  </w:r>
                  <w:r>
                    <w:rPr>
                      <w:rFonts w:hint="eastAsia"/>
                      <w:color w:val="auto"/>
                      <w:kern w:val="0"/>
                      <w:sz w:val="21"/>
                      <w:szCs w:val="21"/>
                    </w:rPr>
                    <w:t>固化等废气收集后经</w:t>
                  </w:r>
                  <w:r>
                    <w:rPr>
                      <w:rFonts w:hint="eastAsia" w:ascii="Times New Roman" w:hAnsi="Times New Roman" w:eastAsia="宋体" w:cs="Times New Roman"/>
                      <w:color w:val="auto"/>
                      <w:sz w:val="21"/>
                      <w:szCs w:val="21"/>
                      <w:highlight w:val="none"/>
                      <w:lang w:eastAsia="zh-CN"/>
                    </w:rPr>
                    <w:t>带有自动控制系统的</w:t>
                  </w:r>
                  <w:r>
                    <w:rPr>
                      <w:rFonts w:hint="eastAsia"/>
                      <w:color w:val="auto"/>
                      <w:kern w:val="0"/>
                      <w:sz w:val="21"/>
                      <w:szCs w:val="21"/>
                    </w:rPr>
                    <w:t>二级活性炭吸附装置处理后</w:t>
                  </w:r>
                  <w:r>
                    <w:rPr>
                      <w:rFonts w:hint="eastAsia"/>
                      <w:color w:val="auto"/>
                      <w:kern w:val="0"/>
                      <w:sz w:val="21"/>
                      <w:szCs w:val="21"/>
                      <w:lang w:eastAsia="zh-CN"/>
                    </w:rPr>
                    <w:t>通过</w:t>
                  </w:r>
                  <w:r>
                    <w:rPr>
                      <w:rFonts w:hint="eastAsia"/>
                      <w:color w:val="auto"/>
                      <w:kern w:val="0"/>
                      <w:sz w:val="21"/>
                      <w:szCs w:val="21"/>
                    </w:rPr>
                    <w:t>一</w:t>
                  </w:r>
                  <w:r>
                    <w:rPr>
                      <w:rFonts w:hint="default" w:ascii="Times New Roman" w:hAnsi="Times New Roman" w:cs="Times New Roman"/>
                      <w:color w:val="auto"/>
                      <w:kern w:val="0"/>
                      <w:sz w:val="21"/>
                      <w:szCs w:val="21"/>
                    </w:rPr>
                    <w:t>套15m高</w:t>
                  </w:r>
                  <w:r>
                    <w:rPr>
                      <w:rFonts w:hint="eastAsia"/>
                      <w:color w:val="auto"/>
                      <w:kern w:val="0"/>
                      <w:sz w:val="21"/>
                      <w:szCs w:val="21"/>
                    </w:rPr>
                    <w:t>排气筒</w:t>
                  </w:r>
                  <w:r>
                    <w:rPr>
                      <w:rFonts w:hint="eastAsia"/>
                      <w:color w:val="auto"/>
                      <w:kern w:val="0"/>
                      <w:sz w:val="21"/>
                      <w:szCs w:val="21"/>
                      <w:lang w:eastAsia="zh-CN"/>
                    </w:rPr>
                    <w:t>排放</w:t>
                  </w:r>
                  <w:r>
                    <w:rPr>
                      <w:rFonts w:hint="eastAsia" w:ascii="Times New Roman" w:hAnsi="Times New Roman" w:eastAsia="宋体" w:cs="Times New Roman"/>
                      <w:color w:val="auto"/>
                      <w:sz w:val="21"/>
                      <w:szCs w:val="21"/>
                      <w:lang w:eastAsia="zh-CN" w:bidi="ar"/>
                    </w:rPr>
                    <w:t>。</w:t>
                  </w:r>
                </w:p>
              </w:tc>
              <w:tc>
                <w:tcPr>
                  <w:tcW w:w="556" w:type="pct"/>
                  <w:noWrap w:val="0"/>
                  <w:vAlign w:val="center"/>
                </w:tcPr>
                <w:p w14:paraId="155FF79B">
                  <w:pPr>
                    <w:pStyle w:val="56"/>
                    <w:spacing w:line="240" w:lineRule="auto"/>
                    <w:jc w:val="both"/>
                    <w:rPr>
                      <w:rFonts w:hint="eastAsia" w:ascii="Times New Roman" w:hAnsi="Times New Roman" w:eastAsia="宋体" w:cs="Times New Roman"/>
                      <w:color w:val="auto"/>
                      <w:spacing w:val="-4"/>
                      <w:sz w:val="21"/>
                      <w:szCs w:val="21"/>
                      <w:highlight w:val="none"/>
                    </w:rPr>
                  </w:pPr>
                  <w:r>
                    <w:rPr>
                      <w:rFonts w:ascii="Times New Roman" w:hAnsi="Times New Roman" w:eastAsia="宋体" w:cs="Times New Roman"/>
                      <w:color w:val="auto"/>
                      <w:spacing w:val="-4"/>
                      <w:sz w:val="21"/>
                      <w:szCs w:val="21"/>
                      <w:highlight w:val="none"/>
                    </w:rPr>
                    <w:t>符合</w:t>
                  </w:r>
                </w:p>
              </w:tc>
            </w:tr>
            <w:tr w14:paraId="499296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81" w:type="pct"/>
                  <w:gridSpan w:val="2"/>
                  <w:noWrap w:val="0"/>
                  <w:vAlign w:val="center"/>
                </w:tcPr>
                <w:p w14:paraId="135247FE">
                  <w:pPr>
                    <w:pStyle w:val="56"/>
                    <w:numPr>
                      <w:ilvl w:val="0"/>
                      <w:numId w:val="10"/>
                    </w:numPr>
                    <w:spacing w:line="240" w:lineRule="auto"/>
                    <w:jc w:val="both"/>
                    <w:rPr>
                      <w:rFonts w:hint="eastAsia" w:ascii="Times New Roman" w:hAnsi="Times New Roman" w:eastAsia="宋体" w:cs="Times New Roman"/>
                      <w:color w:val="auto"/>
                      <w:spacing w:val="-4"/>
                      <w:sz w:val="21"/>
                      <w:szCs w:val="21"/>
                      <w:highlight w:val="none"/>
                      <w:lang w:eastAsia="zh-CN"/>
                    </w:rPr>
                  </w:pPr>
                  <w:r>
                    <w:rPr>
                      <w:rFonts w:hint="eastAsia" w:ascii="Times New Roman" w:hAnsi="Times New Roman" w:eastAsia="宋体" w:cs="Times New Roman"/>
                      <w:color w:val="auto"/>
                      <w:spacing w:val="-4"/>
                      <w:sz w:val="21"/>
                      <w:szCs w:val="21"/>
                      <w:highlight w:val="none"/>
                      <w:lang w:eastAsia="zh-CN"/>
                    </w:rPr>
                    <w:t>全面</w:t>
                  </w:r>
                  <w:r>
                    <w:rPr>
                      <w:rFonts w:hint="eastAsia" w:ascii="Times New Roman" w:hAnsi="Times New Roman" w:eastAsia="宋体" w:cs="Times New Roman"/>
                      <w:color w:val="auto"/>
                      <w:spacing w:val="-4"/>
                      <w:sz w:val="21"/>
                      <w:szCs w:val="21"/>
                      <w:highlight w:val="none"/>
                    </w:rPr>
                    <w:t>落实标准要求，强化无组织排放</w:t>
                  </w:r>
                  <w:r>
                    <w:rPr>
                      <w:rFonts w:hint="eastAsia" w:ascii="Times New Roman" w:hAnsi="Times New Roman" w:eastAsia="宋体" w:cs="Times New Roman"/>
                      <w:color w:val="auto"/>
                      <w:spacing w:val="-4"/>
                      <w:sz w:val="21"/>
                      <w:szCs w:val="21"/>
                      <w:highlight w:val="none"/>
                      <w:lang w:eastAsia="zh-CN"/>
                    </w:rPr>
                    <w:t>控制。</w:t>
                  </w:r>
                </w:p>
                <w:p w14:paraId="190C861F">
                  <w:pPr>
                    <w:pStyle w:val="56"/>
                    <w:numPr>
                      <w:ilvl w:val="0"/>
                      <w:numId w:val="0"/>
                    </w:numPr>
                    <w:spacing w:line="240" w:lineRule="auto"/>
                    <w:jc w:val="both"/>
                    <w:rPr>
                      <w:rFonts w:hint="eastAsia" w:ascii="Times New Roman" w:hAnsi="Times New Roman" w:eastAsia="宋体" w:cs="Times New Roman"/>
                      <w:color w:val="auto"/>
                      <w:spacing w:val="-4"/>
                      <w:sz w:val="21"/>
                      <w:szCs w:val="21"/>
                      <w:highlight w:val="none"/>
                      <w:lang w:eastAsia="zh-CN"/>
                    </w:rPr>
                  </w:pPr>
                  <w:r>
                    <w:rPr>
                      <w:rFonts w:hint="eastAsia" w:ascii="Times New Roman" w:hAnsi="Times New Roman" w:eastAsia="宋体" w:cs="Times New Roman"/>
                      <w:color w:val="auto"/>
                      <w:spacing w:val="-4"/>
                      <w:sz w:val="21"/>
                      <w:szCs w:val="21"/>
                      <w:highlight w:val="none"/>
                    </w:rPr>
                    <w:t>2020年7月1日起，全面执行《挥发性有机物无组织排放控制标准》，重点区域应落实无组织排放特别控制要求。各地要加大标准生效时间、涉及行业及控制要求等宣贯力度，通过现场指导、组织培训、新媒体信息推送、发放明白纸等多种方式，督促指导企业对照标准要求开展含VOCs物料（包括VOCs原辅材料、含VOCs产品、含VOCs废料以及有机聚合物材料等）储存、转移和输送、设备与管线组件泄漏、敞开液面逸散以及工艺过程等无组织排放环节排查整治，对达不到要求的加快整改。指导企业制定VOCs无组织排放控制规程，细化到具体工序和生产环节，以及启停机、检维修作业等，落实到具体责任人；健全内部考核制度，严格按照操作规程生产</w:t>
                  </w:r>
                  <w:r>
                    <w:rPr>
                      <w:rFonts w:hint="eastAsia" w:ascii="Times New Roman" w:hAnsi="Times New Roman" w:eastAsia="宋体" w:cs="Times New Roman"/>
                      <w:color w:val="auto"/>
                      <w:spacing w:val="-4"/>
                      <w:sz w:val="21"/>
                      <w:szCs w:val="21"/>
                      <w:highlight w:val="none"/>
                      <w:lang w:eastAsia="zh-CN"/>
                    </w:rPr>
                    <w:t>。</w:t>
                  </w:r>
                </w:p>
              </w:tc>
              <w:tc>
                <w:tcPr>
                  <w:tcW w:w="1762" w:type="pct"/>
                  <w:noWrap w:val="0"/>
                  <w:vAlign w:val="center"/>
                </w:tcPr>
                <w:p w14:paraId="3D791662">
                  <w:pPr>
                    <w:pStyle w:val="56"/>
                    <w:numPr>
                      <w:ilvl w:val="0"/>
                      <w:numId w:val="0"/>
                    </w:numPr>
                    <w:spacing w:line="240" w:lineRule="auto"/>
                    <w:jc w:val="both"/>
                    <w:rPr>
                      <w:rFonts w:hint="eastAsia" w:ascii="Times New Roman" w:hAnsi="Times New Roman" w:eastAsia="宋体" w:cs="Times New Roman"/>
                      <w:color w:val="auto"/>
                      <w:spacing w:val="-4"/>
                      <w:sz w:val="21"/>
                      <w:szCs w:val="21"/>
                      <w:highlight w:val="none"/>
                      <w:lang w:eastAsia="zh-CN"/>
                    </w:rPr>
                  </w:pPr>
                  <w:r>
                    <w:rPr>
                      <w:rFonts w:ascii="Times New Roman" w:hAnsi="Times New Roman" w:cs="Times New Roman"/>
                      <w:color w:val="auto"/>
                      <w:sz w:val="21"/>
                      <w:szCs w:val="21"/>
                    </w:rPr>
                    <w:t>本项目</w:t>
                  </w:r>
                  <w:r>
                    <w:rPr>
                      <w:rFonts w:hint="eastAsia" w:ascii="Times New Roman" w:hAnsi="Times New Roman" w:cs="Times New Roman"/>
                      <w:color w:val="auto"/>
                      <w:sz w:val="21"/>
                      <w:szCs w:val="21"/>
                      <w:lang w:eastAsia="zh-CN"/>
                    </w:rPr>
                    <w:t>地板坯</w:t>
                  </w:r>
                  <w:r>
                    <w:rPr>
                      <w:rFonts w:ascii="Times New Roman" w:hAnsi="Times New Roman" w:cs="Times New Roman"/>
                      <w:color w:val="auto"/>
                      <w:sz w:val="21"/>
                      <w:szCs w:val="21"/>
                    </w:rPr>
                    <w:t>均储存于原料</w:t>
                  </w:r>
                  <w:r>
                    <w:rPr>
                      <w:rFonts w:hint="eastAsia" w:ascii="Times New Roman" w:hAnsi="Times New Roman" w:cs="Times New Roman"/>
                      <w:color w:val="auto"/>
                      <w:sz w:val="21"/>
                      <w:szCs w:val="21"/>
                      <w:lang w:eastAsia="zh-CN"/>
                    </w:rPr>
                    <w:t>库中</w:t>
                  </w:r>
                  <w:r>
                    <w:rPr>
                      <w:rFonts w:ascii="Times New Roman" w:hAnsi="Times New Roman" w:cs="Times New Roman"/>
                      <w:color w:val="auto"/>
                      <w:sz w:val="21"/>
                      <w:szCs w:val="21"/>
                    </w:rPr>
                    <w:t>，</w:t>
                  </w:r>
                  <w:r>
                    <w:rPr>
                      <w:rFonts w:hint="eastAsia" w:ascii="Times New Roman" w:hAnsi="Times New Roman" w:cs="Times New Roman"/>
                      <w:color w:val="auto"/>
                      <w:sz w:val="21"/>
                      <w:szCs w:val="21"/>
                      <w:lang w:eastAsia="zh-CN"/>
                    </w:rPr>
                    <w:t>漆料暂存及使用均在生产车间，且漆料在厂内贮存量较少，</w:t>
                  </w:r>
                  <w:r>
                    <w:rPr>
                      <w:rFonts w:ascii="Times New Roman" w:hAnsi="Times New Roman" w:cs="Times New Roman"/>
                      <w:color w:val="auto"/>
                      <w:sz w:val="21"/>
                      <w:szCs w:val="21"/>
                    </w:rPr>
                    <w:t>含VOCs物料主要为</w:t>
                  </w:r>
                  <w:r>
                    <w:rPr>
                      <w:rFonts w:hint="eastAsia" w:ascii="Times New Roman" w:hAnsi="Times New Roman" w:cs="Times New Roman"/>
                      <w:color w:val="auto"/>
                      <w:sz w:val="21"/>
                      <w:szCs w:val="21"/>
                      <w:lang w:val="en-US" w:eastAsia="zh-CN"/>
                    </w:rPr>
                    <w:t>UV</w:t>
                  </w:r>
                  <w:r>
                    <w:rPr>
                      <w:rFonts w:ascii="Times New Roman" w:hAnsi="Times New Roman" w:cs="Times New Roman"/>
                      <w:color w:val="auto"/>
                      <w:sz w:val="21"/>
                      <w:szCs w:val="21"/>
                    </w:rPr>
                    <w:t>底漆、</w:t>
                  </w:r>
                  <w:r>
                    <w:rPr>
                      <w:rFonts w:hint="eastAsia" w:ascii="Times New Roman" w:hAnsi="Times New Roman" w:cs="Times New Roman"/>
                      <w:color w:val="auto"/>
                      <w:sz w:val="21"/>
                      <w:szCs w:val="21"/>
                      <w:lang w:val="en-US" w:eastAsia="zh-CN"/>
                    </w:rPr>
                    <w:t>UV</w:t>
                  </w:r>
                  <w:r>
                    <w:rPr>
                      <w:rFonts w:ascii="Times New Roman" w:hAnsi="Times New Roman" w:cs="Times New Roman"/>
                      <w:color w:val="auto"/>
                      <w:sz w:val="21"/>
                      <w:szCs w:val="21"/>
                    </w:rPr>
                    <w:t>面漆、</w:t>
                  </w:r>
                  <w:r>
                    <w:rPr>
                      <w:rFonts w:hint="eastAsia" w:ascii="Times New Roman" w:hAnsi="Times New Roman" w:cs="Times New Roman"/>
                      <w:color w:val="auto"/>
                      <w:sz w:val="21"/>
                      <w:szCs w:val="21"/>
                      <w:lang w:eastAsia="zh-CN"/>
                    </w:rPr>
                    <w:t>指接</w:t>
                  </w:r>
                  <w:r>
                    <w:rPr>
                      <w:rFonts w:ascii="Times New Roman" w:hAnsi="Times New Roman" w:cs="Times New Roman"/>
                      <w:color w:val="auto"/>
                      <w:sz w:val="21"/>
                      <w:szCs w:val="21"/>
                    </w:rPr>
                    <w:t>用胶，均采用</w:t>
                  </w:r>
                  <w:r>
                    <w:rPr>
                      <w:rFonts w:hint="eastAsia" w:ascii="Times New Roman" w:hAnsi="Times New Roman" w:cs="Times New Roman"/>
                      <w:color w:val="auto"/>
                      <w:sz w:val="21"/>
                      <w:szCs w:val="21"/>
                      <w:lang w:eastAsia="zh-CN"/>
                    </w:rPr>
                    <w:t>桶</w:t>
                  </w:r>
                  <w:r>
                    <w:rPr>
                      <w:rFonts w:ascii="Times New Roman" w:hAnsi="Times New Roman" w:cs="Times New Roman"/>
                      <w:color w:val="auto"/>
                      <w:sz w:val="21"/>
                      <w:szCs w:val="21"/>
                    </w:rPr>
                    <w:t>装方式储存。</w:t>
                  </w:r>
                  <w:r>
                    <w:rPr>
                      <w:rFonts w:hint="eastAsia" w:ascii="Times New Roman" w:hAnsi="Times New Roman" w:cs="Times New Roman"/>
                      <w:color w:val="auto"/>
                      <w:sz w:val="21"/>
                      <w:szCs w:val="21"/>
                      <w:lang w:eastAsia="zh-CN"/>
                    </w:rPr>
                    <w:t>且企业安排专门负责人定期对车间巡查。</w:t>
                  </w:r>
                </w:p>
              </w:tc>
              <w:tc>
                <w:tcPr>
                  <w:tcW w:w="556" w:type="pct"/>
                  <w:noWrap w:val="0"/>
                  <w:vAlign w:val="center"/>
                </w:tcPr>
                <w:p w14:paraId="09FD5A62">
                  <w:pPr>
                    <w:pStyle w:val="56"/>
                    <w:spacing w:line="240" w:lineRule="auto"/>
                    <w:jc w:val="both"/>
                    <w:rPr>
                      <w:rFonts w:ascii="Times New Roman" w:hAnsi="Times New Roman" w:eastAsia="宋体" w:cs="Times New Roman"/>
                      <w:color w:val="auto"/>
                      <w:spacing w:val="-4"/>
                      <w:sz w:val="21"/>
                      <w:szCs w:val="21"/>
                      <w:highlight w:val="none"/>
                    </w:rPr>
                  </w:pPr>
                </w:p>
              </w:tc>
            </w:tr>
            <w:tr w14:paraId="1F79A5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81" w:type="pct"/>
                  <w:gridSpan w:val="2"/>
                  <w:noWrap w:val="0"/>
                  <w:vAlign w:val="center"/>
                </w:tcPr>
                <w:p w14:paraId="7802D651">
                  <w:pPr>
                    <w:pStyle w:val="56"/>
                    <w:numPr>
                      <w:ilvl w:val="0"/>
                      <w:numId w:val="11"/>
                    </w:numPr>
                    <w:spacing w:line="240" w:lineRule="auto"/>
                    <w:jc w:val="both"/>
                    <w:rPr>
                      <w:rFonts w:ascii="Times New Roman" w:hAnsi="Times New Roman" w:eastAsia="宋体" w:cs="Times New Roman"/>
                      <w:color w:val="auto"/>
                      <w:spacing w:val="-4"/>
                      <w:sz w:val="21"/>
                      <w:szCs w:val="21"/>
                      <w:highlight w:val="none"/>
                    </w:rPr>
                  </w:pPr>
                  <w:r>
                    <w:rPr>
                      <w:rFonts w:ascii="Times New Roman" w:hAnsi="Times New Roman" w:eastAsia="宋体" w:cs="Times New Roman"/>
                      <w:color w:val="auto"/>
                      <w:spacing w:val="-4"/>
                      <w:sz w:val="21"/>
                      <w:szCs w:val="21"/>
                      <w:highlight w:val="none"/>
                    </w:rPr>
                    <w:t>聚焦治污设施</w:t>
                  </w:r>
                  <w:r>
                    <w:rPr>
                      <w:rFonts w:hint="eastAsia" w:ascii="Times New Roman" w:hAnsi="Times New Roman" w:eastAsia="宋体" w:cs="Times New Roman"/>
                      <w:color w:val="auto"/>
                      <w:spacing w:val="-4"/>
                      <w:sz w:val="21"/>
                      <w:szCs w:val="21"/>
                      <w:highlight w:val="none"/>
                      <w:lang w:eastAsia="zh-CN"/>
                    </w:rPr>
                    <w:t>“</w:t>
                  </w:r>
                  <w:r>
                    <w:rPr>
                      <w:rFonts w:ascii="Times New Roman" w:hAnsi="Times New Roman" w:eastAsia="宋体" w:cs="Times New Roman"/>
                      <w:color w:val="auto"/>
                      <w:spacing w:val="-4"/>
                      <w:sz w:val="21"/>
                      <w:szCs w:val="21"/>
                      <w:highlight w:val="none"/>
                    </w:rPr>
                    <w:t>三率</w:t>
                  </w:r>
                  <w:r>
                    <w:rPr>
                      <w:rFonts w:hint="eastAsia" w:ascii="Times New Roman" w:hAnsi="Times New Roman" w:eastAsia="宋体" w:cs="Times New Roman"/>
                      <w:color w:val="auto"/>
                      <w:spacing w:val="-4"/>
                      <w:sz w:val="21"/>
                      <w:szCs w:val="21"/>
                      <w:highlight w:val="none"/>
                      <w:lang w:eastAsia="zh-CN"/>
                    </w:rPr>
                    <w:t>”</w:t>
                  </w:r>
                  <w:r>
                    <w:rPr>
                      <w:rFonts w:ascii="Times New Roman" w:hAnsi="Times New Roman" w:eastAsia="宋体" w:cs="Times New Roman"/>
                      <w:color w:val="auto"/>
                      <w:spacing w:val="-4"/>
                      <w:sz w:val="21"/>
                      <w:szCs w:val="21"/>
                      <w:highlight w:val="none"/>
                    </w:rPr>
                    <w:t>，提升综合治理效率。</w:t>
                  </w:r>
                </w:p>
                <w:p w14:paraId="3C14B3B5">
                  <w:pPr>
                    <w:pStyle w:val="56"/>
                    <w:numPr>
                      <w:ilvl w:val="0"/>
                      <w:numId w:val="0"/>
                    </w:numPr>
                    <w:spacing w:line="240" w:lineRule="auto"/>
                    <w:jc w:val="both"/>
                    <w:rPr>
                      <w:rFonts w:ascii="Times New Roman" w:hAnsi="Times New Roman" w:eastAsia="宋体" w:cs="Times New Roman"/>
                      <w:color w:val="auto"/>
                      <w:spacing w:val="-4"/>
                      <w:sz w:val="21"/>
                      <w:szCs w:val="21"/>
                      <w:highlight w:val="none"/>
                    </w:rPr>
                  </w:pPr>
                  <w:r>
                    <w:rPr>
                      <w:rFonts w:ascii="Times New Roman" w:hAnsi="Times New Roman" w:eastAsia="宋体" w:cs="Times New Roman"/>
                      <w:color w:val="auto"/>
                      <w:spacing w:val="-4"/>
                      <w:sz w:val="21"/>
                      <w:szCs w:val="21"/>
                      <w:highlight w:val="none"/>
                    </w:rPr>
                    <w:t>组织企业对现有VOCs废气收集率、治理设施同步运行率和去除率开展自查，重点关注单一采用光氧化、光催化、低温等离子、一次性活性炭吸附、喷淋吸收等工艺的治理设施，7月15日前完成。对达不到要求的VO</w:t>
                  </w:r>
                  <w:r>
                    <w:rPr>
                      <w:rFonts w:hint="eastAsia" w:ascii="Times New Roman" w:hAnsi="Times New Roman" w:eastAsia="宋体" w:cs="Times New Roman"/>
                      <w:color w:val="auto"/>
                      <w:spacing w:val="-4"/>
                      <w:sz w:val="21"/>
                      <w:szCs w:val="21"/>
                      <w:highlight w:val="none"/>
                      <w:lang w:val="en-US" w:eastAsia="zh-CN"/>
                    </w:rPr>
                    <w:t>C</w:t>
                  </w:r>
                  <w:r>
                    <w:rPr>
                      <w:rFonts w:ascii="Times New Roman" w:hAnsi="Times New Roman" w:eastAsia="宋体" w:cs="Times New Roman"/>
                      <w:color w:val="auto"/>
                      <w:spacing w:val="-4"/>
                      <w:sz w:val="21"/>
                      <w:szCs w:val="21"/>
                      <w:highlight w:val="none"/>
                    </w:rPr>
                    <w:t>s收集、治理设施进行更换或升级改造，确保实现达标排放。除恶臭异味治理外，一般不采用低温等离子、光催化、光氧化等技术。</w:t>
                  </w:r>
                  <w:r>
                    <w:rPr>
                      <w:rFonts w:ascii="Times New Roman" w:hAnsi="Times New Roman" w:cs="Times New Roman"/>
                      <w:color w:val="auto"/>
                      <w:sz w:val="21"/>
                      <w:szCs w:val="21"/>
                    </w:rPr>
                    <w:t>行业排放标准中规定特别排放限值和控制要求的，应按相关规定执行；未制定行业标准的应执行大气污染物综合排放标准和挥发性有机物无组织排放控制标准；已制定更严格地方排放标准的，按地方标准执行。</w:t>
                  </w:r>
                </w:p>
              </w:tc>
              <w:tc>
                <w:tcPr>
                  <w:tcW w:w="1762" w:type="pct"/>
                  <w:noWrap w:val="0"/>
                  <w:vAlign w:val="center"/>
                </w:tcPr>
                <w:p w14:paraId="6CE89695">
                  <w:pPr>
                    <w:pStyle w:val="56"/>
                    <w:spacing w:line="240" w:lineRule="auto"/>
                    <w:jc w:val="both"/>
                    <w:rPr>
                      <w:rFonts w:ascii="Times New Roman" w:hAnsi="Times New Roman" w:eastAsia="宋体" w:cs="Times New Roman"/>
                      <w:color w:val="auto"/>
                      <w:spacing w:val="-4"/>
                      <w:sz w:val="21"/>
                      <w:szCs w:val="21"/>
                      <w:highlight w:val="none"/>
                    </w:rPr>
                  </w:pPr>
                  <w:r>
                    <w:rPr>
                      <w:rFonts w:ascii="Times New Roman" w:hAnsi="Times New Roman" w:eastAsia="宋体" w:cs="Times New Roman"/>
                      <w:color w:val="auto"/>
                      <w:spacing w:val="-4"/>
                      <w:sz w:val="21"/>
                      <w:szCs w:val="21"/>
                      <w:highlight w:val="none"/>
                    </w:rPr>
                    <w:t>本项目</w:t>
                  </w:r>
                  <w:r>
                    <w:rPr>
                      <w:rFonts w:hint="eastAsia"/>
                      <w:color w:val="auto"/>
                      <w:kern w:val="0"/>
                      <w:sz w:val="21"/>
                      <w:szCs w:val="21"/>
                    </w:rPr>
                    <w:t>辊</w:t>
                  </w:r>
                  <w:r>
                    <w:rPr>
                      <w:rFonts w:hint="eastAsia"/>
                      <w:color w:val="auto"/>
                      <w:kern w:val="0"/>
                      <w:sz w:val="21"/>
                      <w:szCs w:val="21"/>
                      <w:lang w:eastAsia="zh-CN"/>
                    </w:rPr>
                    <w:t>漆、</w:t>
                  </w:r>
                  <w:r>
                    <w:rPr>
                      <w:rFonts w:hint="eastAsia" w:ascii="Times New Roman" w:hAnsi="Times New Roman" w:eastAsia="宋体" w:cs="Times New Roman"/>
                      <w:color w:val="auto"/>
                      <w:sz w:val="21"/>
                      <w:szCs w:val="21"/>
                      <w:highlight w:val="none"/>
                      <w:lang w:val="en-US" w:eastAsia="zh-CN"/>
                    </w:rPr>
                    <w:t>紫外光固化</w:t>
                  </w:r>
                  <w:r>
                    <w:rPr>
                      <w:rFonts w:hint="eastAsia"/>
                      <w:color w:val="auto"/>
                      <w:kern w:val="0"/>
                      <w:sz w:val="21"/>
                      <w:szCs w:val="21"/>
                    </w:rPr>
                    <w:t>等废气收集后经</w:t>
                  </w:r>
                  <w:r>
                    <w:rPr>
                      <w:rFonts w:hint="eastAsia" w:ascii="Times New Roman" w:hAnsi="Times New Roman" w:eastAsia="宋体" w:cs="Times New Roman"/>
                      <w:color w:val="auto"/>
                      <w:sz w:val="21"/>
                      <w:szCs w:val="21"/>
                      <w:highlight w:val="none"/>
                      <w:lang w:eastAsia="zh-CN"/>
                    </w:rPr>
                    <w:t>带有自动控制系统的</w:t>
                  </w:r>
                  <w:r>
                    <w:rPr>
                      <w:rFonts w:hint="eastAsia"/>
                      <w:color w:val="auto"/>
                      <w:kern w:val="0"/>
                      <w:sz w:val="21"/>
                      <w:szCs w:val="21"/>
                    </w:rPr>
                    <w:t>二级活性炭吸附装置处理后</w:t>
                  </w:r>
                  <w:r>
                    <w:rPr>
                      <w:rFonts w:hint="eastAsia"/>
                      <w:color w:val="auto"/>
                      <w:kern w:val="0"/>
                      <w:sz w:val="21"/>
                      <w:szCs w:val="21"/>
                      <w:lang w:eastAsia="zh-CN"/>
                    </w:rPr>
                    <w:t>通过</w:t>
                  </w:r>
                  <w:r>
                    <w:rPr>
                      <w:rFonts w:hint="eastAsia"/>
                      <w:color w:val="auto"/>
                      <w:kern w:val="0"/>
                      <w:sz w:val="21"/>
                      <w:szCs w:val="21"/>
                    </w:rPr>
                    <w:t>一</w:t>
                  </w:r>
                  <w:r>
                    <w:rPr>
                      <w:rFonts w:hint="default" w:ascii="Times New Roman" w:hAnsi="Times New Roman" w:cs="Times New Roman"/>
                      <w:color w:val="auto"/>
                      <w:kern w:val="0"/>
                      <w:sz w:val="21"/>
                      <w:szCs w:val="21"/>
                    </w:rPr>
                    <w:t>套15m高</w:t>
                  </w:r>
                  <w:r>
                    <w:rPr>
                      <w:rFonts w:hint="eastAsia"/>
                      <w:color w:val="auto"/>
                      <w:kern w:val="0"/>
                      <w:sz w:val="21"/>
                      <w:szCs w:val="21"/>
                    </w:rPr>
                    <w:t>排气筒</w:t>
                  </w:r>
                  <w:r>
                    <w:rPr>
                      <w:rFonts w:hint="eastAsia"/>
                      <w:color w:val="auto"/>
                      <w:kern w:val="0"/>
                      <w:sz w:val="21"/>
                      <w:szCs w:val="21"/>
                      <w:lang w:eastAsia="zh-CN"/>
                    </w:rPr>
                    <w:t>排放。</w:t>
                  </w:r>
                  <w:r>
                    <w:rPr>
                      <w:rFonts w:ascii="Times New Roman" w:hAnsi="Times New Roman" w:cs="Times New Roman"/>
                      <w:color w:val="auto"/>
                      <w:sz w:val="21"/>
                      <w:szCs w:val="21"/>
                    </w:rPr>
                    <w:t>废气排放浓度满足《工业涂装工序挥发性有机物排放标准》（GB21/3160-2019）中</w:t>
                  </w:r>
                  <w:r>
                    <w:rPr>
                      <w:rFonts w:hint="eastAsia" w:ascii="Times New Roman" w:hAnsi="Times New Roman" w:cs="Times New Roman"/>
                      <w:color w:val="auto"/>
                      <w:sz w:val="21"/>
                      <w:szCs w:val="21"/>
                      <w:lang w:eastAsia="zh-CN"/>
                    </w:rPr>
                    <w:t>“涉及工业涂装工序的其他行业”</w:t>
                  </w:r>
                  <w:r>
                    <w:rPr>
                      <w:rFonts w:ascii="Times New Roman" w:hAnsi="Times New Roman" w:cs="Times New Roman"/>
                      <w:color w:val="auto"/>
                      <w:sz w:val="21"/>
                      <w:szCs w:val="21"/>
                    </w:rPr>
                    <w:t>排放限值。</w:t>
                  </w:r>
                </w:p>
              </w:tc>
              <w:tc>
                <w:tcPr>
                  <w:tcW w:w="556" w:type="pct"/>
                  <w:noWrap w:val="0"/>
                  <w:vAlign w:val="center"/>
                </w:tcPr>
                <w:p w14:paraId="24949FA6">
                  <w:pPr>
                    <w:pStyle w:val="56"/>
                    <w:spacing w:line="240" w:lineRule="auto"/>
                    <w:jc w:val="both"/>
                    <w:rPr>
                      <w:rFonts w:ascii="Times New Roman" w:hAnsi="Times New Roman" w:eastAsia="宋体" w:cs="Times New Roman"/>
                      <w:color w:val="auto"/>
                      <w:spacing w:val="-4"/>
                      <w:sz w:val="21"/>
                      <w:szCs w:val="21"/>
                      <w:highlight w:val="none"/>
                    </w:rPr>
                  </w:pPr>
                  <w:r>
                    <w:rPr>
                      <w:rFonts w:ascii="Times New Roman" w:hAnsi="Times New Roman" w:eastAsia="宋体" w:cs="Times New Roman"/>
                      <w:color w:val="auto"/>
                      <w:spacing w:val="-4"/>
                      <w:sz w:val="21"/>
                      <w:szCs w:val="21"/>
                      <w:highlight w:val="none"/>
                    </w:rPr>
                    <w:t>符合</w:t>
                  </w:r>
                </w:p>
              </w:tc>
            </w:tr>
            <w:tr w14:paraId="04CADF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4"/>
                  <w:noWrap w:val="0"/>
                  <w:vAlign w:val="center"/>
                </w:tcPr>
                <w:p w14:paraId="5E201237">
                  <w:pPr>
                    <w:pStyle w:val="56"/>
                    <w:spacing w:line="240" w:lineRule="auto"/>
                    <w:jc w:val="center"/>
                    <w:rPr>
                      <w:rFonts w:ascii="Times New Roman" w:hAnsi="Times New Roman" w:eastAsia="宋体" w:cs="Times New Roman"/>
                      <w:color w:val="auto"/>
                      <w:spacing w:val="-4"/>
                      <w:sz w:val="21"/>
                      <w:szCs w:val="21"/>
                      <w:highlight w:val="none"/>
                    </w:rPr>
                  </w:pPr>
                  <w:r>
                    <w:rPr>
                      <w:rFonts w:hint="eastAsia" w:ascii="Times New Roman" w:hAnsi="Times New Roman" w:eastAsia="宋体" w:cs="Times New Roman"/>
                      <w:b/>
                      <w:bCs/>
                      <w:color w:val="auto"/>
                      <w:kern w:val="2"/>
                      <w:sz w:val="21"/>
                      <w:szCs w:val="21"/>
                      <w:highlight w:val="none"/>
                      <w:lang w:val="en-US" w:eastAsia="zh-CN" w:bidi="ar-SA"/>
                    </w:rPr>
                    <w:t>《工业涂装工序挥发性有机物排放标准》（DB21/3160-2019）</w:t>
                  </w:r>
                </w:p>
              </w:tc>
            </w:tr>
            <w:tr w14:paraId="1EF7AE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81" w:type="pct"/>
                  <w:gridSpan w:val="2"/>
                  <w:noWrap w:val="0"/>
                  <w:vAlign w:val="center"/>
                </w:tcPr>
                <w:p w14:paraId="5847967A">
                  <w:pPr>
                    <w:pStyle w:val="56"/>
                    <w:numPr>
                      <w:ilvl w:val="0"/>
                      <w:numId w:val="0"/>
                    </w:numPr>
                    <w:spacing w:line="240" w:lineRule="auto"/>
                    <w:jc w:val="both"/>
                    <w:rPr>
                      <w:rFonts w:hint="default" w:ascii="Times New Roman" w:hAnsi="Times New Roman" w:eastAsia="宋体" w:cs="Times New Roman"/>
                      <w:color w:val="auto"/>
                      <w:spacing w:val="-4"/>
                      <w:sz w:val="21"/>
                      <w:szCs w:val="21"/>
                      <w:highlight w:val="none"/>
                      <w:lang w:val="en-US" w:eastAsia="zh-CN"/>
                    </w:rPr>
                  </w:pPr>
                  <w:r>
                    <w:rPr>
                      <w:rFonts w:hint="eastAsia" w:ascii="Times New Roman" w:hAnsi="Times New Roman" w:eastAsia="宋体" w:cs="Times New Roman"/>
                      <w:color w:val="auto"/>
                      <w:spacing w:val="-4"/>
                      <w:sz w:val="21"/>
                      <w:szCs w:val="21"/>
                      <w:highlight w:val="none"/>
                      <w:lang w:val="en-US" w:eastAsia="zh-CN"/>
                    </w:rPr>
                    <w:t>4.3.1</w:t>
                  </w:r>
                  <w:r>
                    <w:rPr>
                      <w:rFonts w:hint="eastAsia" w:ascii="Times New Roman" w:hAnsi="Times New Roman" w:eastAsia="宋体" w:cs="Times New Roman"/>
                      <w:color w:val="auto"/>
                      <w:spacing w:val="-4"/>
                      <w:sz w:val="21"/>
                      <w:szCs w:val="21"/>
                      <w:highlight w:val="none"/>
                      <w:lang w:eastAsia="zh-CN"/>
                    </w:rPr>
                    <w:t>排气筒高度不应低于</w:t>
                  </w:r>
                  <w:r>
                    <w:rPr>
                      <w:rFonts w:hint="eastAsia" w:ascii="Times New Roman" w:hAnsi="Times New Roman" w:eastAsia="宋体" w:cs="Times New Roman"/>
                      <w:color w:val="auto"/>
                      <w:spacing w:val="-4"/>
                      <w:sz w:val="21"/>
                      <w:szCs w:val="21"/>
                      <w:highlight w:val="none"/>
                      <w:lang w:val="en-US" w:eastAsia="zh-CN"/>
                    </w:rPr>
                    <w:t>15m；4.3.2排气筒高度应高出周边200m半径范围内的建筑5m以上。若不能达到该要求高度，排气筒的最高允许排放速率应按表2或其内插法、外推法计算出的最高允许排放速率限值的50%执行。</w:t>
                  </w:r>
                </w:p>
              </w:tc>
              <w:tc>
                <w:tcPr>
                  <w:tcW w:w="1762" w:type="pct"/>
                  <w:noWrap w:val="0"/>
                  <w:vAlign w:val="center"/>
                </w:tcPr>
                <w:p w14:paraId="021566E9">
                  <w:pPr>
                    <w:pStyle w:val="56"/>
                    <w:spacing w:line="240" w:lineRule="auto"/>
                    <w:jc w:val="both"/>
                    <w:rPr>
                      <w:rFonts w:hint="default" w:ascii="Times New Roman" w:hAnsi="Times New Roman" w:eastAsia="宋体" w:cs="Times New Roman"/>
                      <w:color w:val="auto"/>
                      <w:spacing w:val="-4"/>
                      <w:sz w:val="21"/>
                      <w:szCs w:val="21"/>
                      <w:highlight w:val="none"/>
                      <w:lang w:val="en-US" w:eastAsia="zh-CN"/>
                    </w:rPr>
                  </w:pPr>
                  <w:r>
                    <w:rPr>
                      <w:rFonts w:hint="eastAsia" w:ascii="Times New Roman" w:hAnsi="Times New Roman" w:eastAsia="宋体" w:cs="Times New Roman"/>
                      <w:color w:val="auto"/>
                      <w:spacing w:val="-4"/>
                      <w:sz w:val="21"/>
                      <w:szCs w:val="21"/>
                      <w:highlight w:val="none"/>
                      <w:lang w:eastAsia="zh-CN"/>
                    </w:rPr>
                    <w:t>本项目周边</w:t>
                  </w:r>
                  <w:r>
                    <w:rPr>
                      <w:rFonts w:hint="eastAsia" w:ascii="Times New Roman" w:hAnsi="Times New Roman" w:eastAsia="宋体" w:cs="Times New Roman"/>
                      <w:color w:val="auto"/>
                      <w:spacing w:val="-4"/>
                      <w:sz w:val="21"/>
                      <w:szCs w:val="21"/>
                      <w:highlight w:val="none"/>
                      <w:lang w:val="en-US" w:eastAsia="zh-CN"/>
                    </w:rPr>
                    <w:t>200m半径范围内的建筑高度为10m，本项目所建排气筒高度为15m，因此符合要求。</w:t>
                  </w:r>
                </w:p>
              </w:tc>
              <w:tc>
                <w:tcPr>
                  <w:tcW w:w="556" w:type="pct"/>
                  <w:noWrap w:val="0"/>
                  <w:vAlign w:val="center"/>
                </w:tcPr>
                <w:p w14:paraId="26EA1EE4">
                  <w:pPr>
                    <w:pStyle w:val="56"/>
                    <w:spacing w:line="240" w:lineRule="auto"/>
                    <w:jc w:val="center"/>
                    <w:rPr>
                      <w:rFonts w:ascii="Times New Roman" w:hAnsi="Times New Roman" w:eastAsia="宋体" w:cs="Times New Roman"/>
                      <w:color w:val="auto"/>
                      <w:spacing w:val="-4"/>
                      <w:sz w:val="21"/>
                      <w:szCs w:val="21"/>
                      <w:highlight w:val="none"/>
                    </w:rPr>
                  </w:pPr>
                  <w:r>
                    <w:rPr>
                      <w:rFonts w:hint="eastAsia"/>
                      <w:color w:val="auto"/>
                      <w:sz w:val="21"/>
                      <w:szCs w:val="21"/>
                      <w:highlight w:val="none"/>
                    </w:rPr>
                    <w:t>符合</w:t>
                  </w:r>
                </w:p>
              </w:tc>
            </w:tr>
            <w:tr w14:paraId="7F1C5A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81" w:type="pct"/>
                  <w:gridSpan w:val="2"/>
                  <w:noWrap w:val="0"/>
                  <w:vAlign w:val="center"/>
                </w:tcPr>
                <w:p w14:paraId="44AEAEC1">
                  <w:pPr>
                    <w:pStyle w:val="56"/>
                    <w:numPr>
                      <w:ilvl w:val="0"/>
                      <w:numId w:val="0"/>
                    </w:numPr>
                    <w:spacing w:line="240" w:lineRule="auto"/>
                    <w:jc w:val="both"/>
                    <w:rPr>
                      <w:rFonts w:hint="eastAsia" w:ascii="Times New Roman" w:hAnsi="Times New Roman" w:eastAsia="宋体" w:cs="Times New Roman"/>
                      <w:color w:val="auto"/>
                      <w:spacing w:val="-4"/>
                      <w:sz w:val="21"/>
                      <w:szCs w:val="21"/>
                      <w:highlight w:val="none"/>
                      <w:lang w:val="en-US" w:eastAsia="zh-CN"/>
                    </w:rPr>
                  </w:pPr>
                  <w:r>
                    <w:rPr>
                      <w:rFonts w:hint="eastAsia" w:ascii="Times New Roman" w:hAnsi="Times New Roman" w:eastAsia="宋体" w:cs="Times New Roman"/>
                      <w:color w:val="auto"/>
                      <w:spacing w:val="-4"/>
                      <w:sz w:val="21"/>
                      <w:szCs w:val="21"/>
                      <w:highlight w:val="none"/>
                      <w:lang w:val="en-US" w:eastAsia="zh-CN"/>
                    </w:rPr>
                    <w:t>4.5.1含挥发性有机物的涂料及其辅料，储运、取用、调配和涂装施工过程的所有作业均应在密闭的容器、设施或车间内进行。产生大气污染物的设施或车间，应设立局部或整体气体收集系统及相应的净化处理装置，尽可能避免和减少无组织排放。</w:t>
                  </w:r>
                </w:p>
              </w:tc>
              <w:tc>
                <w:tcPr>
                  <w:tcW w:w="1762" w:type="pct"/>
                  <w:noWrap w:val="0"/>
                  <w:vAlign w:val="center"/>
                </w:tcPr>
                <w:p w14:paraId="1C1DC70D">
                  <w:pPr>
                    <w:pStyle w:val="56"/>
                    <w:spacing w:line="240" w:lineRule="auto"/>
                    <w:jc w:val="left"/>
                    <w:rPr>
                      <w:rFonts w:hint="eastAsia" w:ascii="Times New Roman" w:hAnsi="Times New Roman" w:eastAsia="宋体" w:cs="Times New Roman"/>
                      <w:color w:val="auto"/>
                      <w:spacing w:val="-4"/>
                      <w:sz w:val="21"/>
                      <w:szCs w:val="21"/>
                      <w:highlight w:val="none"/>
                      <w:lang w:eastAsia="zh-CN"/>
                    </w:rPr>
                  </w:pPr>
                  <w:r>
                    <w:rPr>
                      <w:rFonts w:hint="default" w:ascii="Times New Roman" w:hAnsi="Times New Roman" w:cs="Times New Roman"/>
                      <w:color w:val="auto"/>
                      <w:spacing w:val="2"/>
                      <w:sz w:val="21"/>
                      <w:szCs w:val="21"/>
                      <w:highlight w:val="none"/>
                    </w:rPr>
                    <w:t>项目</w:t>
                  </w:r>
                  <w:r>
                    <w:rPr>
                      <w:rFonts w:hint="default" w:ascii="Times New Roman" w:hAnsi="Times New Roman" w:cs="Times New Roman"/>
                      <w:color w:val="auto"/>
                      <w:spacing w:val="2"/>
                      <w:sz w:val="21"/>
                      <w:szCs w:val="21"/>
                      <w:highlight w:val="none"/>
                      <w:lang w:eastAsia="zh-CN"/>
                    </w:rPr>
                    <w:t>辊漆</w:t>
                  </w:r>
                  <w:r>
                    <w:rPr>
                      <w:rFonts w:hint="default" w:ascii="Times New Roman" w:hAnsi="Times New Roman" w:cs="Times New Roman"/>
                      <w:color w:val="auto"/>
                      <w:spacing w:val="2"/>
                      <w:sz w:val="21"/>
                      <w:szCs w:val="21"/>
                      <w:highlight w:val="none"/>
                    </w:rPr>
                    <w:t>使用的</w:t>
                  </w:r>
                  <w:r>
                    <w:rPr>
                      <w:rFonts w:hint="default" w:ascii="Times New Roman" w:hAnsi="Times New Roman" w:cs="Times New Roman"/>
                      <w:color w:val="auto"/>
                      <w:spacing w:val="2"/>
                      <w:sz w:val="21"/>
                      <w:szCs w:val="21"/>
                      <w:highlight w:val="none"/>
                      <w:lang w:val="en-US" w:eastAsia="zh-CN"/>
                    </w:rPr>
                    <w:t>UV底漆、UV面漆及木工胶</w:t>
                  </w:r>
                  <w:r>
                    <w:rPr>
                      <w:rFonts w:hint="default" w:ascii="Times New Roman" w:hAnsi="Times New Roman" w:cs="Times New Roman"/>
                      <w:color w:val="auto"/>
                      <w:spacing w:val="2"/>
                      <w:sz w:val="21"/>
                      <w:szCs w:val="21"/>
                      <w:highlight w:val="none"/>
                    </w:rPr>
                    <w:t>采用密闭的包装桶盛放</w:t>
                  </w:r>
                  <w:r>
                    <w:rPr>
                      <w:rFonts w:hint="eastAsia" w:ascii="Times New Roman" w:hAnsi="Times New Roman" w:cs="Times New Roman"/>
                      <w:color w:val="auto"/>
                      <w:spacing w:val="2"/>
                      <w:sz w:val="21"/>
                      <w:szCs w:val="21"/>
                      <w:highlight w:val="none"/>
                      <w:lang w:eastAsia="zh-CN"/>
                    </w:rPr>
                    <w:t>，地板生产在密闭车间内进行，</w:t>
                  </w:r>
                  <w:r>
                    <w:rPr>
                      <w:rFonts w:hint="eastAsia"/>
                      <w:color w:val="auto"/>
                      <w:kern w:val="0"/>
                      <w:sz w:val="21"/>
                      <w:szCs w:val="21"/>
                    </w:rPr>
                    <w:t>辊</w:t>
                  </w:r>
                  <w:r>
                    <w:rPr>
                      <w:rFonts w:hint="eastAsia"/>
                      <w:color w:val="auto"/>
                      <w:kern w:val="0"/>
                      <w:sz w:val="21"/>
                      <w:szCs w:val="21"/>
                      <w:lang w:eastAsia="zh-CN"/>
                    </w:rPr>
                    <w:t>漆、</w:t>
                  </w:r>
                  <w:r>
                    <w:rPr>
                      <w:rFonts w:hint="eastAsia" w:ascii="Times New Roman" w:hAnsi="Times New Roman" w:eastAsia="宋体" w:cs="Times New Roman"/>
                      <w:color w:val="auto"/>
                      <w:sz w:val="21"/>
                      <w:szCs w:val="21"/>
                      <w:highlight w:val="none"/>
                      <w:lang w:val="en-US" w:eastAsia="zh-CN"/>
                    </w:rPr>
                    <w:t>紫外光固化</w:t>
                  </w:r>
                  <w:r>
                    <w:rPr>
                      <w:rFonts w:hint="eastAsia"/>
                      <w:color w:val="auto"/>
                      <w:kern w:val="0"/>
                      <w:sz w:val="21"/>
                      <w:szCs w:val="21"/>
                    </w:rPr>
                    <w:t>等废气收集后经</w:t>
                  </w:r>
                  <w:r>
                    <w:rPr>
                      <w:rFonts w:hint="eastAsia"/>
                      <w:color w:val="auto"/>
                      <w:kern w:val="0"/>
                      <w:sz w:val="21"/>
                      <w:szCs w:val="21"/>
                      <w:lang w:eastAsia="zh-CN"/>
                    </w:rPr>
                    <w:t>带有自动控制系统的</w:t>
                  </w:r>
                  <w:r>
                    <w:rPr>
                      <w:rFonts w:hint="eastAsia"/>
                      <w:color w:val="auto"/>
                      <w:kern w:val="0"/>
                      <w:sz w:val="21"/>
                      <w:szCs w:val="21"/>
                    </w:rPr>
                    <w:t>二级活性炭吸附装置处理后</w:t>
                  </w:r>
                  <w:r>
                    <w:rPr>
                      <w:rFonts w:hint="eastAsia"/>
                      <w:color w:val="auto"/>
                      <w:kern w:val="0"/>
                      <w:sz w:val="21"/>
                      <w:szCs w:val="21"/>
                      <w:lang w:eastAsia="zh-CN"/>
                    </w:rPr>
                    <w:t>通过</w:t>
                  </w:r>
                  <w:r>
                    <w:rPr>
                      <w:rFonts w:hint="eastAsia"/>
                      <w:color w:val="auto"/>
                      <w:kern w:val="0"/>
                      <w:sz w:val="21"/>
                      <w:szCs w:val="21"/>
                    </w:rPr>
                    <w:t>一</w:t>
                  </w:r>
                  <w:r>
                    <w:rPr>
                      <w:rFonts w:hint="default" w:ascii="Times New Roman" w:hAnsi="Times New Roman" w:cs="Times New Roman"/>
                      <w:color w:val="auto"/>
                      <w:kern w:val="0"/>
                      <w:sz w:val="21"/>
                      <w:szCs w:val="21"/>
                    </w:rPr>
                    <w:t>套15m高</w:t>
                  </w:r>
                  <w:r>
                    <w:rPr>
                      <w:rFonts w:hint="eastAsia"/>
                      <w:color w:val="auto"/>
                      <w:kern w:val="0"/>
                      <w:sz w:val="21"/>
                      <w:szCs w:val="21"/>
                    </w:rPr>
                    <w:t>排气筒</w:t>
                  </w:r>
                  <w:r>
                    <w:rPr>
                      <w:rFonts w:hint="eastAsia"/>
                      <w:color w:val="auto"/>
                      <w:kern w:val="0"/>
                      <w:sz w:val="21"/>
                      <w:szCs w:val="21"/>
                      <w:lang w:eastAsia="zh-CN"/>
                    </w:rPr>
                    <w:t>排放。</w:t>
                  </w:r>
                </w:p>
              </w:tc>
              <w:tc>
                <w:tcPr>
                  <w:tcW w:w="556" w:type="pct"/>
                  <w:noWrap w:val="0"/>
                  <w:vAlign w:val="center"/>
                </w:tcPr>
                <w:p w14:paraId="3DCF2387">
                  <w:pPr>
                    <w:spacing w:line="240" w:lineRule="auto"/>
                    <w:jc w:val="center"/>
                    <w:rPr>
                      <w:rFonts w:hint="eastAsia"/>
                      <w:color w:val="auto"/>
                      <w:sz w:val="21"/>
                      <w:szCs w:val="21"/>
                      <w:highlight w:val="none"/>
                    </w:rPr>
                  </w:pPr>
                  <w:r>
                    <w:rPr>
                      <w:rFonts w:hint="eastAsia"/>
                      <w:color w:val="auto"/>
                      <w:sz w:val="21"/>
                      <w:szCs w:val="21"/>
                      <w:highlight w:val="none"/>
                    </w:rPr>
                    <w:t>符合</w:t>
                  </w:r>
                </w:p>
              </w:tc>
            </w:tr>
            <w:tr w14:paraId="5821A4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81" w:type="pct"/>
                  <w:gridSpan w:val="2"/>
                  <w:noWrap w:val="0"/>
                  <w:vAlign w:val="center"/>
                </w:tcPr>
                <w:p w14:paraId="5C3329C4">
                  <w:pPr>
                    <w:pStyle w:val="56"/>
                    <w:numPr>
                      <w:ilvl w:val="0"/>
                      <w:numId w:val="0"/>
                    </w:numPr>
                    <w:spacing w:line="240" w:lineRule="auto"/>
                    <w:jc w:val="both"/>
                    <w:rPr>
                      <w:rFonts w:hint="eastAsia" w:ascii="Times New Roman" w:hAnsi="Times New Roman" w:eastAsia="宋体" w:cs="Times New Roman"/>
                      <w:color w:val="auto"/>
                      <w:spacing w:val="-4"/>
                      <w:sz w:val="21"/>
                      <w:szCs w:val="21"/>
                      <w:highlight w:val="none"/>
                      <w:lang w:val="en-US" w:eastAsia="zh-CN"/>
                    </w:rPr>
                  </w:pPr>
                  <w:r>
                    <w:rPr>
                      <w:rFonts w:hint="eastAsia" w:ascii="Times New Roman" w:hAnsi="Times New Roman" w:eastAsia="宋体" w:cs="Times New Roman"/>
                      <w:color w:val="auto"/>
                      <w:spacing w:val="-4"/>
                      <w:sz w:val="21"/>
                      <w:szCs w:val="21"/>
                      <w:highlight w:val="none"/>
                      <w:lang w:val="en-US" w:eastAsia="zh-CN"/>
                    </w:rPr>
                    <w:t>4.5.2废溶剂、废涂料、洒落的涂料、沾有涂料或溶剂的抹布等，应集中收集、密闭存放，防止其中的挥发性有机物直接向大气中散发。这些废料废物，最终应通过回收、或交有资质的危险废物处理单位、或通过焚烧等方式进行彻底无害化处理。企业应对这些废料废物的处理时间、处理方式、处理量等予以客观记录。</w:t>
                  </w:r>
                </w:p>
              </w:tc>
              <w:tc>
                <w:tcPr>
                  <w:tcW w:w="1762" w:type="pct"/>
                  <w:noWrap w:val="0"/>
                  <w:vAlign w:val="center"/>
                </w:tcPr>
                <w:p w14:paraId="419069E2">
                  <w:pPr>
                    <w:pStyle w:val="56"/>
                    <w:spacing w:line="240" w:lineRule="auto"/>
                    <w:jc w:val="left"/>
                    <w:rPr>
                      <w:rFonts w:hint="eastAsia" w:ascii="Times New Roman" w:hAnsi="Times New Roman" w:eastAsia="宋体" w:cs="Times New Roman"/>
                      <w:color w:val="auto"/>
                      <w:spacing w:val="-4"/>
                      <w:sz w:val="21"/>
                      <w:szCs w:val="21"/>
                      <w:highlight w:val="none"/>
                      <w:lang w:eastAsia="zh-CN"/>
                    </w:rPr>
                  </w:pPr>
                  <w:r>
                    <w:rPr>
                      <w:rFonts w:hint="eastAsia" w:ascii="Times New Roman" w:hAnsi="Times New Roman" w:cs="Times New Roman"/>
                      <w:color w:val="auto"/>
                      <w:sz w:val="21"/>
                      <w:szCs w:val="21"/>
                      <w:lang w:eastAsia="zh-CN"/>
                    </w:rPr>
                    <w:t>除废辊筒不在厂内贮存，</w:t>
                  </w:r>
                  <w:r>
                    <w:rPr>
                      <w:rFonts w:hint="eastAsia" w:ascii="Times New Roman" w:hAnsi="Times New Roman" w:eastAsia="宋体" w:cs="Times New Roman"/>
                      <w:color w:val="auto"/>
                      <w:sz w:val="21"/>
                      <w:szCs w:val="21"/>
                      <w:lang w:val="en-US" w:eastAsia="zh-CN"/>
                    </w:rPr>
                    <w:t>由</w:t>
                  </w:r>
                  <w:r>
                    <w:rPr>
                      <w:rFonts w:hint="eastAsia" w:ascii="Times New Roman" w:hAnsi="Times New Roman" w:eastAsia="宋体" w:cs="Times New Roman"/>
                      <w:color w:val="auto"/>
                      <w:sz w:val="21"/>
                      <w:szCs w:val="21"/>
                      <w:lang w:eastAsia="zh-CN"/>
                    </w:rPr>
                    <w:t>委托的资质单位直接运走处置，其余危险废物（如</w:t>
                  </w:r>
                  <w:r>
                    <w:rPr>
                      <w:rFonts w:hint="eastAsia"/>
                      <w:color w:val="auto"/>
                      <w:kern w:val="0"/>
                      <w:sz w:val="21"/>
                      <w:szCs w:val="21"/>
                      <w:highlight w:val="none"/>
                      <w:lang w:eastAsia="zh-CN"/>
                    </w:rPr>
                    <w:t>废胶渣</w:t>
                  </w:r>
                  <w:r>
                    <w:rPr>
                      <w:rFonts w:hint="eastAsia" w:ascii="Times New Roman" w:hAnsi="Times New Roman" w:cs="Times New Roman"/>
                      <w:color w:val="auto"/>
                      <w:spacing w:val="-7"/>
                      <w:sz w:val="21"/>
                      <w:szCs w:val="21"/>
                      <w:lang w:eastAsia="zh-CN"/>
                    </w:rPr>
                    <w:t>、</w:t>
                  </w:r>
                  <w:r>
                    <w:rPr>
                      <w:rFonts w:hint="eastAsia" w:ascii="Times New Roman" w:hAnsi="Times New Roman" w:eastAsia="宋体" w:cs="Times New Roman"/>
                      <w:color w:val="auto"/>
                      <w:kern w:val="0"/>
                      <w:sz w:val="21"/>
                      <w:szCs w:val="21"/>
                      <w:highlight w:val="none"/>
                      <w:lang w:val="en-US" w:eastAsia="zh-CN"/>
                    </w:rPr>
                    <w:t>废漆（胶）桶、</w:t>
                  </w:r>
                  <w:r>
                    <w:rPr>
                      <w:rFonts w:hint="eastAsia" w:ascii="Times New Roman" w:hAnsi="Times New Roman" w:cs="Times New Roman"/>
                      <w:color w:val="auto"/>
                      <w:spacing w:val="-7"/>
                      <w:sz w:val="21"/>
                      <w:szCs w:val="21"/>
                      <w:lang w:eastAsia="zh-CN"/>
                    </w:rPr>
                    <w:t>漆渣等</w:t>
                  </w:r>
                  <w:r>
                    <w:rPr>
                      <w:rFonts w:hint="eastAsia" w:ascii="Times New Roman" w:hAnsi="Times New Roman" w:eastAsia="宋体" w:cs="Times New Roman"/>
                      <w:color w:val="auto"/>
                      <w:sz w:val="21"/>
                      <w:szCs w:val="21"/>
                      <w:lang w:eastAsia="zh-CN"/>
                    </w:rPr>
                    <w:t>）暂</w:t>
                  </w:r>
                  <w:r>
                    <w:rPr>
                      <w:rFonts w:ascii="Times New Roman" w:hAnsi="Times New Roman" w:cs="Times New Roman"/>
                      <w:color w:val="auto"/>
                      <w:spacing w:val="-7"/>
                      <w:sz w:val="21"/>
                      <w:szCs w:val="21"/>
                    </w:rPr>
                    <w:t>存于</w:t>
                  </w:r>
                  <w:r>
                    <w:rPr>
                      <w:rFonts w:hint="eastAsia" w:ascii="Times New Roman" w:hAnsi="Times New Roman" w:cs="Times New Roman"/>
                      <w:color w:val="auto"/>
                      <w:spacing w:val="-7"/>
                      <w:sz w:val="21"/>
                      <w:szCs w:val="21"/>
                      <w:lang w:eastAsia="zh-CN"/>
                    </w:rPr>
                    <w:t>危险废物贮存点</w:t>
                  </w:r>
                  <w:r>
                    <w:rPr>
                      <w:rFonts w:ascii="Times New Roman" w:hAnsi="Times New Roman" w:cs="Times New Roman"/>
                      <w:color w:val="auto"/>
                      <w:spacing w:val="-7"/>
                      <w:sz w:val="21"/>
                      <w:szCs w:val="21"/>
                    </w:rPr>
                    <w:t>，</w:t>
                  </w:r>
                  <w:r>
                    <w:rPr>
                      <w:rFonts w:ascii="Times New Roman" w:hAnsi="Times New Roman" w:cs="Times New Roman"/>
                      <w:color w:val="auto"/>
                      <w:spacing w:val="-1"/>
                      <w:sz w:val="21"/>
                      <w:szCs w:val="21"/>
                    </w:rPr>
                    <w:t>定期交由有</w:t>
                  </w:r>
                  <w:r>
                    <w:rPr>
                      <w:rFonts w:hint="eastAsia" w:ascii="Times New Roman" w:hAnsi="Times New Roman" w:cs="Times New Roman"/>
                      <w:color w:val="auto"/>
                      <w:spacing w:val="-1"/>
                      <w:sz w:val="21"/>
                      <w:szCs w:val="21"/>
                      <w:lang w:eastAsia="zh-CN"/>
                    </w:rPr>
                    <w:t>资质单位</w:t>
                  </w:r>
                  <w:r>
                    <w:rPr>
                      <w:rFonts w:ascii="Times New Roman" w:hAnsi="Times New Roman" w:cs="Times New Roman"/>
                      <w:color w:val="auto"/>
                      <w:spacing w:val="-1"/>
                      <w:sz w:val="21"/>
                      <w:szCs w:val="21"/>
                    </w:rPr>
                    <w:t>处置</w:t>
                  </w:r>
                  <w:r>
                    <w:rPr>
                      <w:rFonts w:hint="eastAsia" w:ascii="Times New Roman" w:hAnsi="Times New Roman" w:cs="Times New Roman"/>
                      <w:color w:val="auto"/>
                      <w:spacing w:val="-1"/>
                      <w:sz w:val="21"/>
                      <w:szCs w:val="21"/>
                      <w:lang w:eastAsia="zh-CN"/>
                    </w:rPr>
                    <w:t>；</w:t>
                  </w:r>
                  <w:r>
                    <w:rPr>
                      <w:rFonts w:hint="default" w:ascii="Times New Roman" w:hAnsi="Times New Roman" w:cs="Times New Roman"/>
                      <w:color w:val="auto"/>
                      <w:spacing w:val="2"/>
                      <w:sz w:val="21"/>
                      <w:szCs w:val="21"/>
                      <w:highlight w:val="none"/>
                      <w:lang w:eastAsia="zh-CN"/>
                    </w:rPr>
                    <w:t>建立健全漆料及木工胶</w:t>
                  </w:r>
                  <w:r>
                    <w:rPr>
                      <w:rFonts w:hint="default" w:ascii="Times New Roman" w:hAnsi="Times New Roman" w:cs="Times New Roman"/>
                      <w:color w:val="auto"/>
                      <w:spacing w:val="2"/>
                      <w:sz w:val="21"/>
                      <w:szCs w:val="21"/>
                      <w:highlight w:val="none"/>
                    </w:rPr>
                    <w:t>台账，记录</w:t>
                  </w:r>
                  <w:r>
                    <w:rPr>
                      <w:rFonts w:hint="default" w:ascii="Times New Roman" w:hAnsi="Times New Roman" w:cs="Times New Roman"/>
                      <w:color w:val="auto"/>
                      <w:spacing w:val="2"/>
                      <w:sz w:val="21"/>
                      <w:szCs w:val="21"/>
                      <w:highlight w:val="none"/>
                      <w:lang w:eastAsia="zh-CN"/>
                    </w:rPr>
                    <w:t>漆料</w:t>
                  </w:r>
                  <w:r>
                    <w:rPr>
                      <w:rFonts w:hint="default" w:ascii="Times New Roman" w:hAnsi="Times New Roman" w:cs="Times New Roman"/>
                      <w:color w:val="auto"/>
                      <w:spacing w:val="2"/>
                      <w:sz w:val="21"/>
                      <w:szCs w:val="21"/>
                      <w:highlight w:val="none"/>
                    </w:rPr>
                    <w:t>的名称、使用量、废弃量、去向以及VOCs含量等信息。台账保存期限不少于</w:t>
                  </w:r>
                  <w:r>
                    <w:rPr>
                      <w:rFonts w:hint="default" w:ascii="Times New Roman" w:hAnsi="Times New Roman" w:cs="Times New Roman"/>
                      <w:color w:val="auto"/>
                      <w:spacing w:val="2"/>
                      <w:sz w:val="21"/>
                      <w:szCs w:val="21"/>
                      <w:highlight w:val="none"/>
                      <w:lang w:val="en-US" w:eastAsia="zh-CN"/>
                    </w:rPr>
                    <w:t>5</w:t>
                  </w:r>
                  <w:r>
                    <w:rPr>
                      <w:rFonts w:hint="default" w:ascii="Times New Roman" w:hAnsi="Times New Roman" w:cs="Times New Roman"/>
                      <w:color w:val="auto"/>
                      <w:spacing w:val="2"/>
                      <w:sz w:val="21"/>
                      <w:szCs w:val="21"/>
                      <w:highlight w:val="none"/>
                    </w:rPr>
                    <w:t>年。</w:t>
                  </w:r>
                </w:p>
              </w:tc>
              <w:tc>
                <w:tcPr>
                  <w:tcW w:w="556" w:type="pct"/>
                  <w:noWrap w:val="0"/>
                  <w:vAlign w:val="center"/>
                </w:tcPr>
                <w:p w14:paraId="1701E890">
                  <w:pPr>
                    <w:spacing w:line="240" w:lineRule="auto"/>
                    <w:jc w:val="center"/>
                    <w:rPr>
                      <w:rFonts w:hint="eastAsia"/>
                      <w:color w:val="auto"/>
                      <w:sz w:val="21"/>
                      <w:szCs w:val="21"/>
                      <w:highlight w:val="none"/>
                    </w:rPr>
                  </w:pPr>
                  <w:r>
                    <w:rPr>
                      <w:rFonts w:hint="eastAsia"/>
                      <w:color w:val="auto"/>
                      <w:sz w:val="21"/>
                      <w:szCs w:val="21"/>
                      <w:highlight w:val="none"/>
                    </w:rPr>
                    <w:t>符合</w:t>
                  </w:r>
                </w:p>
              </w:tc>
            </w:tr>
            <w:tr w14:paraId="5715DC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81" w:type="pct"/>
                  <w:gridSpan w:val="2"/>
                  <w:noWrap w:val="0"/>
                  <w:vAlign w:val="center"/>
                </w:tcPr>
                <w:p w14:paraId="2569E804">
                  <w:pPr>
                    <w:pStyle w:val="56"/>
                    <w:numPr>
                      <w:ilvl w:val="0"/>
                      <w:numId w:val="0"/>
                    </w:numPr>
                    <w:spacing w:line="240" w:lineRule="auto"/>
                    <w:jc w:val="both"/>
                    <w:rPr>
                      <w:rFonts w:hint="eastAsia" w:ascii="Times New Roman" w:hAnsi="Times New Roman" w:eastAsia="宋体" w:cs="Times New Roman"/>
                      <w:color w:val="auto"/>
                      <w:spacing w:val="-4"/>
                      <w:sz w:val="21"/>
                      <w:szCs w:val="21"/>
                      <w:highlight w:val="none"/>
                      <w:lang w:val="en-US" w:eastAsia="zh-CN"/>
                    </w:rPr>
                  </w:pPr>
                  <w:r>
                    <w:rPr>
                      <w:rFonts w:hint="eastAsia" w:ascii="Times New Roman" w:hAnsi="Times New Roman" w:eastAsia="宋体" w:cs="Times New Roman"/>
                      <w:color w:val="auto"/>
                      <w:spacing w:val="-4"/>
                      <w:sz w:val="21"/>
                      <w:szCs w:val="21"/>
                      <w:highlight w:val="none"/>
                      <w:lang w:val="en-US" w:eastAsia="zh-CN"/>
                    </w:rPr>
                    <w:t>4.5.4废气收集系统及净化处理设施应与涂装生产工艺设备同步运行。废气收集系统或净化处理设施发生故障或检修时，应停止运行其对应的生产工艺设备。只有废气收集系统或净化处理设施恢复正常后，其对应的生产工艺设备才能运行。</w:t>
                  </w:r>
                </w:p>
              </w:tc>
              <w:tc>
                <w:tcPr>
                  <w:tcW w:w="1762" w:type="pct"/>
                  <w:noWrap w:val="0"/>
                  <w:vAlign w:val="center"/>
                </w:tcPr>
                <w:p w14:paraId="70FB52E4">
                  <w:pPr>
                    <w:pStyle w:val="56"/>
                    <w:spacing w:line="240" w:lineRule="auto"/>
                    <w:jc w:val="left"/>
                    <w:rPr>
                      <w:rFonts w:hint="eastAsia" w:ascii="Times New Roman" w:hAnsi="Times New Roman" w:eastAsia="宋体" w:cs="Times New Roman"/>
                      <w:color w:val="auto"/>
                      <w:spacing w:val="-4"/>
                      <w:sz w:val="21"/>
                      <w:szCs w:val="21"/>
                      <w:highlight w:val="none"/>
                      <w:lang w:eastAsia="zh-CN"/>
                    </w:rPr>
                  </w:pPr>
                  <w:r>
                    <w:rPr>
                      <w:rFonts w:hint="eastAsia"/>
                      <w:color w:val="auto"/>
                      <w:spacing w:val="2"/>
                      <w:sz w:val="21"/>
                      <w:szCs w:val="21"/>
                      <w:highlight w:val="none"/>
                    </w:rPr>
                    <w:t>项目</w:t>
                  </w:r>
                  <w:r>
                    <w:rPr>
                      <w:rFonts w:hint="eastAsia"/>
                      <w:color w:val="auto"/>
                      <w:spacing w:val="2"/>
                      <w:sz w:val="21"/>
                      <w:szCs w:val="21"/>
                      <w:highlight w:val="none"/>
                      <w:lang w:eastAsia="zh-CN"/>
                    </w:rPr>
                    <w:t>带有自动控制系统的二级</w:t>
                  </w:r>
                  <w:r>
                    <w:rPr>
                      <w:rFonts w:hint="eastAsia"/>
                      <w:color w:val="auto"/>
                      <w:spacing w:val="2"/>
                      <w:sz w:val="21"/>
                      <w:szCs w:val="21"/>
                      <w:highlight w:val="none"/>
                    </w:rPr>
                    <w:t>活性炭吸附装置与生产工艺设备同步运行，发生故障或检修时，生产工序均停止运行，待检修完毕后再同步投入使用。</w:t>
                  </w:r>
                </w:p>
              </w:tc>
              <w:tc>
                <w:tcPr>
                  <w:tcW w:w="556" w:type="pct"/>
                  <w:noWrap w:val="0"/>
                  <w:vAlign w:val="center"/>
                </w:tcPr>
                <w:p w14:paraId="56466277">
                  <w:pPr>
                    <w:spacing w:line="240" w:lineRule="auto"/>
                    <w:jc w:val="center"/>
                    <w:rPr>
                      <w:rFonts w:hint="eastAsia"/>
                      <w:color w:val="auto"/>
                      <w:sz w:val="21"/>
                      <w:szCs w:val="21"/>
                      <w:highlight w:val="none"/>
                    </w:rPr>
                  </w:pPr>
                  <w:r>
                    <w:rPr>
                      <w:rFonts w:hint="eastAsia"/>
                      <w:color w:val="auto"/>
                      <w:sz w:val="21"/>
                      <w:szCs w:val="21"/>
                      <w:highlight w:val="none"/>
                    </w:rPr>
                    <w:t>符合</w:t>
                  </w:r>
                </w:p>
              </w:tc>
            </w:tr>
            <w:tr w14:paraId="71A9FC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81" w:type="pct"/>
                  <w:gridSpan w:val="2"/>
                  <w:noWrap w:val="0"/>
                  <w:vAlign w:val="center"/>
                </w:tcPr>
                <w:p w14:paraId="2AA7AAAA">
                  <w:pPr>
                    <w:pStyle w:val="56"/>
                    <w:numPr>
                      <w:ilvl w:val="0"/>
                      <w:numId w:val="0"/>
                    </w:numPr>
                    <w:spacing w:line="240" w:lineRule="auto"/>
                    <w:jc w:val="both"/>
                    <w:rPr>
                      <w:rFonts w:hint="eastAsia" w:ascii="Times New Roman" w:hAnsi="Times New Roman" w:eastAsia="宋体" w:cs="Times New Roman"/>
                      <w:color w:val="auto"/>
                      <w:spacing w:val="-4"/>
                      <w:sz w:val="21"/>
                      <w:szCs w:val="21"/>
                      <w:highlight w:val="none"/>
                      <w:lang w:val="en-US" w:eastAsia="zh-CN"/>
                    </w:rPr>
                  </w:pPr>
                  <w:r>
                    <w:rPr>
                      <w:rFonts w:hint="eastAsia" w:ascii="Times New Roman" w:hAnsi="Times New Roman" w:eastAsia="宋体" w:cs="Times New Roman"/>
                      <w:color w:val="auto"/>
                      <w:spacing w:val="-4"/>
                      <w:sz w:val="21"/>
                      <w:szCs w:val="21"/>
                      <w:highlight w:val="none"/>
                      <w:lang w:val="en-US" w:eastAsia="zh-CN"/>
                    </w:rPr>
                    <w:t>4.5.7排气中VOCs的治理采用吸附处理工艺但吸附体没有实施原位再生的，应按审定的设计文件要求定期更换吸附剂，更换下来的吸附剂应交有危险废物处理资质的单位进行处置。每次更换吸附剂前和更换吸附剂后，均应监测排气中污染物的浓度和总挥发性有机物</w:t>
                  </w:r>
                  <w:r>
                    <w:rPr>
                      <w:rFonts w:hint="eastAsia" w:ascii="Times New Roman" w:hAnsi="Times New Roman" w:eastAsia="宋体" w:cs="Times New Roman"/>
                      <w:color w:val="auto"/>
                      <w:spacing w:val="-4"/>
                      <w:sz w:val="21"/>
                      <w:szCs w:val="21"/>
                      <w:highlight w:val="none"/>
                      <w:lang w:val="en-US" w:eastAsia="zh-CN"/>
                    </w:rPr>
                    <w:t>（TVOC）</w:t>
                  </w:r>
                  <w:r>
                    <w:rPr>
                      <w:rFonts w:hint="eastAsia" w:ascii="Times New Roman" w:hAnsi="Times New Roman" w:eastAsia="宋体" w:cs="Times New Roman"/>
                      <w:color w:val="auto"/>
                      <w:spacing w:val="-4"/>
                      <w:sz w:val="21"/>
                      <w:szCs w:val="21"/>
                      <w:highlight w:val="none"/>
                      <w:lang w:val="en-US" w:eastAsia="zh-CN"/>
                    </w:rPr>
                    <w:t>或非甲烷总烃</w:t>
                  </w:r>
                  <w:r>
                    <w:rPr>
                      <w:rFonts w:hint="eastAsia" w:ascii="Times New Roman" w:hAnsi="Times New Roman" w:eastAsia="宋体" w:cs="Times New Roman"/>
                      <w:color w:val="auto"/>
                      <w:spacing w:val="-4"/>
                      <w:sz w:val="21"/>
                      <w:szCs w:val="21"/>
                      <w:highlight w:val="none"/>
                      <w:lang w:val="en-US" w:eastAsia="zh-CN"/>
                    </w:rPr>
                    <w:t>（NMHC）</w:t>
                  </w:r>
                  <w:r>
                    <w:rPr>
                      <w:rFonts w:hint="eastAsia" w:ascii="Times New Roman" w:hAnsi="Times New Roman" w:eastAsia="宋体" w:cs="Times New Roman"/>
                      <w:color w:val="auto"/>
                      <w:spacing w:val="-4"/>
                      <w:sz w:val="21"/>
                      <w:szCs w:val="21"/>
                      <w:highlight w:val="none"/>
                      <w:lang w:val="en-US" w:eastAsia="zh-CN"/>
                    </w:rPr>
                    <w:t>的去除率。企业应保留购买吸附剂的相关合同或票据、危废处理单位废弃吸附剂的接收收据、吸附剂的更换时间和更换前后的排气监测报告等记录，以此作为处理设施正常运行的证据。</w:t>
                  </w:r>
                </w:p>
              </w:tc>
              <w:tc>
                <w:tcPr>
                  <w:tcW w:w="1762" w:type="pct"/>
                  <w:noWrap w:val="0"/>
                  <w:vAlign w:val="center"/>
                </w:tcPr>
                <w:p w14:paraId="49D3D89B">
                  <w:pPr>
                    <w:pStyle w:val="56"/>
                    <w:spacing w:line="240" w:lineRule="auto"/>
                    <w:jc w:val="left"/>
                    <w:rPr>
                      <w:rFonts w:hint="eastAsia" w:ascii="Times New Roman" w:hAnsi="Times New Roman" w:eastAsia="宋体" w:cs="Times New Roman"/>
                      <w:color w:val="auto"/>
                      <w:spacing w:val="-4"/>
                      <w:sz w:val="21"/>
                      <w:szCs w:val="21"/>
                      <w:highlight w:val="none"/>
                      <w:lang w:eastAsia="zh-CN"/>
                    </w:rPr>
                  </w:pPr>
                  <w:r>
                    <w:rPr>
                      <w:rFonts w:hint="eastAsia" w:ascii="Times New Roman" w:hAnsi="Times New Roman" w:eastAsia="宋体" w:cs="Times New Roman"/>
                      <w:color w:val="auto"/>
                      <w:spacing w:val="-4"/>
                      <w:sz w:val="21"/>
                      <w:szCs w:val="21"/>
                      <w:highlight w:val="none"/>
                      <w:lang w:val="en-US" w:eastAsia="zh-CN"/>
                    </w:rPr>
                    <w:t>定期更换活性炭，废活性炭交有危险废物处理资质的单位进行处置。每次更换活性炭前后，均监测排气中污染物的浓度和总挥发性有机物（TVOC）或非甲烷总烃（NMHC）的去除率。企业应保留更换活性炭的相关合同或票据、危废处理单位废活性炭的接收收据、活性炭的更换时间和更换前后的排气监测报告等记录。</w:t>
                  </w:r>
                </w:p>
              </w:tc>
              <w:tc>
                <w:tcPr>
                  <w:tcW w:w="556" w:type="pct"/>
                  <w:noWrap w:val="0"/>
                  <w:vAlign w:val="center"/>
                </w:tcPr>
                <w:p w14:paraId="6B1DB324">
                  <w:pPr>
                    <w:spacing w:line="240" w:lineRule="auto"/>
                    <w:jc w:val="center"/>
                    <w:rPr>
                      <w:rFonts w:hint="eastAsia"/>
                      <w:color w:val="auto"/>
                      <w:sz w:val="21"/>
                      <w:szCs w:val="21"/>
                      <w:highlight w:val="none"/>
                    </w:rPr>
                  </w:pPr>
                  <w:r>
                    <w:rPr>
                      <w:rFonts w:hint="eastAsia"/>
                      <w:color w:val="auto"/>
                      <w:sz w:val="21"/>
                      <w:szCs w:val="21"/>
                      <w:highlight w:val="none"/>
                    </w:rPr>
                    <w:t>符合</w:t>
                  </w:r>
                </w:p>
              </w:tc>
            </w:tr>
            <w:tr w14:paraId="71AEAD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81" w:type="pct"/>
                  <w:gridSpan w:val="2"/>
                  <w:noWrap w:val="0"/>
                  <w:vAlign w:val="center"/>
                </w:tcPr>
                <w:p w14:paraId="4B27109C">
                  <w:pPr>
                    <w:pStyle w:val="56"/>
                    <w:numPr>
                      <w:ilvl w:val="0"/>
                      <w:numId w:val="0"/>
                    </w:numPr>
                    <w:spacing w:line="240" w:lineRule="auto"/>
                    <w:jc w:val="both"/>
                    <w:rPr>
                      <w:rFonts w:hint="eastAsia" w:ascii="Times New Roman" w:hAnsi="Times New Roman" w:eastAsia="宋体" w:cs="Times New Roman"/>
                      <w:color w:val="auto"/>
                      <w:spacing w:val="-4"/>
                      <w:sz w:val="21"/>
                      <w:szCs w:val="21"/>
                      <w:highlight w:val="none"/>
                      <w:lang w:val="en-US" w:eastAsia="zh-CN"/>
                    </w:rPr>
                  </w:pPr>
                  <w:r>
                    <w:rPr>
                      <w:rFonts w:hint="eastAsia" w:ascii="Times New Roman" w:hAnsi="Times New Roman" w:eastAsia="宋体" w:cs="Times New Roman"/>
                      <w:color w:val="auto"/>
                      <w:spacing w:val="-4"/>
                      <w:sz w:val="21"/>
                      <w:szCs w:val="21"/>
                      <w:highlight w:val="none"/>
                      <w:lang w:val="en-US" w:eastAsia="zh-CN"/>
                    </w:rPr>
                    <w:t>4.5.10企业应按照HJ944等相关要求建立所有含VOCs物料（涂料、稀释剂、固化剂、清洗剂等相关辅料</w:t>
                  </w:r>
                  <w:r>
                    <w:rPr>
                      <w:rFonts w:hint="eastAsia" w:ascii="Times New Roman" w:hAnsi="Times New Roman" w:eastAsia="宋体" w:cs="Times New Roman"/>
                      <w:color w:val="auto"/>
                      <w:spacing w:val="-4"/>
                      <w:sz w:val="21"/>
                      <w:szCs w:val="21"/>
                      <w:highlight w:val="none"/>
                      <w:lang w:val="en-US" w:eastAsia="zh-CN"/>
                    </w:rPr>
                    <w:t>）</w:t>
                  </w:r>
                  <w:r>
                    <w:rPr>
                      <w:rFonts w:hint="eastAsia" w:ascii="Times New Roman" w:hAnsi="Times New Roman" w:eastAsia="宋体" w:cs="Times New Roman"/>
                      <w:color w:val="auto"/>
                      <w:spacing w:val="-4"/>
                      <w:sz w:val="21"/>
                      <w:szCs w:val="21"/>
                      <w:highlight w:val="none"/>
                      <w:lang w:val="en-US" w:eastAsia="zh-CN"/>
                    </w:rPr>
                    <w:t>的完整使用消耗量台账。台账内容应包含（但不限于</w:t>
                  </w:r>
                  <w:r>
                    <w:rPr>
                      <w:rFonts w:hint="eastAsia" w:ascii="Times New Roman" w:hAnsi="Times New Roman" w:eastAsia="宋体" w:cs="Times New Roman"/>
                      <w:color w:val="auto"/>
                      <w:spacing w:val="-4"/>
                      <w:sz w:val="21"/>
                      <w:szCs w:val="21"/>
                      <w:highlight w:val="none"/>
                      <w:lang w:val="en-US" w:eastAsia="zh-CN"/>
                    </w:rPr>
                    <w:t>）</w:t>
                  </w:r>
                  <w:r>
                    <w:rPr>
                      <w:rFonts w:hint="eastAsia" w:ascii="Times New Roman" w:hAnsi="Times New Roman" w:eastAsia="宋体" w:cs="Times New Roman"/>
                      <w:color w:val="auto"/>
                      <w:spacing w:val="-4"/>
                      <w:sz w:val="21"/>
                      <w:szCs w:val="21"/>
                      <w:highlight w:val="none"/>
                      <w:lang w:val="en-US" w:eastAsia="zh-CN"/>
                    </w:rPr>
                    <w:t>：物料名称、主要挥发性有机物含量、购入量、购入时间、取用量、取用时间、回收/处置量、经办/记录人等信息。4.5.11本标准要求企业提供的所有记录，其保存期应不低于3年。</w:t>
                  </w:r>
                </w:p>
              </w:tc>
              <w:tc>
                <w:tcPr>
                  <w:tcW w:w="1762" w:type="pct"/>
                  <w:noWrap w:val="0"/>
                  <w:vAlign w:val="center"/>
                </w:tcPr>
                <w:p w14:paraId="1F735D37">
                  <w:pPr>
                    <w:pStyle w:val="56"/>
                    <w:spacing w:line="240" w:lineRule="auto"/>
                    <w:jc w:val="left"/>
                    <w:rPr>
                      <w:rFonts w:hint="eastAsia" w:ascii="Times New Roman" w:hAnsi="Times New Roman" w:eastAsia="宋体" w:cs="Times New Roman"/>
                      <w:color w:val="auto"/>
                      <w:spacing w:val="-4"/>
                      <w:sz w:val="21"/>
                      <w:szCs w:val="21"/>
                      <w:highlight w:val="none"/>
                      <w:lang w:eastAsia="zh-CN"/>
                    </w:rPr>
                  </w:pPr>
                  <w:r>
                    <w:rPr>
                      <w:rFonts w:hint="default" w:ascii="Times New Roman" w:hAnsi="Times New Roman" w:cs="Times New Roman"/>
                      <w:color w:val="auto"/>
                      <w:spacing w:val="2"/>
                      <w:sz w:val="21"/>
                      <w:szCs w:val="21"/>
                      <w:highlight w:val="none"/>
                      <w:lang w:eastAsia="zh-CN"/>
                    </w:rPr>
                    <w:t>建立健全漆料及木工胶</w:t>
                  </w:r>
                  <w:r>
                    <w:rPr>
                      <w:rFonts w:hint="default" w:ascii="Times New Roman" w:hAnsi="Times New Roman" w:cs="Times New Roman"/>
                      <w:color w:val="auto"/>
                      <w:spacing w:val="2"/>
                      <w:sz w:val="21"/>
                      <w:szCs w:val="21"/>
                      <w:highlight w:val="none"/>
                    </w:rPr>
                    <w:t>台账，记录</w:t>
                  </w:r>
                  <w:r>
                    <w:rPr>
                      <w:rFonts w:hint="default" w:ascii="Times New Roman" w:hAnsi="Times New Roman" w:cs="Times New Roman"/>
                      <w:color w:val="auto"/>
                      <w:spacing w:val="2"/>
                      <w:sz w:val="21"/>
                      <w:szCs w:val="21"/>
                      <w:highlight w:val="none"/>
                      <w:lang w:eastAsia="zh-CN"/>
                    </w:rPr>
                    <w:t>漆料</w:t>
                  </w:r>
                  <w:r>
                    <w:rPr>
                      <w:rFonts w:hint="default" w:ascii="Times New Roman" w:hAnsi="Times New Roman" w:cs="Times New Roman"/>
                      <w:color w:val="auto"/>
                      <w:spacing w:val="2"/>
                      <w:sz w:val="21"/>
                      <w:szCs w:val="21"/>
                      <w:highlight w:val="none"/>
                    </w:rPr>
                    <w:t>的名称、</w:t>
                  </w:r>
                  <w:r>
                    <w:rPr>
                      <w:rFonts w:hint="eastAsia" w:ascii="Times New Roman" w:hAnsi="Times New Roman" w:eastAsia="宋体" w:cs="Times New Roman"/>
                      <w:color w:val="auto"/>
                      <w:spacing w:val="-4"/>
                      <w:sz w:val="21"/>
                      <w:szCs w:val="21"/>
                      <w:highlight w:val="none"/>
                      <w:lang w:val="en-US" w:eastAsia="zh-CN"/>
                    </w:rPr>
                    <w:t>主要挥发性有机物含量、购入量、购入时间、取用量、取用时间、回收/处置量、经办/记录人、</w:t>
                  </w:r>
                  <w:r>
                    <w:rPr>
                      <w:rFonts w:hint="default" w:ascii="Times New Roman" w:hAnsi="Times New Roman" w:cs="Times New Roman"/>
                      <w:color w:val="auto"/>
                      <w:spacing w:val="2"/>
                      <w:sz w:val="21"/>
                      <w:szCs w:val="21"/>
                      <w:highlight w:val="none"/>
                    </w:rPr>
                    <w:t>去向等信息。台账保存期限不少于</w:t>
                  </w:r>
                  <w:r>
                    <w:rPr>
                      <w:rFonts w:hint="default" w:ascii="Times New Roman" w:hAnsi="Times New Roman" w:cs="Times New Roman"/>
                      <w:color w:val="auto"/>
                      <w:spacing w:val="2"/>
                      <w:sz w:val="21"/>
                      <w:szCs w:val="21"/>
                      <w:highlight w:val="none"/>
                      <w:lang w:val="en-US" w:eastAsia="zh-CN"/>
                    </w:rPr>
                    <w:t>5</w:t>
                  </w:r>
                  <w:r>
                    <w:rPr>
                      <w:rFonts w:hint="default" w:ascii="Times New Roman" w:hAnsi="Times New Roman" w:cs="Times New Roman"/>
                      <w:color w:val="auto"/>
                      <w:spacing w:val="2"/>
                      <w:sz w:val="21"/>
                      <w:szCs w:val="21"/>
                      <w:highlight w:val="none"/>
                    </w:rPr>
                    <w:t>年。</w:t>
                  </w:r>
                </w:p>
              </w:tc>
              <w:tc>
                <w:tcPr>
                  <w:tcW w:w="556" w:type="pct"/>
                  <w:noWrap w:val="0"/>
                  <w:vAlign w:val="center"/>
                </w:tcPr>
                <w:p w14:paraId="21CA7ACD">
                  <w:pPr>
                    <w:spacing w:line="240" w:lineRule="auto"/>
                    <w:jc w:val="center"/>
                    <w:rPr>
                      <w:rFonts w:hint="eastAsia"/>
                      <w:color w:val="auto"/>
                      <w:sz w:val="21"/>
                      <w:szCs w:val="21"/>
                      <w:highlight w:val="none"/>
                    </w:rPr>
                  </w:pPr>
                  <w:r>
                    <w:rPr>
                      <w:rFonts w:hint="eastAsia"/>
                      <w:color w:val="auto"/>
                      <w:sz w:val="21"/>
                      <w:szCs w:val="21"/>
                      <w:highlight w:val="none"/>
                    </w:rPr>
                    <w:t>符合</w:t>
                  </w:r>
                </w:p>
              </w:tc>
            </w:tr>
            <w:tr w14:paraId="58A9CE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4"/>
                  <w:noWrap w:val="0"/>
                  <w:vAlign w:val="center"/>
                </w:tcPr>
                <w:p w14:paraId="53E35F2B">
                  <w:pPr>
                    <w:pStyle w:val="55"/>
                    <w:jc w:val="center"/>
                    <w:rPr>
                      <w:color w:val="auto"/>
                      <w:sz w:val="21"/>
                      <w:szCs w:val="21"/>
                      <w:highlight w:val="none"/>
                    </w:rPr>
                  </w:pPr>
                  <w:r>
                    <w:rPr>
                      <w:rFonts w:hint="eastAsia"/>
                      <w:b/>
                      <w:bCs/>
                      <w:color w:val="auto"/>
                      <w:sz w:val="21"/>
                      <w:szCs w:val="21"/>
                      <w:highlight w:val="none"/>
                    </w:rPr>
                    <w:t>《挥发性有机物无组织排放控制标准》（GB37822-2019）</w:t>
                  </w:r>
                </w:p>
              </w:tc>
            </w:tr>
            <w:tr w14:paraId="337297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60" w:type="pct"/>
                  <w:vMerge w:val="restart"/>
                  <w:noWrap w:val="0"/>
                  <w:vAlign w:val="center"/>
                </w:tcPr>
                <w:p w14:paraId="5F76E8D0">
                  <w:pPr>
                    <w:widowControl/>
                    <w:spacing w:line="240" w:lineRule="auto"/>
                    <w:rPr>
                      <w:color w:val="auto"/>
                      <w:sz w:val="21"/>
                      <w:szCs w:val="21"/>
                      <w:highlight w:val="none"/>
                    </w:rPr>
                  </w:pPr>
                  <w:r>
                    <w:rPr>
                      <w:rFonts w:hint="eastAsia"/>
                      <w:color w:val="auto"/>
                      <w:sz w:val="21"/>
                      <w:szCs w:val="21"/>
                      <w:highlight w:val="none"/>
                    </w:rPr>
                    <w:t>储存无组织排放控制要求</w:t>
                  </w:r>
                </w:p>
              </w:tc>
              <w:tc>
                <w:tcPr>
                  <w:tcW w:w="2020" w:type="pct"/>
                  <w:noWrap w:val="0"/>
                  <w:vAlign w:val="center"/>
                </w:tcPr>
                <w:p w14:paraId="3DB47AC7">
                  <w:pPr>
                    <w:widowControl/>
                    <w:spacing w:line="240" w:lineRule="auto"/>
                    <w:rPr>
                      <w:rFonts w:hint="eastAsia" w:eastAsia="宋体"/>
                      <w:color w:val="auto"/>
                      <w:sz w:val="21"/>
                      <w:szCs w:val="21"/>
                      <w:highlight w:val="none"/>
                      <w:lang w:eastAsia="zh-CN"/>
                    </w:rPr>
                  </w:pPr>
                  <w:r>
                    <w:rPr>
                      <w:rFonts w:hint="eastAsia"/>
                      <w:color w:val="auto"/>
                      <w:sz w:val="21"/>
                      <w:szCs w:val="21"/>
                      <w:highlight w:val="none"/>
                    </w:rPr>
                    <w:t>VOCs物料应储存于密闭的容器</w:t>
                  </w:r>
                  <w:r>
                    <w:rPr>
                      <w:rFonts w:hint="eastAsia"/>
                      <w:color w:val="auto"/>
                      <w:sz w:val="21"/>
                      <w:szCs w:val="21"/>
                      <w:highlight w:val="none"/>
                      <w:lang w:eastAsia="zh-CN"/>
                    </w:rPr>
                    <w:t>，</w:t>
                  </w:r>
                  <w:r>
                    <w:rPr>
                      <w:rFonts w:hint="eastAsia"/>
                      <w:color w:val="auto"/>
                      <w:sz w:val="21"/>
                      <w:szCs w:val="21"/>
                      <w:highlight w:val="none"/>
                    </w:rPr>
                    <w:t>包装袋、储罐、储库、料仓中</w:t>
                  </w:r>
                  <w:r>
                    <w:rPr>
                      <w:rFonts w:hint="eastAsia"/>
                      <w:color w:val="auto"/>
                      <w:sz w:val="21"/>
                      <w:szCs w:val="21"/>
                      <w:highlight w:val="none"/>
                      <w:lang w:eastAsia="zh-CN"/>
                    </w:rPr>
                    <w:t>。</w:t>
                  </w:r>
                </w:p>
              </w:tc>
              <w:tc>
                <w:tcPr>
                  <w:tcW w:w="1762" w:type="pct"/>
                  <w:noWrap w:val="0"/>
                  <w:vAlign w:val="center"/>
                </w:tcPr>
                <w:p w14:paraId="72BF60D1">
                  <w:pPr>
                    <w:pStyle w:val="55"/>
                    <w:jc w:val="both"/>
                    <w:rPr>
                      <w:rFonts w:hint="eastAsia" w:eastAsia="宋体"/>
                      <w:color w:val="auto"/>
                      <w:spacing w:val="2"/>
                      <w:sz w:val="21"/>
                      <w:szCs w:val="21"/>
                      <w:highlight w:val="none"/>
                      <w:lang w:eastAsia="zh-CN"/>
                    </w:rPr>
                  </w:pPr>
                  <w:r>
                    <w:rPr>
                      <w:rFonts w:hint="eastAsia"/>
                      <w:color w:val="auto"/>
                      <w:spacing w:val="2"/>
                      <w:sz w:val="21"/>
                      <w:szCs w:val="21"/>
                      <w:highlight w:val="none"/>
                    </w:rPr>
                    <w:t>项目</w:t>
                  </w:r>
                  <w:r>
                    <w:rPr>
                      <w:rFonts w:hint="eastAsia"/>
                      <w:color w:val="auto"/>
                      <w:spacing w:val="2"/>
                      <w:sz w:val="21"/>
                      <w:szCs w:val="21"/>
                      <w:highlight w:val="none"/>
                      <w:lang w:eastAsia="zh-CN"/>
                    </w:rPr>
                    <w:t>辊涂</w:t>
                  </w:r>
                  <w:r>
                    <w:rPr>
                      <w:rFonts w:hint="eastAsia"/>
                      <w:color w:val="auto"/>
                      <w:spacing w:val="2"/>
                      <w:sz w:val="21"/>
                      <w:szCs w:val="21"/>
                      <w:highlight w:val="none"/>
                    </w:rPr>
                    <w:t>使用的</w:t>
                  </w:r>
                  <w:r>
                    <w:rPr>
                      <w:rFonts w:hint="eastAsia"/>
                      <w:color w:val="auto"/>
                      <w:spacing w:val="2"/>
                      <w:sz w:val="21"/>
                      <w:szCs w:val="21"/>
                      <w:highlight w:val="none"/>
                      <w:lang w:val="en-US" w:eastAsia="zh-CN"/>
                    </w:rPr>
                    <w:t>UV底漆、UV面漆及木工胶</w:t>
                  </w:r>
                  <w:r>
                    <w:rPr>
                      <w:rFonts w:hint="eastAsia"/>
                      <w:color w:val="auto"/>
                      <w:spacing w:val="2"/>
                      <w:sz w:val="21"/>
                      <w:szCs w:val="21"/>
                      <w:highlight w:val="none"/>
                    </w:rPr>
                    <w:t>采用密闭的包装桶盛放</w:t>
                  </w:r>
                  <w:r>
                    <w:rPr>
                      <w:rFonts w:hint="eastAsia"/>
                      <w:color w:val="auto"/>
                      <w:spacing w:val="2"/>
                      <w:sz w:val="21"/>
                      <w:szCs w:val="21"/>
                      <w:highlight w:val="none"/>
                      <w:lang w:eastAsia="zh-CN"/>
                    </w:rPr>
                    <w:t>。</w:t>
                  </w:r>
                </w:p>
              </w:tc>
              <w:tc>
                <w:tcPr>
                  <w:tcW w:w="556" w:type="pct"/>
                  <w:noWrap w:val="0"/>
                  <w:vAlign w:val="center"/>
                </w:tcPr>
                <w:p w14:paraId="202A72E7">
                  <w:pPr>
                    <w:pStyle w:val="55"/>
                    <w:jc w:val="center"/>
                    <w:rPr>
                      <w:rFonts w:hint="eastAsia"/>
                      <w:color w:val="auto"/>
                      <w:sz w:val="21"/>
                      <w:szCs w:val="21"/>
                      <w:highlight w:val="none"/>
                    </w:rPr>
                  </w:pPr>
                  <w:r>
                    <w:rPr>
                      <w:rFonts w:hint="eastAsia"/>
                      <w:color w:val="auto"/>
                      <w:sz w:val="21"/>
                      <w:szCs w:val="21"/>
                      <w:highlight w:val="none"/>
                    </w:rPr>
                    <w:t>符合</w:t>
                  </w:r>
                </w:p>
              </w:tc>
            </w:tr>
            <w:tr w14:paraId="625C8A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0" w:type="pct"/>
                  <w:vMerge w:val="continue"/>
                  <w:noWrap w:val="0"/>
                  <w:vAlign w:val="center"/>
                </w:tcPr>
                <w:p w14:paraId="04D8AD0B">
                  <w:pPr>
                    <w:widowControl/>
                    <w:spacing w:line="240" w:lineRule="auto"/>
                    <w:rPr>
                      <w:color w:val="auto"/>
                      <w:sz w:val="21"/>
                      <w:szCs w:val="21"/>
                      <w:highlight w:val="none"/>
                    </w:rPr>
                  </w:pPr>
                </w:p>
              </w:tc>
              <w:tc>
                <w:tcPr>
                  <w:tcW w:w="2020" w:type="pct"/>
                  <w:noWrap w:val="0"/>
                  <w:vAlign w:val="center"/>
                </w:tcPr>
                <w:p w14:paraId="6DEAEF34">
                  <w:pPr>
                    <w:widowControl/>
                    <w:spacing w:line="240" w:lineRule="auto"/>
                    <w:rPr>
                      <w:rFonts w:hint="eastAsia" w:eastAsia="宋体"/>
                      <w:color w:val="auto"/>
                      <w:sz w:val="21"/>
                      <w:szCs w:val="21"/>
                      <w:highlight w:val="none"/>
                      <w:lang w:eastAsia="zh-CN"/>
                    </w:rPr>
                  </w:pPr>
                  <w:r>
                    <w:rPr>
                      <w:rFonts w:hint="eastAsia"/>
                      <w:color w:val="auto"/>
                      <w:sz w:val="21"/>
                      <w:szCs w:val="21"/>
                      <w:highlight w:val="none"/>
                    </w:rPr>
                    <w:t>盛装VOCs物料的容器或包装袋应存放于室内，或存放于设置有雨棚、遮阳和防渗设施的专用场地。盛装VOCs的容器或包装袋在非取用状态时应加盖、封口，保持密闭</w:t>
                  </w:r>
                  <w:r>
                    <w:rPr>
                      <w:rFonts w:hint="eastAsia"/>
                      <w:color w:val="auto"/>
                      <w:sz w:val="21"/>
                      <w:szCs w:val="21"/>
                      <w:highlight w:val="none"/>
                      <w:lang w:eastAsia="zh-CN"/>
                    </w:rPr>
                    <w:t>。</w:t>
                  </w:r>
                </w:p>
              </w:tc>
              <w:tc>
                <w:tcPr>
                  <w:tcW w:w="1762" w:type="pct"/>
                  <w:noWrap w:val="0"/>
                  <w:vAlign w:val="center"/>
                </w:tcPr>
                <w:p w14:paraId="4D4EF16D">
                  <w:pPr>
                    <w:pStyle w:val="55"/>
                    <w:jc w:val="both"/>
                    <w:rPr>
                      <w:rFonts w:hint="eastAsia"/>
                      <w:color w:val="auto"/>
                      <w:spacing w:val="2"/>
                      <w:sz w:val="21"/>
                      <w:szCs w:val="21"/>
                      <w:highlight w:val="none"/>
                    </w:rPr>
                  </w:pPr>
                  <w:r>
                    <w:rPr>
                      <w:rFonts w:hint="eastAsia"/>
                      <w:color w:val="auto"/>
                      <w:spacing w:val="2"/>
                      <w:sz w:val="21"/>
                      <w:szCs w:val="21"/>
                      <w:highlight w:val="none"/>
                    </w:rPr>
                    <w:t>项目使用的</w:t>
                  </w:r>
                  <w:r>
                    <w:rPr>
                      <w:rFonts w:hint="eastAsia"/>
                      <w:color w:val="auto"/>
                      <w:spacing w:val="2"/>
                      <w:sz w:val="21"/>
                      <w:szCs w:val="21"/>
                      <w:highlight w:val="none"/>
                      <w:lang w:eastAsia="zh-CN"/>
                    </w:rPr>
                    <w:t>漆料及木工胶</w:t>
                  </w:r>
                  <w:r>
                    <w:rPr>
                      <w:rFonts w:hint="eastAsia"/>
                      <w:color w:val="auto"/>
                      <w:spacing w:val="2"/>
                      <w:sz w:val="21"/>
                      <w:szCs w:val="21"/>
                      <w:highlight w:val="none"/>
                    </w:rPr>
                    <w:t>存放于</w:t>
                  </w:r>
                  <w:r>
                    <w:rPr>
                      <w:rFonts w:hint="eastAsia"/>
                      <w:color w:val="auto"/>
                      <w:spacing w:val="2"/>
                      <w:sz w:val="21"/>
                      <w:szCs w:val="21"/>
                      <w:highlight w:val="none"/>
                      <w:lang w:eastAsia="zh-CN"/>
                    </w:rPr>
                    <w:t>生产厂房内，存放于有</w:t>
                  </w:r>
                  <w:r>
                    <w:rPr>
                      <w:rFonts w:hint="eastAsia"/>
                      <w:color w:val="auto"/>
                      <w:spacing w:val="2"/>
                      <w:sz w:val="21"/>
                      <w:szCs w:val="21"/>
                      <w:highlight w:val="none"/>
                    </w:rPr>
                    <w:t>防渗设施的场地。</w:t>
                  </w:r>
                  <w:r>
                    <w:rPr>
                      <w:rFonts w:hint="eastAsia"/>
                      <w:color w:val="auto"/>
                      <w:spacing w:val="2"/>
                      <w:sz w:val="21"/>
                      <w:szCs w:val="21"/>
                      <w:highlight w:val="none"/>
                      <w:lang w:eastAsia="zh-CN"/>
                    </w:rPr>
                    <w:t>漆（胶）</w:t>
                  </w:r>
                  <w:r>
                    <w:rPr>
                      <w:rFonts w:hint="eastAsia"/>
                      <w:color w:val="auto"/>
                      <w:spacing w:val="2"/>
                      <w:sz w:val="21"/>
                      <w:szCs w:val="21"/>
                      <w:highlight w:val="none"/>
                    </w:rPr>
                    <w:t>桶在非取用状态时加盖、封口，保持密闭。</w:t>
                  </w:r>
                </w:p>
              </w:tc>
              <w:tc>
                <w:tcPr>
                  <w:tcW w:w="556" w:type="pct"/>
                  <w:noWrap w:val="0"/>
                  <w:vAlign w:val="center"/>
                </w:tcPr>
                <w:p w14:paraId="69737A16">
                  <w:pPr>
                    <w:pStyle w:val="55"/>
                    <w:jc w:val="center"/>
                    <w:rPr>
                      <w:rFonts w:hint="eastAsia"/>
                      <w:color w:val="auto"/>
                      <w:sz w:val="21"/>
                      <w:szCs w:val="21"/>
                      <w:highlight w:val="none"/>
                    </w:rPr>
                  </w:pPr>
                  <w:r>
                    <w:rPr>
                      <w:rFonts w:hint="eastAsia"/>
                      <w:color w:val="auto"/>
                      <w:sz w:val="21"/>
                      <w:szCs w:val="21"/>
                      <w:highlight w:val="none"/>
                    </w:rPr>
                    <w:t>符合</w:t>
                  </w:r>
                </w:p>
              </w:tc>
            </w:tr>
            <w:tr w14:paraId="733D11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0" w:type="pct"/>
                  <w:noWrap w:val="0"/>
                  <w:vAlign w:val="center"/>
                </w:tcPr>
                <w:p w14:paraId="1C63E964">
                  <w:pPr>
                    <w:pStyle w:val="56"/>
                    <w:adjustRightInd w:val="0"/>
                    <w:spacing w:line="257" w:lineRule="exact"/>
                    <w:jc w:val="both"/>
                    <w:rPr>
                      <w:rFonts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转移和输送无组织排放控制要求</w:t>
                  </w:r>
                </w:p>
              </w:tc>
              <w:tc>
                <w:tcPr>
                  <w:tcW w:w="2020" w:type="pct"/>
                  <w:noWrap w:val="0"/>
                  <w:vAlign w:val="center"/>
                </w:tcPr>
                <w:p w14:paraId="2108A402">
                  <w:pPr>
                    <w:pStyle w:val="56"/>
                    <w:adjustRightInd w:val="0"/>
                    <w:spacing w:line="257" w:lineRule="exact"/>
                    <w:jc w:val="both"/>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液态VOCs物料应采用密闭管道输送，采用非管道输送方式转移液态VOCs物料时，应采用密闭容器、罐车。</w:t>
                  </w:r>
                </w:p>
              </w:tc>
              <w:tc>
                <w:tcPr>
                  <w:tcW w:w="1762" w:type="pct"/>
                  <w:noWrap w:val="0"/>
                  <w:vAlign w:val="center"/>
                </w:tcPr>
                <w:p w14:paraId="0103D707">
                  <w:pPr>
                    <w:pStyle w:val="55"/>
                    <w:jc w:val="both"/>
                    <w:rPr>
                      <w:rFonts w:hint="eastAsia"/>
                      <w:color w:val="auto"/>
                      <w:spacing w:val="2"/>
                      <w:sz w:val="21"/>
                      <w:szCs w:val="21"/>
                      <w:highlight w:val="none"/>
                    </w:rPr>
                  </w:pPr>
                  <w:r>
                    <w:rPr>
                      <w:rFonts w:hint="eastAsia"/>
                      <w:color w:val="auto"/>
                      <w:spacing w:val="2"/>
                      <w:sz w:val="21"/>
                      <w:szCs w:val="21"/>
                      <w:highlight w:val="none"/>
                    </w:rPr>
                    <w:t>项目使用的</w:t>
                  </w:r>
                  <w:r>
                    <w:rPr>
                      <w:rFonts w:hint="eastAsia"/>
                      <w:color w:val="auto"/>
                      <w:spacing w:val="2"/>
                      <w:sz w:val="21"/>
                      <w:szCs w:val="21"/>
                      <w:highlight w:val="none"/>
                      <w:lang w:eastAsia="zh-CN"/>
                    </w:rPr>
                    <w:t>漆料及木工胶</w:t>
                  </w:r>
                  <w:r>
                    <w:rPr>
                      <w:rFonts w:hint="eastAsia"/>
                      <w:color w:val="auto"/>
                      <w:spacing w:val="2"/>
                      <w:sz w:val="21"/>
                      <w:szCs w:val="21"/>
                      <w:highlight w:val="none"/>
                    </w:rPr>
                    <w:t>在转移过程中使用密闭容器运输。</w:t>
                  </w:r>
                </w:p>
              </w:tc>
              <w:tc>
                <w:tcPr>
                  <w:tcW w:w="556" w:type="pct"/>
                  <w:noWrap w:val="0"/>
                  <w:vAlign w:val="center"/>
                </w:tcPr>
                <w:p w14:paraId="7584C597">
                  <w:pPr>
                    <w:pStyle w:val="55"/>
                    <w:jc w:val="center"/>
                    <w:rPr>
                      <w:color w:val="auto"/>
                      <w:sz w:val="21"/>
                      <w:szCs w:val="21"/>
                      <w:highlight w:val="none"/>
                    </w:rPr>
                  </w:pPr>
                  <w:r>
                    <w:rPr>
                      <w:color w:val="auto"/>
                      <w:sz w:val="21"/>
                      <w:szCs w:val="21"/>
                      <w:highlight w:val="none"/>
                    </w:rPr>
                    <w:t>符合</w:t>
                  </w:r>
                </w:p>
              </w:tc>
            </w:tr>
            <w:tr w14:paraId="458B5C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0" w:type="pct"/>
                  <w:noWrap w:val="0"/>
                  <w:vAlign w:val="center"/>
                </w:tcPr>
                <w:p w14:paraId="4A27FA38">
                  <w:pPr>
                    <w:pStyle w:val="56"/>
                    <w:adjustRightInd w:val="0"/>
                    <w:spacing w:line="257" w:lineRule="exact"/>
                    <w:jc w:val="both"/>
                    <w:rPr>
                      <w:rFonts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含VOCs产品使用过程</w:t>
                  </w:r>
                </w:p>
              </w:tc>
              <w:tc>
                <w:tcPr>
                  <w:tcW w:w="2020" w:type="pct"/>
                  <w:noWrap w:val="0"/>
                  <w:vAlign w:val="center"/>
                </w:tcPr>
                <w:p w14:paraId="0FF57870">
                  <w:pPr>
                    <w:pStyle w:val="56"/>
                    <w:adjustRightInd w:val="0"/>
                    <w:spacing w:line="257" w:lineRule="exact"/>
                    <w:jc w:val="both"/>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使用过程应采用密闭设备或在密闭空间内操作，废气应排至VOCs废气收集处理系统；无法密闭的，应采取局部气体收集措施，废气应排至VOCs废气收集处理系统。</w:t>
                  </w:r>
                </w:p>
              </w:tc>
              <w:tc>
                <w:tcPr>
                  <w:tcW w:w="1762" w:type="pct"/>
                  <w:noWrap w:val="0"/>
                  <w:vAlign w:val="center"/>
                </w:tcPr>
                <w:p w14:paraId="2872E022">
                  <w:pPr>
                    <w:pStyle w:val="55"/>
                    <w:jc w:val="both"/>
                    <w:rPr>
                      <w:rFonts w:hint="eastAsia"/>
                      <w:color w:val="auto"/>
                      <w:spacing w:val="2"/>
                      <w:sz w:val="21"/>
                      <w:szCs w:val="21"/>
                      <w:highlight w:val="none"/>
                    </w:rPr>
                  </w:pPr>
                  <w:r>
                    <w:rPr>
                      <w:rFonts w:hint="eastAsia"/>
                      <w:color w:val="auto"/>
                      <w:spacing w:val="2"/>
                      <w:sz w:val="21"/>
                      <w:szCs w:val="21"/>
                      <w:highlight w:val="none"/>
                    </w:rPr>
                    <w:t>项目</w:t>
                  </w:r>
                  <w:r>
                    <w:rPr>
                      <w:rFonts w:hint="eastAsia"/>
                      <w:color w:val="auto"/>
                      <w:kern w:val="0"/>
                      <w:sz w:val="21"/>
                      <w:szCs w:val="21"/>
                    </w:rPr>
                    <w:t>辊</w:t>
                  </w:r>
                  <w:r>
                    <w:rPr>
                      <w:rFonts w:hint="eastAsia"/>
                      <w:color w:val="auto"/>
                      <w:kern w:val="0"/>
                      <w:sz w:val="21"/>
                      <w:szCs w:val="21"/>
                      <w:lang w:eastAsia="zh-CN"/>
                    </w:rPr>
                    <w:t>漆、紫外光</w:t>
                  </w:r>
                  <w:r>
                    <w:rPr>
                      <w:rFonts w:hint="eastAsia"/>
                      <w:color w:val="auto"/>
                      <w:kern w:val="0"/>
                      <w:sz w:val="21"/>
                      <w:szCs w:val="21"/>
                    </w:rPr>
                    <w:t>固化等废气收集后经</w:t>
                  </w:r>
                  <w:r>
                    <w:rPr>
                      <w:rFonts w:hint="eastAsia"/>
                      <w:color w:val="auto"/>
                      <w:kern w:val="0"/>
                      <w:sz w:val="21"/>
                      <w:szCs w:val="21"/>
                      <w:lang w:eastAsia="zh-CN"/>
                    </w:rPr>
                    <w:t>带有自动控制系统的</w:t>
                  </w:r>
                  <w:r>
                    <w:rPr>
                      <w:rFonts w:hint="eastAsia"/>
                      <w:color w:val="auto"/>
                      <w:kern w:val="0"/>
                      <w:sz w:val="21"/>
                      <w:szCs w:val="21"/>
                    </w:rPr>
                    <w:t>二级活性炭吸附装置处理后</w:t>
                  </w:r>
                  <w:r>
                    <w:rPr>
                      <w:rFonts w:hint="eastAsia"/>
                      <w:color w:val="auto"/>
                      <w:kern w:val="0"/>
                      <w:sz w:val="21"/>
                      <w:szCs w:val="21"/>
                      <w:lang w:eastAsia="zh-CN"/>
                    </w:rPr>
                    <w:t>通过</w:t>
                  </w:r>
                  <w:r>
                    <w:rPr>
                      <w:rFonts w:hint="eastAsia"/>
                      <w:color w:val="auto"/>
                      <w:kern w:val="0"/>
                      <w:sz w:val="21"/>
                      <w:szCs w:val="21"/>
                    </w:rPr>
                    <w:t>一</w:t>
                  </w:r>
                  <w:r>
                    <w:rPr>
                      <w:rFonts w:hint="default" w:ascii="Times New Roman" w:hAnsi="Times New Roman" w:cs="Times New Roman"/>
                      <w:color w:val="auto"/>
                      <w:kern w:val="0"/>
                      <w:sz w:val="21"/>
                      <w:szCs w:val="21"/>
                    </w:rPr>
                    <w:t>套15m高</w:t>
                  </w:r>
                  <w:r>
                    <w:rPr>
                      <w:rFonts w:hint="eastAsia"/>
                      <w:color w:val="auto"/>
                      <w:kern w:val="0"/>
                      <w:sz w:val="21"/>
                      <w:szCs w:val="21"/>
                    </w:rPr>
                    <w:t>排气筒</w:t>
                  </w:r>
                  <w:r>
                    <w:rPr>
                      <w:rFonts w:hint="eastAsia"/>
                      <w:color w:val="auto"/>
                      <w:kern w:val="0"/>
                      <w:sz w:val="21"/>
                      <w:szCs w:val="21"/>
                      <w:lang w:eastAsia="zh-CN"/>
                    </w:rPr>
                    <w:t>排放</w:t>
                  </w:r>
                  <w:r>
                    <w:rPr>
                      <w:rFonts w:hint="eastAsia" w:ascii="Times New Roman" w:hAnsi="Times New Roman" w:eastAsia="宋体" w:cs="Times New Roman"/>
                      <w:color w:val="auto"/>
                      <w:spacing w:val="-4"/>
                      <w:sz w:val="21"/>
                      <w:szCs w:val="21"/>
                      <w:highlight w:val="none"/>
                      <w:lang w:eastAsia="zh-CN"/>
                    </w:rPr>
                    <w:t>。</w:t>
                  </w:r>
                </w:p>
              </w:tc>
              <w:tc>
                <w:tcPr>
                  <w:tcW w:w="556" w:type="pct"/>
                  <w:noWrap w:val="0"/>
                  <w:vAlign w:val="center"/>
                </w:tcPr>
                <w:p w14:paraId="03943F77">
                  <w:pPr>
                    <w:pStyle w:val="55"/>
                    <w:jc w:val="center"/>
                    <w:rPr>
                      <w:color w:val="auto"/>
                      <w:sz w:val="21"/>
                      <w:szCs w:val="21"/>
                      <w:highlight w:val="none"/>
                    </w:rPr>
                  </w:pPr>
                  <w:r>
                    <w:rPr>
                      <w:color w:val="auto"/>
                      <w:sz w:val="21"/>
                      <w:szCs w:val="21"/>
                      <w:highlight w:val="none"/>
                    </w:rPr>
                    <w:t>符合</w:t>
                  </w:r>
                </w:p>
              </w:tc>
            </w:tr>
            <w:tr w14:paraId="18C286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0" w:type="pct"/>
                  <w:noWrap w:val="0"/>
                  <w:vAlign w:val="center"/>
                </w:tcPr>
                <w:p w14:paraId="1ADB4CC0">
                  <w:pPr>
                    <w:pStyle w:val="56"/>
                    <w:adjustRightInd w:val="0"/>
                    <w:spacing w:line="257" w:lineRule="exact"/>
                    <w:jc w:val="both"/>
                    <w:rPr>
                      <w:rFonts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其他要求</w:t>
                  </w:r>
                </w:p>
              </w:tc>
              <w:tc>
                <w:tcPr>
                  <w:tcW w:w="2020" w:type="pct"/>
                  <w:noWrap w:val="0"/>
                  <w:vAlign w:val="center"/>
                </w:tcPr>
                <w:p w14:paraId="0890AB69">
                  <w:pPr>
                    <w:pStyle w:val="56"/>
                    <w:adjustRightInd w:val="0"/>
                    <w:spacing w:line="257" w:lineRule="exact"/>
                    <w:jc w:val="both"/>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企业应建立台账，记录含VOCs原辅材料和含VOCs产品的名称、使用量、回收量、废弃量、去向以及VOCs含量等信息。台账保存期限不少于3年。</w:t>
                  </w:r>
                </w:p>
              </w:tc>
              <w:tc>
                <w:tcPr>
                  <w:tcW w:w="1762" w:type="pct"/>
                  <w:noWrap w:val="0"/>
                  <w:vAlign w:val="center"/>
                </w:tcPr>
                <w:p w14:paraId="0A90851A">
                  <w:pPr>
                    <w:pStyle w:val="55"/>
                    <w:jc w:val="both"/>
                    <w:rPr>
                      <w:rFonts w:hint="eastAsia"/>
                      <w:color w:val="auto"/>
                      <w:spacing w:val="2"/>
                      <w:sz w:val="21"/>
                      <w:szCs w:val="21"/>
                      <w:highlight w:val="none"/>
                    </w:rPr>
                  </w:pPr>
                  <w:r>
                    <w:rPr>
                      <w:rFonts w:hint="eastAsia"/>
                      <w:color w:val="auto"/>
                      <w:spacing w:val="2"/>
                      <w:sz w:val="21"/>
                      <w:szCs w:val="21"/>
                      <w:highlight w:val="none"/>
                      <w:lang w:eastAsia="zh-CN"/>
                    </w:rPr>
                    <w:t>建立健全漆料及木工胶</w:t>
                  </w:r>
                  <w:r>
                    <w:rPr>
                      <w:rFonts w:hint="eastAsia"/>
                      <w:color w:val="auto"/>
                      <w:spacing w:val="2"/>
                      <w:sz w:val="21"/>
                      <w:szCs w:val="21"/>
                      <w:highlight w:val="none"/>
                    </w:rPr>
                    <w:t>台账，记录</w:t>
                  </w:r>
                  <w:r>
                    <w:rPr>
                      <w:rFonts w:hint="eastAsia"/>
                      <w:color w:val="auto"/>
                      <w:spacing w:val="2"/>
                      <w:sz w:val="21"/>
                      <w:szCs w:val="21"/>
                      <w:highlight w:val="none"/>
                      <w:lang w:eastAsia="zh-CN"/>
                    </w:rPr>
                    <w:t>漆料</w:t>
                  </w:r>
                  <w:r>
                    <w:rPr>
                      <w:rFonts w:hint="eastAsia"/>
                      <w:color w:val="auto"/>
                      <w:spacing w:val="2"/>
                      <w:sz w:val="21"/>
                      <w:szCs w:val="21"/>
                      <w:highlight w:val="none"/>
                    </w:rPr>
                    <w:t>的名称、使用量、废弃量、去向以及VOCs含量等信息。台账保存期限不少于</w:t>
                  </w:r>
                  <w:r>
                    <w:rPr>
                      <w:rFonts w:hint="eastAsia"/>
                      <w:color w:val="auto"/>
                      <w:spacing w:val="2"/>
                      <w:sz w:val="21"/>
                      <w:szCs w:val="21"/>
                      <w:highlight w:val="none"/>
                      <w:lang w:val="en-US" w:eastAsia="zh-CN"/>
                    </w:rPr>
                    <w:t>5</w:t>
                  </w:r>
                  <w:r>
                    <w:rPr>
                      <w:rFonts w:hint="eastAsia"/>
                      <w:color w:val="auto"/>
                      <w:spacing w:val="2"/>
                      <w:sz w:val="21"/>
                      <w:szCs w:val="21"/>
                      <w:highlight w:val="none"/>
                    </w:rPr>
                    <w:t>年。</w:t>
                  </w:r>
                </w:p>
              </w:tc>
              <w:tc>
                <w:tcPr>
                  <w:tcW w:w="556" w:type="pct"/>
                  <w:noWrap w:val="0"/>
                  <w:vAlign w:val="center"/>
                </w:tcPr>
                <w:p w14:paraId="2A0A107A">
                  <w:pPr>
                    <w:pStyle w:val="55"/>
                    <w:jc w:val="center"/>
                    <w:rPr>
                      <w:color w:val="auto"/>
                      <w:sz w:val="21"/>
                      <w:szCs w:val="21"/>
                      <w:highlight w:val="none"/>
                    </w:rPr>
                  </w:pPr>
                  <w:r>
                    <w:rPr>
                      <w:color w:val="auto"/>
                      <w:sz w:val="21"/>
                      <w:szCs w:val="21"/>
                      <w:highlight w:val="none"/>
                    </w:rPr>
                    <w:t>符合</w:t>
                  </w:r>
                </w:p>
              </w:tc>
            </w:tr>
            <w:tr w14:paraId="78BC37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4"/>
                  <w:noWrap w:val="0"/>
                  <w:vAlign w:val="center"/>
                </w:tcPr>
                <w:p w14:paraId="194BFFD1">
                  <w:pPr>
                    <w:pStyle w:val="55"/>
                    <w:jc w:val="center"/>
                    <w:rPr>
                      <w:rFonts w:hint="eastAsia" w:eastAsia="宋体"/>
                      <w:color w:val="auto"/>
                      <w:sz w:val="21"/>
                      <w:szCs w:val="21"/>
                      <w:highlight w:val="none"/>
                      <w:lang w:eastAsia="zh-CN"/>
                    </w:rPr>
                  </w:pPr>
                  <w:r>
                    <w:rPr>
                      <w:rFonts w:hint="eastAsia" w:ascii="Times New Roman" w:hAnsi="Times New Roman" w:eastAsia="宋体" w:cs="Times New Roman"/>
                      <w:b/>
                      <w:bCs/>
                      <w:color w:val="auto"/>
                      <w:sz w:val="21"/>
                      <w:szCs w:val="21"/>
                      <w:highlight w:val="none"/>
                      <w:lang w:eastAsia="zh-CN"/>
                    </w:rPr>
                    <w:t>固体废物综合治理行动计划</w:t>
                  </w:r>
                  <w:r>
                    <w:rPr>
                      <w:rFonts w:hint="eastAsia" w:ascii="Times New Roman" w:hAnsi="Times New Roman" w:eastAsia="宋体" w:cs="Times New Roman"/>
                      <w:b/>
                      <w:bCs/>
                      <w:color w:val="auto"/>
                      <w:sz w:val="21"/>
                      <w:szCs w:val="21"/>
                      <w:highlight w:val="none"/>
                    </w:rPr>
                    <w:t>（</w:t>
                  </w:r>
                  <w:r>
                    <w:rPr>
                      <w:rFonts w:hint="eastAsia" w:ascii="Times New Roman" w:hAnsi="Times New Roman" w:eastAsia="宋体" w:cs="Times New Roman"/>
                      <w:b/>
                      <w:bCs/>
                      <w:color w:val="auto"/>
                      <w:sz w:val="21"/>
                      <w:szCs w:val="21"/>
                      <w:highlight w:val="none"/>
                      <w:lang w:eastAsia="zh-CN"/>
                    </w:rPr>
                    <w:t>国</w:t>
                  </w:r>
                  <w:r>
                    <w:rPr>
                      <w:rFonts w:hint="eastAsia" w:ascii="Times New Roman" w:hAnsi="Times New Roman" w:eastAsia="宋体" w:cs="Times New Roman"/>
                      <w:b/>
                      <w:bCs/>
                      <w:color w:val="auto"/>
                      <w:sz w:val="21"/>
                      <w:szCs w:val="21"/>
                      <w:highlight w:val="none"/>
                    </w:rPr>
                    <w:t>发</w:t>
                  </w:r>
                  <w:r>
                    <w:rPr>
                      <w:rFonts w:hint="eastAsia"/>
                      <w:b/>
                      <w:bCs/>
                      <w:color w:val="auto"/>
                      <w:sz w:val="21"/>
                      <w:szCs w:val="21"/>
                      <w:highlight w:val="none"/>
                    </w:rPr>
                    <w:t>〔202</w:t>
                  </w:r>
                  <w:r>
                    <w:rPr>
                      <w:rFonts w:hint="eastAsia"/>
                      <w:b/>
                      <w:bCs/>
                      <w:color w:val="auto"/>
                      <w:sz w:val="21"/>
                      <w:szCs w:val="21"/>
                      <w:highlight w:val="none"/>
                      <w:lang w:val="en-US" w:eastAsia="zh-CN"/>
                    </w:rPr>
                    <w:t>5</w:t>
                  </w:r>
                  <w:r>
                    <w:rPr>
                      <w:rFonts w:hint="eastAsia"/>
                      <w:b/>
                      <w:bCs/>
                      <w:color w:val="auto"/>
                      <w:sz w:val="21"/>
                      <w:szCs w:val="21"/>
                      <w:highlight w:val="none"/>
                    </w:rPr>
                    <w:t>〕1</w:t>
                  </w:r>
                  <w:r>
                    <w:rPr>
                      <w:rFonts w:hint="eastAsia"/>
                      <w:b/>
                      <w:bCs/>
                      <w:color w:val="auto"/>
                      <w:sz w:val="21"/>
                      <w:szCs w:val="21"/>
                      <w:highlight w:val="none"/>
                      <w:lang w:val="en-US" w:eastAsia="zh-CN"/>
                    </w:rPr>
                    <w:t>4</w:t>
                  </w:r>
                  <w:r>
                    <w:rPr>
                      <w:rFonts w:hint="eastAsia"/>
                      <w:b/>
                      <w:bCs/>
                      <w:color w:val="auto"/>
                      <w:sz w:val="21"/>
                      <w:szCs w:val="21"/>
                      <w:highlight w:val="none"/>
                    </w:rPr>
                    <w:t>号）</w:t>
                  </w:r>
                </w:p>
              </w:tc>
            </w:tr>
            <w:tr w14:paraId="08AAED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81" w:type="pct"/>
                  <w:gridSpan w:val="2"/>
                  <w:noWrap w:val="0"/>
                  <w:vAlign w:val="center"/>
                </w:tcPr>
                <w:p w14:paraId="5717F0E3">
                  <w:pPr>
                    <w:pStyle w:val="56"/>
                    <w:adjustRightInd w:val="0"/>
                    <w:spacing w:line="257" w:lineRule="exact"/>
                    <w:jc w:val="both"/>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val="en-US" w:eastAsia="zh-CN"/>
                    </w:rPr>
                    <w:t>二、推动源头管控和减量（二）实施城镇固体废物源头管控。推进建筑垃圾分类处理。稳步发展装配式建筑，推广绿色施工、全装修或标准化装修交付，强化建筑工地固体废物源头管控。将建筑垃圾减量、运输、利用、处置所需费用列入工程造价，在工程招标和施工设计中明确减量要求和措施。探索房屋建筑和市政工程固体废物排放限额管理。鼓励就地就近处理园林垃圾。压实经营者主体责任，严格落实塑料制品规范使用和减量要求。加快推进快递包装绿色转型，加强商品过度包装治理。</w:t>
                  </w:r>
                </w:p>
              </w:tc>
              <w:tc>
                <w:tcPr>
                  <w:tcW w:w="1762" w:type="pct"/>
                  <w:noWrap w:val="0"/>
                  <w:vAlign w:val="center"/>
                </w:tcPr>
                <w:p w14:paraId="51FAA789">
                  <w:pPr>
                    <w:pStyle w:val="56"/>
                    <w:adjustRightInd w:val="0"/>
                    <w:spacing w:line="257" w:lineRule="exact"/>
                    <w:jc w:val="both"/>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本项目</w:t>
                  </w:r>
                  <w:r>
                    <w:rPr>
                      <w:rFonts w:hint="eastAsia" w:ascii="Times New Roman" w:hAnsi="Times New Roman" w:eastAsia="宋体" w:cs="Times New Roman"/>
                      <w:color w:val="auto"/>
                      <w:sz w:val="21"/>
                      <w:szCs w:val="21"/>
                      <w:highlight w:val="none"/>
                      <w:lang w:val="en-US" w:eastAsia="zh-CN"/>
                    </w:rPr>
                    <w:t>租用救兵木业和新材料产业园区空厂房，施工期仅涉及挥发性有机物的环保设施建设及危废贮存点的建设，不涉及土建部分。</w:t>
                  </w:r>
                </w:p>
              </w:tc>
              <w:tc>
                <w:tcPr>
                  <w:tcW w:w="556" w:type="pct"/>
                  <w:noWrap w:val="0"/>
                  <w:vAlign w:val="center"/>
                </w:tcPr>
                <w:p w14:paraId="0552A16C">
                  <w:pPr>
                    <w:pStyle w:val="55"/>
                    <w:jc w:val="center"/>
                    <w:rPr>
                      <w:color w:val="auto"/>
                      <w:sz w:val="21"/>
                      <w:szCs w:val="21"/>
                      <w:highlight w:val="none"/>
                    </w:rPr>
                  </w:pPr>
                  <w:r>
                    <w:rPr>
                      <w:color w:val="auto"/>
                      <w:sz w:val="21"/>
                      <w:szCs w:val="21"/>
                      <w:highlight w:val="none"/>
                    </w:rPr>
                    <w:t>符合</w:t>
                  </w:r>
                </w:p>
              </w:tc>
            </w:tr>
            <w:tr w14:paraId="110047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81" w:type="pct"/>
                  <w:gridSpan w:val="2"/>
                  <w:noWrap w:val="0"/>
                  <w:vAlign w:val="center"/>
                </w:tcPr>
                <w:p w14:paraId="611B9305">
                  <w:pPr>
                    <w:pStyle w:val="56"/>
                    <w:adjustRightInd w:val="0"/>
                    <w:spacing w:line="257" w:lineRule="exact"/>
                    <w:jc w:val="both"/>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三、规范收集转运和贮存（四）加强工业固体废物规范化管理。完善工业固体废物管理台账制度，强化全链条跟踪管控。推行工业固体废物分类收集贮存，防范混堆混排。禁止向生活垃圾收集设施中投放工业固体废物。严格执行工业固体废物、危险废物跨省转移审批制度。规范各类企业危险废物收集管理。</w:t>
                  </w:r>
                </w:p>
              </w:tc>
              <w:tc>
                <w:tcPr>
                  <w:tcW w:w="1762" w:type="pct"/>
                  <w:noWrap w:val="0"/>
                  <w:vAlign w:val="center"/>
                </w:tcPr>
                <w:p w14:paraId="55469980">
                  <w:pPr>
                    <w:pStyle w:val="56"/>
                    <w:adjustRightInd w:val="0"/>
                    <w:spacing w:line="257" w:lineRule="exact"/>
                    <w:jc w:val="both"/>
                    <w:rPr>
                      <w:rFonts w:hint="eastAsia"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pacing w:val="2"/>
                      <w:sz w:val="21"/>
                      <w:szCs w:val="21"/>
                      <w:highlight w:val="none"/>
                      <w:lang w:eastAsia="zh-CN"/>
                    </w:rPr>
                    <w:t>建立健全漆料及木工胶</w:t>
                  </w:r>
                  <w:r>
                    <w:rPr>
                      <w:rFonts w:hint="default" w:ascii="Times New Roman" w:hAnsi="Times New Roman" w:cs="Times New Roman"/>
                      <w:color w:val="auto"/>
                      <w:spacing w:val="2"/>
                      <w:sz w:val="21"/>
                      <w:szCs w:val="21"/>
                      <w:highlight w:val="none"/>
                    </w:rPr>
                    <w:t>台账，记录</w:t>
                  </w:r>
                  <w:r>
                    <w:rPr>
                      <w:rFonts w:hint="default" w:ascii="Times New Roman" w:hAnsi="Times New Roman" w:cs="Times New Roman"/>
                      <w:color w:val="auto"/>
                      <w:spacing w:val="2"/>
                      <w:sz w:val="21"/>
                      <w:szCs w:val="21"/>
                      <w:highlight w:val="none"/>
                      <w:lang w:eastAsia="zh-CN"/>
                    </w:rPr>
                    <w:t>漆料</w:t>
                  </w:r>
                  <w:r>
                    <w:rPr>
                      <w:rFonts w:hint="default" w:ascii="Times New Roman" w:hAnsi="Times New Roman" w:cs="Times New Roman"/>
                      <w:color w:val="auto"/>
                      <w:spacing w:val="2"/>
                      <w:sz w:val="21"/>
                      <w:szCs w:val="21"/>
                      <w:highlight w:val="none"/>
                    </w:rPr>
                    <w:t>的名称、</w:t>
                  </w:r>
                  <w:r>
                    <w:rPr>
                      <w:rFonts w:hint="eastAsia" w:ascii="Times New Roman" w:hAnsi="Times New Roman" w:eastAsia="宋体" w:cs="Times New Roman"/>
                      <w:color w:val="auto"/>
                      <w:spacing w:val="-4"/>
                      <w:sz w:val="21"/>
                      <w:szCs w:val="21"/>
                      <w:highlight w:val="none"/>
                      <w:lang w:val="en-US" w:eastAsia="zh-CN"/>
                    </w:rPr>
                    <w:t>主要挥发性有机物含量、购入量、购入时间、取用量、取用时间、回收/处置量、经办/记录人、</w:t>
                  </w:r>
                  <w:r>
                    <w:rPr>
                      <w:rFonts w:hint="default" w:ascii="Times New Roman" w:hAnsi="Times New Roman" w:cs="Times New Roman"/>
                      <w:color w:val="auto"/>
                      <w:spacing w:val="2"/>
                      <w:sz w:val="21"/>
                      <w:szCs w:val="21"/>
                      <w:highlight w:val="none"/>
                    </w:rPr>
                    <w:t>去向等信息。台账保存期限不少于</w:t>
                  </w:r>
                  <w:r>
                    <w:rPr>
                      <w:rFonts w:hint="default" w:ascii="Times New Roman" w:hAnsi="Times New Roman" w:cs="Times New Roman"/>
                      <w:color w:val="auto"/>
                      <w:spacing w:val="2"/>
                      <w:sz w:val="21"/>
                      <w:szCs w:val="21"/>
                      <w:highlight w:val="none"/>
                      <w:lang w:val="en-US" w:eastAsia="zh-CN"/>
                    </w:rPr>
                    <w:t>5</w:t>
                  </w:r>
                  <w:r>
                    <w:rPr>
                      <w:rFonts w:hint="default" w:ascii="Times New Roman" w:hAnsi="Times New Roman" w:cs="Times New Roman"/>
                      <w:color w:val="auto"/>
                      <w:spacing w:val="2"/>
                      <w:sz w:val="21"/>
                      <w:szCs w:val="21"/>
                      <w:highlight w:val="none"/>
                    </w:rPr>
                    <w:t>年。</w:t>
                  </w:r>
                </w:p>
              </w:tc>
              <w:tc>
                <w:tcPr>
                  <w:tcW w:w="556" w:type="pct"/>
                  <w:noWrap w:val="0"/>
                  <w:vAlign w:val="center"/>
                </w:tcPr>
                <w:p w14:paraId="1F6B2857">
                  <w:pPr>
                    <w:pStyle w:val="55"/>
                    <w:jc w:val="center"/>
                    <w:rPr>
                      <w:color w:val="auto"/>
                      <w:sz w:val="21"/>
                      <w:szCs w:val="21"/>
                      <w:highlight w:val="none"/>
                    </w:rPr>
                  </w:pPr>
                  <w:r>
                    <w:rPr>
                      <w:color w:val="auto"/>
                      <w:sz w:val="21"/>
                      <w:szCs w:val="21"/>
                      <w:highlight w:val="none"/>
                    </w:rPr>
                    <w:t>符合</w:t>
                  </w:r>
                </w:p>
              </w:tc>
            </w:tr>
            <w:tr w14:paraId="2AECBB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81" w:type="pct"/>
                  <w:gridSpan w:val="2"/>
                  <w:noWrap w:val="0"/>
                  <w:vAlign w:val="center"/>
                </w:tcPr>
                <w:p w14:paraId="1C0DE887">
                  <w:pPr>
                    <w:pStyle w:val="56"/>
                    <w:adjustRightInd w:val="0"/>
                    <w:spacing w:line="257" w:lineRule="exact"/>
                    <w:jc w:val="both"/>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五、增加无害化治理能力（十）提升全过程无害化水平。加强大宗工业固体废物无害化预处理，降低贮存填埋量和环境污染风险。因地制宜确定生活垃圾处理方式，合理布局建设生活垃圾焚烧处理设施，鼓励在确保安全稳定运行前提下，协同处置城镇污水处理厂污泥和工业固体废物。新建生活垃圾焚烧项目应同步落实飞灰处理途径，逐步减少飞灰填埋量。优化污泥处理处置结构，压减填埋规模。</w:t>
                  </w:r>
                </w:p>
              </w:tc>
              <w:tc>
                <w:tcPr>
                  <w:tcW w:w="1762" w:type="pct"/>
                  <w:noWrap w:val="0"/>
                  <w:vAlign w:val="center"/>
                </w:tcPr>
                <w:p w14:paraId="2F3CA1D5">
                  <w:pPr>
                    <w:pStyle w:val="56"/>
                    <w:adjustRightInd w:val="0"/>
                    <w:spacing w:line="257" w:lineRule="exact"/>
                    <w:jc w:val="both"/>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pacing w:val="-4"/>
                      <w:sz w:val="21"/>
                      <w:szCs w:val="21"/>
                      <w:highlight w:val="none"/>
                      <w:lang w:val="en-US" w:eastAsia="zh-CN"/>
                    </w:rPr>
                    <w:t>本项目除尘灰、废木料、地面收集尘、废包装膜暂存于一般固废暂存间，定期外售处置；废布袋由厂家更换回收；生活垃圾集中收集后统一交环卫部门清运；除废辊筒</w:t>
                  </w:r>
                  <w:r>
                    <w:rPr>
                      <w:rFonts w:hint="eastAsia" w:ascii="Times New Roman" w:hAnsi="Times New Roman" w:eastAsia="宋体" w:cs="Times New Roman"/>
                      <w:color w:val="auto"/>
                      <w:kern w:val="0"/>
                      <w:sz w:val="21"/>
                      <w:szCs w:val="21"/>
                      <w:lang w:val="en-US" w:eastAsia="zh-CN" w:bidi="ar"/>
                    </w:rPr>
                    <w:t>不在厂内贮存</w:t>
                  </w:r>
                  <w:r>
                    <w:rPr>
                      <w:rFonts w:hint="default" w:ascii="Times New Roman" w:hAnsi="Times New Roman" w:eastAsia="宋体" w:cs="Times New Roman"/>
                      <w:color w:val="auto"/>
                      <w:kern w:val="0"/>
                      <w:sz w:val="21"/>
                      <w:szCs w:val="21"/>
                      <w:lang w:val="en-US" w:eastAsia="zh-CN" w:bidi="ar"/>
                    </w:rPr>
                    <w:t>，</w:t>
                  </w:r>
                  <w:r>
                    <w:rPr>
                      <w:rFonts w:hint="eastAsia" w:ascii="Times New Roman" w:hAnsi="Times New Roman" w:eastAsia="宋体" w:cs="Times New Roman"/>
                      <w:color w:val="auto"/>
                      <w:kern w:val="0"/>
                      <w:sz w:val="21"/>
                      <w:szCs w:val="21"/>
                      <w:lang w:val="en-US" w:eastAsia="zh-CN" w:bidi="ar"/>
                    </w:rPr>
                    <w:t>由</w:t>
                  </w:r>
                  <w:r>
                    <w:rPr>
                      <w:rFonts w:hint="eastAsia" w:ascii="Times New Roman" w:hAnsi="宋体" w:eastAsia="宋体" w:cs="Times New Roman"/>
                      <w:color w:val="auto"/>
                      <w:kern w:val="0"/>
                      <w:sz w:val="21"/>
                      <w:szCs w:val="21"/>
                      <w:highlight w:val="none"/>
                    </w:rPr>
                    <w:t>委托</w:t>
                  </w:r>
                  <w:r>
                    <w:rPr>
                      <w:rFonts w:hint="eastAsia" w:ascii="Times New Roman" w:hAnsi="宋体" w:eastAsia="宋体" w:cs="Times New Roman"/>
                      <w:color w:val="auto"/>
                      <w:kern w:val="0"/>
                      <w:sz w:val="21"/>
                      <w:szCs w:val="21"/>
                      <w:highlight w:val="none"/>
                      <w:lang w:eastAsia="zh-CN"/>
                    </w:rPr>
                    <w:t>的</w:t>
                  </w:r>
                  <w:r>
                    <w:rPr>
                      <w:rFonts w:hint="eastAsia" w:ascii="Times New Roman" w:hAnsi="宋体" w:eastAsia="宋体" w:cs="Times New Roman"/>
                      <w:color w:val="auto"/>
                      <w:kern w:val="0"/>
                      <w:sz w:val="21"/>
                      <w:szCs w:val="21"/>
                      <w:highlight w:val="none"/>
                    </w:rPr>
                    <w:t>资质单位</w:t>
                  </w:r>
                  <w:r>
                    <w:rPr>
                      <w:rFonts w:hint="eastAsia" w:ascii="Times New Roman" w:hAnsi="宋体" w:eastAsia="宋体" w:cs="Times New Roman"/>
                      <w:color w:val="auto"/>
                      <w:kern w:val="0"/>
                      <w:sz w:val="21"/>
                      <w:szCs w:val="21"/>
                      <w:highlight w:val="none"/>
                      <w:lang w:eastAsia="zh-CN"/>
                    </w:rPr>
                    <w:t>直接运走</w:t>
                  </w:r>
                  <w:r>
                    <w:rPr>
                      <w:rFonts w:hint="eastAsia" w:ascii="Times New Roman" w:hAnsi="宋体" w:eastAsia="宋体" w:cs="Times New Roman"/>
                      <w:color w:val="auto"/>
                      <w:kern w:val="0"/>
                      <w:sz w:val="21"/>
                      <w:szCs w:val="21"/>
                      <w:highlight w:val="none"/>
                    </w:rPr>
                    <w:t>处置</w:t>
                  </w:r>
                  <w:r>
                    <w:rPr>
                      <w:rFonts w:hint="eastAsia" w:ascii="Times New Roman" w:hAnsi="宋体" w:eastAsia="宋体" w:cs="Times New Roman"/>
                      <w:color w:val="auto"/>
                      <w:kern w:val="0"/>
                      <w:sz w:val="21"/>
                      <w:szCs w:val="21"/>
                      <w:highlight w:val="none"/>
                      <w:lang w:eastAsia="zh-CN"/>
                    </w:rPr>
                    <w:t>，</w:t>
                  </w:r>
                  <w:r>
                    <w:rPr>
                      <w:rFonts w:hint="eastAsia" w:ascii="Times New Roman" w:hAnsi="Times New Roman" w:eastAsia="宋体" w:cs="Times New Roman"/>
                      <w:color w:val="auto"/>
                      <w:spacing w:val="-4"/>
                      <w:sz w:val="21"/>
                      <w:szCs w:val="21"/>
                      <w:highlight w:val="none"/>
                      <w:lang w:val="en-US" w:eastAsia="zh-CN"/>
                    </w:rPr>
                    <w:t>废活性炭、废UV灯管、废胶渣、废漆（胶）桶、漆渣存于危险废物贮存点，定期交由有资质单位处置。固体废物均得到妥善处置。</w:t>
                  </w:r>
                </w:p>
              </w:tc>
              <w:tc>
                <w:tcPr>
                  <w:tcW w:w="556" w:type="pct"/>
                  <w:noWrap w:val="0"/>
                  <w:vAlign w:val="center"/>
                </w:tcPr>
                <w:p w14:paraId="19C9602E">
                  <w:pPr>
                    <w:pStyle w:val="55"/>
                    <w:jc w:val="center"/>
                    <w:rPr>
                      <w:color w:val="auto"/>
                      <w:sz w:val="21"/>
                      <w:szCs w:val="21"/>
                      <w:highlight w:val="none"/>
                    </w:rPr>
                  </w:pPr>
                  <w:r>
                    <w:rPr>
                      <w:color w:val="auto"/>
                      <w:sz w:val="21"/>
                      <w:szCs w:val="21"/>
                      <w:highlight w:val="none"/>
                    </w:rPr>
                    <w:t>符合</w:t>
                  </w:r>
                </w:p>
              </w:tc>
            </w:tr>
            <w:tr w14:paraId="5206BA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000" w:type="pct"/>
                  <w:gridSpan w:val="4"/>
                  <w:noWrap w:val="0"/>
                  <w:vAlign w:val="center"/>
                </w:tcPr>
                <w:p w14:paraId="26CD33BC">
                  <w:pPr>
                    <w:pStyle w:val="55"/>
                    <w:jc w:val="center"/>
                    <w:rPr>
                      <w:color w:val="auto"/>
                      <w:sz w:val="21"/>
                      <w:szCs w:val="21"/>
                      <w:highlight w:val="none"/>
                    </w:rPr>
                  </w:pPr>
                  <w:r>
                    <w:rPr>
                      <w:rFonts w:hint="eastAsia"/>
                      <w:b/>
                      <w:bCs/>
                      <w:color w:val="auto"/>
                      <w:sz w:val="21"/>
                      <w:szCs w:val="21"/>
                      <w:highlight w:val="none"/>
                    </w:rPr>
                    <w:t>《辽宁省人民政府办公厅关于印发辽宁省</w:t>
                  </w:r>
                  <w:r>
                    <w:rPr>
                      <w:rFonts w:hint="eastAsia"/>
                      <w:b/>
                      <w:bCs/>
                      <w:color w:val="auto"/>
                      <w:sz w:val="21"/>
                      <w:szCs w:val="21"/>
                      <w:highlight w:val="none"/>
                      <w:lang w:eastAsia="zh-CN"/>
                    </w:rPr>
                    <w:t>“</w:t>
                  </w:r>
                  <w:r>
                    <w:rPr>
                      <w:rFonts w:hint="eastAsia"/>
                      <w:b/>
                      <w:bCs/>
                      <w:color w:val="auto"/>
                      <w:sz w:val="21"/>
                      <w:szCs w:val="21"/>
                      <w:highlight w:val="none"/>
                    </w:rPr>
                    <w:t>十四五</w:t>
                  </w:r>
                  <w:r>
                    <w:rPr>
                      <w:rFonts w:hint="eastAsia"/>
                      <w:b/>
                      <w:bCs/>
                      <w:color w:val="auto"/>
                      <w:sz w:val="21"/>
                      <w:szCs w:val="21"/>
                      <w:highlight w:val="none"/>
                      <w:lang w:eastAsia="zh-CN"/>
                    </w:rPr>
                    <w:t>”</w:t>
                  </w:r>
                  <w:r>
                    <w:rPr>
                      <w:rFonts w:hint="eastAsia"/>
                      <w:b/>
                      <w:bCs/>
                      <w:color w:val="auto"/>
                      <w:sz w:val="21"/>
                      <w:szCs w:val="21"/>
                      <w:highlight w:val="none"/>
                    </w:rPr>
                    <w:t>生态环境保护规划的通知》（辽政办发〔2022〕16号）</w:t>
                  </w:r>
                </w:p>
              </w:tc>
            </w:tr>
            <w:tr w14:paraId="50FAE8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81" w:type="pct"/>
                  <w:gridSpan w:val="2"/>
                  <w:noWrap w:val="0"/>
                  <w:vAlign w:val="center"/>
                </w:tcPr>
                <w:p w14:paraId="4F0F3DA5">
                  <w:pPr>
                    <w:pStyle w:val="56"/>
                    <w:adjustRightInd w:val="0"/>
                    <w:spacing w:line="240" w:lineRule="auto"/>
                    <w:jc w:val="both"/>
                    <w:rPr>
                      <w:rFonts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第三章第一节</w:t>
                  </w:r>
                  <w:r>
                    <w:rPr>
                      <w:rFonts w:hint="eastAsia" w:ascii="Times New Roman" w:hAnsi="Times New Roman" w:cs="Times New Roman"/>
                      <w:color w:val="auto"/>
                      <w:sz w:val="21"/>
                      <w:szCs w:val="21"/>
                      <w:highlight w:val="none"/>
                      <w:lang w:val="en-US" w:eastAsia="zh-CN"/>
                    </w:rPr>
                    <w:t>。</w:t>
                  </w:r>
                  <w:r>
                    <w:rPr>
                      <w:rFonts w:hint="eastAsia" w:ascii="Times New Roman" w:hAnsi="Times New Roman" w:cs="Times New Roman"/>
                      <w:color w:val="auto"/>
                      <w:sz w:val="21"/>
                      <w:szCs w:val="21"/>
                      <w:highlight w:val="none"/>
                      <w:lang w:eastAsia="zh-CN"/>
                    </w:rPr>
                    <w:t>完善绿色发展机制</w:t>
                  </w:r>
                  <w:r>
                    <w:rPr>
                      <w:rFonts w:hint="eastAsia" w:ascii="Times New Roman" w:hAnsi="Times New Roman" w:cs="Times New Roman"/>
                      <w:color w:val="auto"/>
                      <w:sz w:val="21"/>
                      <w:szCs w:val="21"/>
                      <w:highlight w:val="none"/>
                      <w:lang w:eastAsia="zh-CN"/>
                    </w:rPr>
                    <w:t>。各市“三线一单”实施方案印发实施。依法依规推行规划环评清单式管理，实现重点产业园区规划环评全覆盖。2022年底前，完成产业园区规划环评措施落实情况检查，加快推进园区环境基础设施建设。2024年底前，逐步健全“三线一单”配套的规章制度和管理政策。2025年底前，形成基本完善的区域生态环境空间管控体系。</w:t>
                  </w:r>
                </w:p>
              </w:tc>
              <w:tc>
                <w:tcPr>
                  <w:tcW w:w="1762" w:type="pct"/>
                  <w:noWrap w:val="0"/>
                  <w:vAlign w:val="center"/>
                </w:tcPr>
                <w:p w14:paraId="5B789912">
                  <w:pPr>
                    <w:pStyle w:val="55"/>
                    <w:jc w:val="both"/>
                    <w:rPr>
                      <w:color w:val="auto"/>
                      <w:sz w:val="21"/>
                      <w:szCs w:val="21"/>
                      <w:highlight w:val="none"/>
                    </w:rPr>
                  </w:pPr>
                  <w:r>
                    <w:rPr>
                      <w:rFonts w:hint="eastAsia"/>
                      <w:color w:val="auto"/>
                      <w:kern w:val="0"/>
                      <w:sz w:val="21"/>
                      <w:szCs w:val="21"/>
                      <w:highlight w:val="none"/>
                      <w:lang w:eastAsia="zh-CN"/>
                    </w:rPr>
                    <w:t>本项目</w:t>
                  </w:r>
                  <w:r>
                    <w:rPr>
                      <w:color w:val="auto"/>
                      <w:kern w:val="0"/>
                      <w:sz w:val="21"/>
                      <w:szCs w:val="21"/>
                      <w:highlight w:val="none"/>
                      <w:lang w:eastAsia="en-US"/>
                    </w:rPr>
                    <w:t>符合</w:t>
                  </w:r>
                  <w:r>
                    <w:rPr>
                      <w:rFonts w:hint="eastAsia" w:ascii="Times New Roman" w:hAnsi="Times New Roman" w:eastAsia="宋体" w:cs="Times New Roman"/>
                      <w:color w:val="auto"/>
                      <w:kern w:val="0"/>
                      <w:sz w:val="21"/>
                      <w:szCs w:val="21"/>
                      <w:highlight w:val="none"/>
                      <w:lang w:val="en-US" w:eastAsia="zh-CN" w:bidi="ar-SA"/>
                    </w:rPr>
                    <w:t>《抚顺市生态环境管控基本要求》、《抚顺县生态环境总体准入要求》和《抚顺县环境管控单元准入清单》（抚顺县产业园区）要求。</w:t>
                  </w:r>
                </w:p>
              </w:tc>
              <w:tc>
                <w:tcPr>
                  <w:tcW w:w="556" w:type="pct"/>
                  <w:noWrap w:val="0"/>
                  <w:vAlign w:val="center"/>
                </w:tcPr>
                <w:p w14:paraId="590E6690">
                  <w:pPr>
                    <w:pStyle w:val="55"/>
                    <w:jc w:val="center"/>
                    <w:rPr>
                      <w:color w:val="auto"/>
                      <w:sz w:val="21"/>
                      <w:szCs w:val="21"/>
                      <w:highlight w:val="none"/>
                    </w:rPr>
                  </w:pPr>
                  <w:r>
                    <w:rPr>
                      <w:color w:val="auto"/>
                      <w:sz w:val="21"/>
                      <w:szCs w:val="21"/>
                      <w:highlight w:val="none"/>
                    </w:rPr>
                    <w:t>符合</w:t>
                  </w:r>
                </w:p>
              </w:tc>
            </w:tr>
            <w:tr w14:paraId="16857A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81" w:type="pct"/>
                  <w:gridSpan w:val="2"/>
                  <w:noWrap w:val="0"/>
                  <w:vAlign w:val="center"/>
                </w:tcPr>
                <w:p w14:paraId="7A6FBAE0">
                  <w:pPr>
                    <w:widowControl/>
                    <w:spacing w:line="240" w:lineRule="auto"/>
                    <w:jc w:val="both"/>
                    <w:textAlignment w:val="center"/>
                    <w:rPr>
                      <w:rFonts w:hint="default" w:eastAsia="宋体"/>
                      <w:color w:val="auto"/>
                      <w:sz w:val="21"/>
                      <w:szCs w:val="21"/>
                      <w:highlight w:val="none"/>
                      <w:lang w:val="en-US" w:eastAsia="zh-CN"/>
                    </w:rPr>
                  </w:pPr>
                  <w:r>
                    <w:rPr>
                      <w:rFonts w:hint="eastAsia"/>
                      <w:color w:val="auto"/>
                      <w:sz w:val="21"/>
                      <w:szCs w:val="21"/>
                      <w:highlight w:val="none"/>
                      <w:lang w:eastAsia="zh-CN"/>
                    </w:rPr>
                    <w:t>第五章第三节</w:t>
                  </w:r>
                  <w:r>
                    <w:rPr>
                      <w:rFonts w:hint="eastAsia"/>
                      <w:color w:val="auto"/>
                      <w:sz w:val="21"/>
                      <w:szCs w:val="21"/>
                      <w:highlight w:val="none"/>
                      <w:lang w:val="en-US" w:eastAsia="zh-CN"/>
                    </w:rPr>
                    <w:t>。持续推进重点污染源治理。加强生物质锅炉燃料品质及排放管控，禁止使用劣质燃料或掺烧垃圾、工业固体废物，对污染物排放不符合要求的生物质锅炉进行整改或淘汰。</w:t>
                  </w:r>
                </w:p>
              </w:tc>
              <w:tc>
                <w:tcPr>
                  <w:tcW w:w="1762" w:type="pct"/>
                  <w:noWrap w:val="0"/>
                  <w:vAlign w:val="center"/>
                </w:tcPr>
                <w:p w14:paraId="5957D360">
                  <w:pPr>
                    <w:widowControl/>
                    <w:spacing w:line="240" w:lineRule="auto"/>
                    <w:jc w:val="both"/>
                    <w:textAlignment w:val="center"/>
                    <w:rPr>
                      <w:color w:val="auto"/>
                      <w:sz w:val="21"/>
                      <w:szCs w:val="21"/>
                      <w:highlight w:val="none"/>
                      <w:lang w:eastAsia="en-US"/>
                    </w:rPr>
                  </w:pPr>
                  <w:r>
                    <w:rPr>
                      <w:rFonts w:hint="eastAsia"/>
                      <w:color w:val="auto"/>
                      <w:sz w:val="21"/>
                      <w:szCs w:val="21"/>
                      <w:highlight w:val="none"/>
                    </w:rPr>
                    <w:t>本项目</w:t>
                  </w:r>
                  <w:r>
                    <w:rPr>
                      <w:rFonts w:hint="eastAsia"/>
                      <w:color w:val="auto"/>
                      <w:sz w:val="21"/>
                      <w:szCs w:val="21"/>
                      <w:highlight w:val="none"/>
                      <w:lang w:eastAsia="zh-CN"/>
                    </w:rPr>
                    <w:t>不涉及锅炉，无燃料使用</w:t>
                  </w:r>
                  <w:r>
                    <w:rPr>
                      <w:rFonts w:hint="eastAsia"/>
                      <w:color w:val="auto"/>
                      <w:sz w:val="21"/>
                      <w:szCs w:val="21"/>
                      <w:highlight w:val="none"/>
                    </w:rPr>
                    <w:t>。</w:t>
                  </w:r>
                </w:p>
              </w:tc>
              <w:tc>
                <w:tcPr>
                  <w:tcW w:w="556" w:type="pct"/>
                  <w:noWrap w:val="0"/>
                  <w:vAlign w:val="center"/>
                </w:tcPr>
                <w:p w14:paraId="353FF9D8">
                  <w:pPr>
                    <w:pStyle w:val="55"/>
                    <w:jc w:val="center"/>
                    <w:rPr>
                      <w:color w:val="auto"/>
                      <w:sz w:val="21"/>
                      <w:szCs w:val="21"/>
                      <w:highlight w:val="none"/>
                    </w:rPr>
                  </w:pPr>
                  <w:r>
                    <w:rPr>
                      <w:rFonts w:hint="eastAsia"/>
                      <w:color w:val="auto"/>
                      <w:sz w:val="21"/>
                      <w:szCs w:val="21"/>
                      <w:highlight w:val="none"/>
                    </w:rPr>
                    <w:t>符合</w:t>
                  </w:r>
                </w:p>
              </w:tc>
            </w:tr>
            <w:tr w14:paraId="62B21D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81" w:type="pct"/>
                  <w:gridSpan w:val="2"/>
                  <w:noWrap w:val="0"/>
                  <w:vAlign w:val="center"/>
                </w:tcPr>
                <w:p w14:paraId="3EBFE8BE">
                  <w:pPr>
                    <w:widowControl/>
                    <w:spacing w:line="240" w:lineRule="auto"/>
                    <w:jc w:val="both"/>
                    <w:textAlignment w:val="center"/>
                    <w:rPr>
                      <w:rFonts w:hint="eastAsia"/>
                      <w:color w:val="auto"/>
                      <w:sz w:val="21"/>
                      <w:szCs w:val="21"/>
                      <w:highlight w:val="none"/>
                      <w:lang w:eastAsia="zh-CN"/>
                    </w:rPr>
                  </w:pPr>
                  <w:r>
                    <w:rPr>
                      <w:rFonts w:hint="eastAsia"/>
                      <w:color w:val="auto"/>
                      <w:sz w:val="21"/>
                      <w:szCs w:val="21"/>
                      <w:highlight w:val="none"/>
                      <w:lang w:eastAsia="zh-CN"/>
                    </w:rPr>
                    <w:t>依法依规加大源头治理力度，强化涂料、油墨、胶粘剂等产品VOCs含量限值标准执行情况监督检查。</w:t>
                  </w:r>
                </w:p>
              </w:tc>
              <w:tc>
                <w:tcPr>
                  <w:tcW w:w="1762" w:type="pct"/>
                  <w:noWrap w:val="0"/>
                  <w:vAlign w:val="center"/>
                </w:tcPr>
                <w:p w14:paraId="63E47C2A">
                  <w:pPr>
                    <w:widowControl/>
                    <w:spacing w:line="240" w:lineRule="auto"/>
                    <w:jc w:val="both"/>
                    <w:textAlignment w:val="center"/>
                    <w:rPr>
                      <w:rFonts w:hint="eastAsia"/>
                      <w:color w:val="auto"/>
                      <w:sz w:val="21"/>
                      <w:szCs w:val="21"/>
                      <w:highlight w:val="none"/>
                    </w:rPr>
                  </w:pPr>
                  <w:r>
                    <w:rPr>
                      <w:color w:val="auto"/>
                      <w:sz w:val="21"/>
                      <w:szCs w:val="21"/>
                      <w:highlight w:val="none"/>
                    </w:rPr>
                    <w:t>本项</w:t>
                  </w:r>
                  <w:r>
                    <w:rPr>
                      <w:rFonts w:hint="eastAsia"/>
                      <w:color w:val="auto"/>
                      <w:sz w:val="21"/>
                      <w:szCs w:val="21"/>
                      <w:highlight w:val="none"/>
                      <w:lang w:eastAsia="zh-CN"/>
                    </w:rPr>
                    <w:t>目指接、辊漆、</w:t>
                  </w:r>
                  <w:r>
                    <w:rPr>
                      <w:rFonts w:hint="eastAsia" w:ascii="Times New Roman" w:hAnsi="Times New Roman" w:eastAsia="宋体" w:cs="Times New Roman"/>
                      <w:color w:val="auto"/>
                      <w:sz w:val="21"/>
                      <w:szCs w:val="21"/>
                      <w:highlight w:val="none"/>
                      <w:lang w:val="en-US" w:eastAsia="zh-CN"/>
                    </w:rPr>
                    <w:t>紫外光固化</w:t>
                  </w:r>
                  <w:r>
                    <w:rPr>
                      <w:rFonts w:hint="eastAsia"/>
                      <w:color w:val="auto"/>
                      <w:sz w:val="21"/>
                      <w:szCs w:val="21"/>
                      <w:highlight w:val="none"/>
                      <w:lang w:eastAsia="zh-CN"/>
                    </w:rPr>
                    <w:t>过程</w:t>
                  </w:r>
                  <w:r>
                    <w:rPr>
                      <w:rFonts w:hint="eastAsia" w:ascii="Times New Roman" w:hAnsi="Times New Roman" w:eastAsia="宋体" w:cs="Times New Roman"/>
                      <w:color w:val="auto"/>
                      <w:spacing w:val="-4"/>
                      <w:sz w:val="21"/>
                      <w:szCs w:val="21"/>
                      <w:highlight w:val="none"/>
                      <w:lang w:eastAsia="zh-CN"/>
                    </w:rPr>
                    <w:t>使用低VOCs含量的漆料和木工胶</w:t>
                  </w:r>
                  <w:r>
                    <w:rPr>
                      <w:rFonts w:hint="eastAsia" w:ascii="Times New Roman" w:hAnsi="Times New Roman" w:cs="Times New Roman"/>
                      <w:color w:val="auto"/>
                      <w:sz w:val="21"/>
                      <w:szCs w:val="21"/>
                      <w:highlight w:val="none"/>
                    </w:rPr>
                    <w:t>，</w:t>
                  </w:r>
                  <w:r>
                    <w:rPr>
                      <w:rFonts w:ascii="Times New Roman" w:hAnsi="Times New Roman" w:eastAsia="宋体" w:cs="Times New Roman"/>
                      <w:color w:val="auto"/>
                      <w:spacing w:val="2"/>
                      <w:sz w:val="21"/>
                      <w:szCs w:val="21"/>
                      <w:highlight w:val="none"/>
                      <w:lang w:eastAsia="zh-CN"/>
                    </w:rPr>
                    <w:t>采购的</w:t>
                  </w:r>
                  <w:r>
                    <w:rPr>
                      <w:rFonts w:hint="eastAsia" w:ascii="Times New Roman" w:hAnsi="Times New Roman" w:eastAsia="宋体" w:cs="Times New Roman"/>
                      <w:color w:val="auto"/>
                      <w:spacing w:val="2"/>
                      <w:sz w:val="21"/>
                      <w:szCs w:val="21"/>
                      <w:highlight w:val="none"/>
                      <w:lang w:eastAsia="zh-CN"/>
                    </w:rPr>
                    <w:t>漆料和木工胶</w:t>
                  </w:r>
                  <w:r>
                    <w:rPr>
                      <w:rFonts w:ascii="Times New Roman" w:hAnsi="Times New Roman" w:eastAsia="宋体" w:cs="Times New Roman"/>
                      <w:color w:val="auto"/>
                      <w:spacing w:val="2"/>
                      <w:sz w:val="21"/>
                      <w:szCs w:val="21"/>
                      <w:highlight w:val="none"/>
                      <w:lang w:eastAsia="zh-CN"/>
                    </w:rPr>
                    <w:t>符合其质量标准</w:t>
                  </w:r>
                  <w:r>
                    <w:rPr>
                      <w:rFonts w:hint="eastAsia" w:ascii="Times New Roman" w:hAnsi="Times New Roman" w:eastAsia="宋体" w:cs="Times New Roman"/>
                      <w:color w:val="auto"/>
                      <w:spacing w:val="2"/>
                      <w:sz w:val="21"/>
                      <w:szCs w:val="21"/>
                      <w:highlight w:val="none"/>
                      <w:lang w:eastAsia="zh-CN"/>
                    </w:rPr>
                    <w:t>，</w:t>
                  </w:r>
                  <w:r>
                    <w:rPr>
                      <w:rFonts w:hint="eastAsia" w:ascii="Times New Roman" w:hAnsi="Times New Roman" w:cs="Times New Roman"/>
                      <w:color w:val="auto"/>
                      <w:sz w:val="21"/>
                      <w:szCs w:val="21"/>
                      <w:highlight w:val="none"/>
                    </w:rPr>
                    <w:t>从源头减少VOCs产生</w:t>
                  </w:r>
                  <w:r>
                    <w:rPr>
                      <w:color w:val="auto"/>
                      <w:sz w:val="21"/>
                      <w:szCs w:val="21"/>
                      <w:highlight w:val="none"/>
                    </w:rPr>
                    <w:t>。</w:t>
                  </w:r>
                </w:p>
              </w:tc>
              <w:tc>
                <w:tcPr>
                  <w:tcW w:w="556" w:type="pct"/>
                  <w:noWrap w:val="0"/>
                  <w:vAlign w:val="center"/>
                </w:tcPr>
                <w:p w14:paraId="48CBA67D">
                  <w:pPr>
                    <w:pStyle w:val="55"/>
                    <w:jc w:val="center"/>
                    <w:rPr>
                      <w:rFonts w:hint="eastAsia"/>
                      <w:color w:val="auto"/>
                      <w:sz w:val="21"/>
                      <w:szCs w:val="21"/>
                      <w:highlight w:val="none"/>
                    </w:rPr>
                  </w:pPr>
                  <w:r>
                    <w:rPr>
                      <w:rFonts w:hint="eastAsia"/>
                      <w:color w:val="auto"/>
                      <w:sz w:val="21"/>
                      <w:szCs w:val="21"/>
                      <w:highlight w:val="none"/>
                    </w:rPr>
                    <w:t>符合</w:t>
                  </w:r>
                </w:p>
              </w:tc>
            </w:tr>
            <w:tr w14:paraId="6A2E29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4"/>
                  <w:noWrap w:val="0"/>
                  <w:vAlign w:val="center"/>
                </w:tcPr>
                <w:p w14:paraId="1252FD71">
                  <w:pPr>
                    <w:pStyle w:val="74"/>
                    <w:spacing w:line="240" w:lineRule="auto"/>
                    <w:ind w:firstLine="0" w:firstLineChars="0"/>
                    <w:jc w:val="center"/>
                    <w:rPr>
                      <w:color w:val="auto"/>
                      <w:sz w:val="21"/>
                      <w:szCs w:val="21"/>
                      <w:highlight w:val="none"/>
                    </w:rPr>
                  </w:pPr>
                  <w:r>
                    <w:rPr>
                      <w:rFonts w:hint="eastAsia"/>
                      <w:b/>
                      <w:bCs/>
                      <w:color w:val="auto"/>
                      <w:sz w:val="21"/>
                      <w:szCs w:val="21"/>
                      <w:highlight w:val="none"/>
                    </w:rPr>
                    <w:t>《中共辽宁省委、辽宁省人民政府关于印发〈辽宁省深入打好污染防治攻坚战实施方案〉的通知》（辽委发〔2022〕8号）</w:t>
                  </w:r>
                </w:p>
              </w:tc>
            </w:tr>
            <w:tr w14:paraId="1D3156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jc w:val="center"/>
              </w:trPr>
              <w:tc>
                <w:tcPr>
                  <w:tcW w:w="2681" w:type="pct"/>
                  <w:gridSpan w:val="2"/>
                  <w:noWrap w:val="0"/>
                  <w:vAlign w:val="center"/>
                </w:tcPr>
                <w:p w14:paraId="4CDEA88F">
                  <w:pPr>
                    <w:pStyle w:val="56"/>
                    <w:numPr>
                      <w:ilvl w:val="0"/>
                      <w:numId w:val="10"/>
                    </w:numPr>
                    <w:spacing w:line="240" w:lineRule="auto"/>
                    <w:ind w:left="0" w:leftChars="0" w:firstLine="0" w:firstLineChars="0"/>
                    <w:jc w:val="both"/>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重点任务</w:t>
                  </w:r>
                </w:p>
                <w:p w14:paraId="76D9B61D">
                  <w:pPr>
                    <w:pStyle w:val="56"/>
                    <w:numPr>
                      <w:ilvl w:val="0"/>
                      <w:numId w:val="12"/>
                    </w:numPr>
                    <w:spacing w:line="240" w:lineRule="auto"/>
                    <w:ind w:leftChars="0"/>
                    <w:jc w:val="both"/>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加快推动绿色低碳发展</w:t>
                  </w:r>
                </w:p>
                <w:p w14:paraId="57694A7B">
                  <w:pPr>
                    <w:pStyle w:val="56"/>
                    <w:numPr>
                      <w:ilvl w:val="0"/>
                      <w:numId w:val="0"/>
                    </w:numPr>
                    <w:spacing w:line="240" w:lineRule="auto"/>
                    <w:jc w:val="both"/>
                    <w:rPr>
                      <w:color w:val="auto"/>
                      <w:sz w:val="21"/>
                      <w:szCs w:val="21"/>
                      <w:highlight w:val="none"/>
                    </w:rPr>
                  </w:pPr>
                  <w:r>
                    <w:rPr>
                      <w:rFonts w:hint="eastAsia" w:ascii="Times New Roman" w:hAnsi="Times New Roman" w:cs="Times New Roman"/>
                      <w:color w:val="auto"/>
                      <w:sz w:val="21"/>
                      <w:szCs w:val="21"/>
                      <w:highlight w:val="none"/>
                      <w:lang w:val="en-US" w:eastAsia="zh-CN"/>
                    </w:rPr>
                    <w:t>4.</w:t>
                  </w:r>
                  <w:r>
                    <w:rPr>
                      <w:rFonts w:ascii="Times New Roman" w:hAnsi="Times New Roman" w:cs="Times New Roman"/>
                      <w:color w:val="auto"/>
                      <w:sz w:val="21"/>
                      <w:szCs w:val="21"/>
                      <w:highlight w:val="none"/>
                    </w:rPr>
                    <w:t>推进资源节约高效利用和清洁生产。坚持节约优先，推进资源总量管理、科学</w:t>
                  </w:r>
                  <w:r>
                    <w:rPr>
                      <w:rFonts w:ascii="Times New Roman" w:hAnsi="Times New Roman" w:cs="Times New Roman"/>
                      <w:color w:val="auto"/>
                      <w:spacing w:val="-4"/>
                      <w:sz w:val="21"/>
                      <w:szCs w:val="21"/>
                      <w:highlight w:val="none"/>
                    </w:rPr>
                    <w:t>配置，全面促进资源节约循环高效利用，</w:t>
                  </w:r>
                  <w:r>
                    <w:rPr>
                      <w:rFonts w:ascii="Times New Roman" w:hAnsi="Times New Roman" w:cs="Times New Roman"/>
                      <w:color w:val="auto"/>
                      <w:sz w:val="21"/>
                      <w:szCs w:val="21"/>
                      <w:highlight w:val="none"/>
                    </w:rPr>
                    <w:t>推动利用方式根本转变。实施全民节水行动，建设节水型社会。</w:t>
                  </w:r>
                </w:p>
              </w:tc>
              <w:tc>
                <w:tcPr>
                  <w:tcW w:w="1762" w:type="pct"/>
                  <w:noWrap w:val="0"/>
                  <w:vAlign w:val="center"/>
                </w:tcPr>
                <w:p w14:paraId="79203D58">
                  <w:pPr>
                    <w:pStyle w:val="56"/>
                    <w:spacing w:line="240" w:lineRule="auto"/>
                    <w:jc w:val="both"/>
                    <w:rPr>
                      <w:color w:val="auto"/>
                      <w:sz w:val="21"/>
                      <w:szCs w:val="21"/>
                      <w:highlight w:val="none"/>
                    </w:rPr>
                  </w:pPr>
                  <w:r>
                    <w:rPr>
                      <w:color w:val="auto"/>
                      <w:sz w:val="21"/>
                      <w:szCs w:val="21"/>
                      <w:highlight w:val="none"/>
                    </w:rPr>
                    <w:t>本项目</w:t>
                  </w:r>
                  <w:r>
                    <w:rPr>
                      <w:rFonts w:hint="eastAsia" w:ascii="Times New Roman" w:hAnsi="Times New Roman"/>
                      <w:color w:val="auto"/>
                      <w:sz w:val="21"/>
                      <w:szCs w:val="21"/>
                      <w:highlight w:val="none"/>
                    </w:rPr>
                    <w:t>用水仅为</w:t>
                  </w:r>
                  <w:r>
                    <w:rPr>
                      <w:rFonts w:hint="eastAsia" w:ascii="Times New Roman" w:hAnsi="Times New Roman"/>
                      <w:color w:val="auto"/>
                      <w:sz w:val="21"/>
                      <w:szCs w:val="21"/>
                      <w:highlight w:val="none"/>
                      <w:lang w:eastAsia="zh-CN"/>
                    </w:rPr>
                    <w:t>生活用水</w:t>
                  </w:r>
                  <w:r>
                    <w:rPr>
                      <w:rFonts w:ascii="Times New Roman" w:hAnsi="Times New Roman"/>
                      <w:color w:val="auto"/>
                      <w:sz w:val="21"/>
                      <w:szCs w:val="21"/>
                      <w:highlight w:val="none"/>
                    </w:rPr>
                    <w:t>，</w:t>
                  </w:r>
                  <w:r>
                    <w:rPr>
                      <w:rFonts w:hint="eastAsia" w:ascii="Times New Roman" w:hAnsi="Times New Roman"/>
                      <w:color w:val="auto"/>
                      <w:sz w:val="21"/>
                      <w:szCs w:val="21"/>
                      <w:highlight w:val="none"/>
                      <w:lang w:eastAsia="zh-CN"/>
                    </w:rPr>
                    <w:t>企业通过加强对员工环保意识的培训和提升，</w:t>
                  </w:r>
                  <w:r>
                    <w:rPr>
                      <w:rFonts w:ascii="Times New Roman" w:hAnsi="Times New Roman"/>
                      <w:color w:val="auto"/>
                      <w:sz w:val="21"/>
                      <w:szCs w:val="21"/>
                      <w:highlight w:val="none"/>
                    </w:rPr>
                    <w:t>最大限度减少新鲜水的使用</w:t>
                  </w:r>
                  <w:r>
                    <w:rPr>
                      <w:rFonts w:hint="eastAsia" w:ascii="Times New Roman" w:hAnsi="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eastAsia="zh-CN"/>
                    </w:rPr>
                    <w:t>实现水资源的资源化</w:t>
                  </w:r>
                  <w:r>
                    <w:rPr>
                      <w:color w:val="auto"/>
                      <w:kern w:val="0"/>
                      <w:sz w:val="21"/>
                      <w:szCs w:val="21"/>
                      <w:highlight w:val="none"/>
                    </w:rPr>
                    <w:t>。</w:t>
                  </w:r>
                </w:p>
              </w:tc>
              <w:tc>
                <w:tcPr>
                  <w:tcW w:w="556" w:type="pct"/>
                  <w:noWrap w:val="0"/>
                  <w:vAlign w:val="center"/>
                </w:tcPr>
                <w:p w14:paraId="5C4C6586">
                  <w:pPr>
                    <w:pStyle w:val="55"/>
                    <w:jc w:val="center"/>
                    <w:rPr>
                      <w:color w:val="auto"/>
                      <w:sz w:val="21"/>
                      <w:szCs w:val="21"/>
                      <w:highlight w:val="none"/>
                    </w:rPr>
                  </w:pPr>
                  <w:r>
                    <w:rPr>
                      <w:color w:val="auto"/>
                      <w:sz w:val="21"/>
                      <w:szCs w:val="21"/>
                      <w:highlight w:val="none"/>
                    </w:rPr>
                    <w:t>符合</w:t>
                  </w:r>
                </w:p>
              </w:tc>
            </w:tr>
            <w:tr w14:paraId="09F6B9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jc w:val="center"/>
              </w:trPr>
              <w:tc>
                <w:tcPr>
                  <w:tcW w:w="2681" w:type="pct"/>
                  <w:gridSpan w:val="2"/>
                  <w:noWrap w:val="0"/>
                  <w:vAlign w:val="center"/>
                </w:tcPr>
                <w:p w14:paraId="67C10507">
                  <w:pPr>
                    <w:pStyle w:val="56"/>
                    <w:numPr>
                      <w:ilvl w:val="0"/>
                      <w:numId w:val="0"/>
                    </w:numPr>
                    <w:spacing w:line="240" w:lineRule="auto"/>
                    <w:ind w:left="0" w:leftChars="0" w:firstLine="0" w:firstLineChars="0"/>
                    <w:jc w:val="both"/>
                    <w:rPr>
                      <w:rFonts w:hint="eastAsia" w:ascii="宋体" w:hAnsi="宋体" w:cs="宋体"/>
                      <w:color w:val="auto"/>
                      <w:kern w:val="0"/>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5.</w:t>
                  </w:r>
                  <w:r>
                    <w:rPr>
                      <w:rFonts w:ascii="Times New Roman" w:hAnsi="Times New Roman" w:cs="Times New Roman"/>
                      <w:color w:val="auto"/>
                      <w:sz w:val="21"/>
                      <w:szCs w:val="21"/>
                      <w:highlight w:val="none"/>
                    </w:rPr>
                    <w:t>加强生态环境分区管控。严格落实</w:t>
                  </w:r>
                  <w:r>
                    <w:rPr>
                      <w:rFonts w:hint="eastAsia" w:ascii="Times New Roman" w:hAnsi="Times New Roman" w:cs="Times New Roman"/>
                      <w:color w:val="auto"/>
                      <w:sz w:val="21"/>
                      <w:szCs w:val="21"/>
                      <w:highlight w:val="none"/>
                      <w:lang w:eastAsia="zh-CN"/>
                    </w:rPr>
                    <w:t>“</w:t>
                  </w:r>
                  <w:r>
                    <w:rPr>
                      <w:rFonts w:ascii="Times New Roman" w:hAnsi="Times New Roman" w:cs="Times New Roman"/>
                      <w:color w:val="auto"/>
                      <w:sz w:val="21"/>
                      <w:szCs w:val="21"/>
                      <w:highlight w:val="none"/>
                    </w:rPr>
                    <w:t>三线一单</w:t>
                  </w:r>
                  <w:r>
                    <w:rPr>
                      <w:rFonts w:hint="eastAsia" w:ascii="Times New Roman" w:hAnsi="Times New Roman" w:cs="Times New Roman"/>
                      <w:color w:val="auto"/>
                      <w:sz w:val="21"/>
                      <w:szCs w:val="21"/>
                      <w:highlight w:val="none"/>
                      <w:lang w:eastAsia="zh-CN"/>
                    </w:rPr>
                    <w:t>”</w:t>
                  </w:r>
                  <w:r>
                    <w:rPr>
                      <w:rFonts w:ascii="Times New Roman" w:hAnsi="Times New Roman" w:cs="Times New Roman"/>
                      <w:color w:val="auto"/>
                      <w:sz w:val="21"/>
                      <w:szCs w:val="21"/>
                      <w:highlight w:val="none"/>
                    </w:rPr>
                    <w:t>生态环境分区管控要求，优化区域生产力布局。</w:t>
                  </w:r>
                </w:p>
              </w:tc>
              <w:tc>
                <w:tcPr>
                  <w:tcW w:w="1762" w:type="pct"/>
                  <w:noWrap w:val="0"/>
                  <w:vAlign w:val="center"/>
                </w:tcPr>
                <w:p w14:paraId="0A5B4475">
                  <w:pPr>
                    <w:pStyle w:val="56"/>
                    <w:spacing w:line="240" w:lineRule="auto"/>
                    <w:jc w:val="both"/>
                    <w:rPr>
                      <w:rFonts w:ascii="宋体" w:hAnsi="宋体" w:cs="宋体"/>
                      <w:color w:val="auto"/>
                      <w:kern w:val="0"/>
                      <w:sz w:val="21"/>
                      <w:szCs w:val="21"/>
                      <w:highlight w:val="none"/>
                      <w:lang w:val="en-US" w:eastAsia="en-US" w:bidi="ar-SA"/>
                    </w:rPr>
                  </w:pPr>
                  <w:r>
                    <w:rPr>
                      <w:rFonts w:ascii="Times New Roman" w:hAnsi="Times New Roman" w:cs="Times New Roman"/>
                      <w:color w:val="auto"/>
                      <w:sz w:val="21"/>
                      <w:szCs w:val="21"/>
                      <w:highlight w:val="none"/>
                    </w:rPr>
                    <w:t>本项目位于</w:t>
                  </w:r>
                  <w:r>
                    <w:rPr>
                      <w:rFonts w:hint="eastAsia" w:ascii="Times New Roman" w:hAnsi="Times New Roman" w:eastAsia="宋体" w:cs="Times New Roman"/>
                      <w:color w:val="auto"/>
                      <w:sz w:val="21"/>
                      <w:szCs w:val="21"/>
                      <w:highlight w:val="none"/>
                    </w:rPr>
                    <w:t>辽宁省抚顺市抚顺县救兵镇</w:t>
                  </w:r>
                  <w:r>
                    <w:rPr>
                      <w:rFonts w:hint="eastAsia" w:ascii="Times New Roman" w:hAnsi="Times New Roman" w:eastAsia="宋体" w:cs="Times New Roman"/>
                      <w:color w:val="auto"/>
                      <w:sz w:val="21"/>
                      <w:szCs w:val="21"/>
                      <w:highlight w:val="none"/>
                      <w:lang w:eastAsia="zh-CN"/>
                    </w:rPr>
                    <w:t>康西</w:t>
                  </w:r>
                  <w:r>
                    <w:rPr>
                      <w:rFonts w:hint="eastAsia" w:ascii="Times New Roman" w:hAnsi="Times New Roman" w:eastAsia="宋体" w:cs="Times New Roman"/>
                      <w:color w:val="auto"/>
                      <w:sz w:val="21"/>
                      <w:szCs w:val="21"/>
                      <w:highlight w:val="none"/>
                    </w:rPr>
                    <w:t>村救兵木业和新材料产业园区B区</w:t>
                  </w:r>
                  <w:r>
                    <w:rPr>
                      <w:rFonts w:ascii="Times New Roman" w:hAnsi="Times New Roman" w:eastAsia="宋体" w:cs="Times New Roman"/>
                      <w:color w:val="auto"/>
                      <w:sz w:val="21"/>
                      <w:szCs w:val="21"/>
                      <w:highlight w:val="none"/>
                    </w:rPr>
                    <w:t>，</w:t>
                  </w:r>
                  <w:r>
                    <w:rPr>
                      <w:color w:val="auto"/>
                      <w:kern w:val="0"/>
                      <w:sz w:val="21"/>
                      <w:szCs w:val="21"/>
                      <w:highlight w:val="none"/>
                      <w:lang w:eastAsia="en-US"/>
                    </w:rPr>
                    <w:t>符合</w:t>
                  </w:r>
                  <w:r>
                    <w:rPr>
                      <w:rFonts w:hint="eastAsia" w:ascii="Times New Roman" w:hAnsi="Times New Roman" w:eastAsia="宋体" w:cs="Times New Roman"/>
                      <w:color w:val="auto"/>
                      <w:kern w:val="0"/>
                      <w:sz w:val="21"/>
                      <w:szCs w:val="21"/>
                      <w:highlight w:val="none"/>
                      <w:lang w:val="en-US" w:eastAsia="zh-CN" w:bidi="ar-SA"/>
                    </w:rPr>
                    <w:t>《抚顺市生态环境管控基本要求》、《抚顺县生态环境总体准入要求》和《抚顺县环境管控单元准入清单》（</w:t>
                  </w:r>
                  <w:r>
                    <w:rPr>
                      <w:rFonts w:hint="eastAsia" w:ascii="Times New Roman" w:hAnsi="Times New Roman" w:eastAsia="宋体" w:cs="Times New Roman"/>
                      <w:color w:val="auto"/>
                      <w:kern w:val="0"/>
                      <w:sz w:val="21"/>
                      <w:szCs w:val="21"/>
                      <w:highlight w:val="none"/>
                      <w:lang w:val="en-US" w:eastAsia="zh-CN" w:bidi="ar-SA"/>
                    </w:rPr>
                    <w:t>抚顺县产业园区</w:t>
                  </w:r>
                  <w:r>
                    <w:rPr>
                      <w:rFonts w:hint="eastAsia" w:ascii="Times New Roman" w:hAnsi="Times New Roman" w:eastAsia="宋体" w:cs="Times New Roman"/>
                      <w:color w:val="auto"/>
                      <w:kern w:val="0"/>
                      <w:sz w:val="21"/>
                      <w:szCs w:val="21"/>
                      <w:highlight w:val="none"/>
                      <w:lang w:val="en-US" w:eastAsia="zh-CN" w:bidi="ar-SA"/>
                    </w:rPr>
                    <w:t>）要求。</w:t>
                  </w:r>
                </w:p>
              </w:tc>
              <w:tc>
                <w:tcPr>
                  <w:tcW w:w="556" w:type="pct"/>
                  <w:noWrap w:val="0"/>
                  <w:vAlign w:val="center"/>
                </w:tcPr>
                <w:p w14:paraId="67EC195A">
                  <w:pPr>
                    <w:pStyle w:val="55"/>
                    <w:jc w:val="center"/>
                    <w:rPr>
                      <w:color w:val="auto"/>
                      <w:sz w:val="21"/>
                      <w:szCs w:val="21"/>
                      <w:highlight w:val="none"/>
                    </w:rPr>
                  </w:pPr>
                </w:p>
              </w:tc>
            </w:tr>
            <w:tr w14:paraId="734FF4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81" w:type="pct"/>
                  <w:gridSpan w:val="2"/>
                  <w:noWrap w:val="0"/>
                  <w:vAlign w:val="center"/>
                </w:tcPr>
                <w:p w14:paraId="79CEFAEC">
                  <w:pPr>
                    <w:pStyle w:val="56"/>
                    <w:numPr>
                      <w:ilvl w:val="0"/>
                      <w:numId w:val="12"/>
                    </w:numPr>
                    <w:spacing w:line="240" w:lineRule="auto"/>
                    <w:ind w:left="0" w:leftChars="0" w:firstLine="0" w:firstLineChars="0"/>
                    <w:jc w:val="both"/>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深入打好蓝天保卫战</w:t>
                  </w:r>
                </w:p>
                <w:p w14:paraId="6AA2D73E">
                  <w:pPr>
                    <w:pStyle w:val="56"/>
                    <w:numPr>
                      <w:ilvl w:val="0"/>
                      <w:numId w:val="0"/>
                    </w:numPr>
                    <w:spacing w:line="240" w:lineRule="auto"/>
                    <w:ind w:leftChars="0"/>
                    <w:jc w:val="both"/>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1.实施大气减污降碳协同增效行动。推动重点行业落后产能退出，推进钢铁、焦化、有色金属行业技术升级。实施清洁取暖攻坚行动。充分发挥热电机组和大型热源能力，推进燃煤锅炉关停整合。</w:t>
                  </w:r>
                </w:p>
              </w:tc>
              <w:tc>
                <w:tcPr>
                  <w:tcW w:w="1762" w:type="pct"/>
                  <w:noWrap w:val="0"/>
                  <w:vAlign w:val="center"/>
                </w:tcPr>
                <w:p w14:paraId="6883B86F">
                  <w:pPr>
                    <w:pStyle w:val="56"/>
                    <w:spacing w:line="240" w:lineRule="auto"/>
                    <w:jc w:val="both"/>
                    <w:rPr>
                      <w:color w:val="auto"/>
                      <w:sz w:val="21"/>
                      <w:szCs w:val="21"/>
                      <w:highlight w:val="none"/>
                    </w:rPr>
                  </w:pPr>
                  <w:r>
                    <w:rPr>
                      <w:rFonts w:hint="eastAsia"/>
                      <w:color w:val="auto"/>
                      <w:sz w:val="21"/>
                      <w:szCs w:val="21"/>
                      <w:highlight w:val="none"/>
                      <w:lang w:eastAsia="zh-CN"/>
                    </w:rPr>
                    <w:t>根据</w:t>
                  </w:r>
                  <w:r>
                    <w:rPr>
                      <w:rFonts w:hint="eastAsia"/>
                      <w:color w:val="auto"/>
                      <w:sz w:val="21"/>
                      <w:szCs w:val="21"/>
                      <w:highlight w:val="none"/>
                    </w:rPr>
                    <w:t>《产业结构调整指导目录</w:t>
                  </w:r>
                  <w:r>
                    <w:rPr>
                      <w:rFonts w:hint="default" w:ascii="Times New Roman" w:hAnsi="Times New Roman" w:cs="Times New Roman"/>
                      <w:color w:val="auto"/>
                      <w:sz w:val="21"/>
                      <w:szCs w:val="21"/>
                      <w:highlight w:val="none"/>
                    </w:rPr>
                    <w:t>（2024年本）</w:t>
                  </w:r>
                  <w:r>
                    <w:rPr>
                      <w:rFonts w:hint="eastAsia"/>
                      <w:color w:val="auto"/>
                      <w:sz w:val="21"/>
                      <w:szCs w:val="21"/>
                      <w:highlight w:val="none"/>
                    </w:rPr>
                    <w:t>》，本项目属于允许类项目</w:t>
                  </w:r>
                  <w:r>
                    <w:rPr>
                      <w:rFonts w:hint="eastAsia"/>
                      <w:color w:val="auto"/>
                      <w:sz w:val="21"/>
                      <w:szCs w:val="21"/>
                      <w:highlight w:val="none"/>
                      <w:lang w:eastAsia="zh-CN"/>
                    </w:rPr>
                    <w:t>，</w:t>
                  </w:r>
                  <w:r>
                    <w:rPr>
                      <w:color w:val="auto"/>
                      <w:kern w:val="0"/>
                      <w:sz w:val="21"/>
                      <w:szCs w:val="21"/>
                      <w:highlight w:val="none"/>
                      <w:lang w:bidi="ar"/>
                    </w:rPr>
                    <w:t>符合国家产业政策</w:t>
                  </w:r>
                  <w:r>
                    <w:rPr>
                      <w:color w:val="auto"/>
                      <w:sz w:val="21"/>
                      <w:szCs w:val="21"/>
                      <w:highlight w:val="none"/>
                    </w:rPr>
                    <w:t>。</w:t>
                  </w:r>
                  <w:r>
                    <w:rPr>
                      <w:rFonts w:hint="eastAsia"/>
                      <w:color w:val="auto"/>
                      <w:sz w:val="21"/>
                      <w:szCs w:val="21"/>
                      <w:highlight w:val="none"/>
                    </w:rPr>
                    <w:t>项目</w:t>
                  </w:r>
                  <w:r>
                    <w:rPr>
                      <w:rFonts w:hint="eastAsia"/>
                      <w:color w:val="auto"/>
                      <w:sz w:val="21"/>
                      <w:szCs w:val="21"/>
                      <w:highlight w:val="none"/>
                      <w:lang w:eastAsia="zh-CN"/>
                    </w:rPr>
                    <w:t>不涉及锅炉，无燃料使用，供暖采用空调</w:t>
                  </w:r>
                  <w:r>
                    <w:rPr>
                      <w:rFonts w:hint="eastAsia"/>
                      <w:color w:val="auto"/>
                      <w:sz w:val="21"/>
                      <w:szCs w:val="21"/>
                      <w:highlight w:val="none"/>
                    </w:rPr>
                    <w:t>。</w:t>
                  </w:r>
                </w:p>
              </w:tc>
              <w:tc>
                <w:tcPr>
                  <w:tcW w:w="556" w:type="pct"/>
                  <w:noWrap w:val="0"/>
                  <w:vAlign w:val="center"/>
                </w:tcPr>
                <w:p w14:paraId="2D1ADE99">
                  <w:pPr>
                    <w:pStyle w:val="55"/>
                    <w:jc w:val="center"/>
                    <w:rPr>
                      <w:color w:val="auto"/>
                      <w:sz w:val="21"/>
                      <w:szCs w:val="21"/>
                      <w:highlight w:val="none"/>
                    </w:rPr>
                  </w:pPr>
                  <w:r>
                    <w:rPr>
                      <w:color w:val="auto"/>
                      <w:sz w:val="21"/>
                      <w:szCs w:val="21"/>
                      <w:highlight w:val="none"/>
                    </w:rPr>
                    <w:t>符合</w:t>
                  </w:r>
                </w:p>
              </w:tc>
            </w:tr>
            <w:tr w14:paraId="00C49D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4"/>
                  <w:noWrap w:val="0"/>
                  <w:vAlign w:val="center"/>
                </w:tcPr>
                <w:p w14:paraId="2E3AC68C">
                  <w:pPr>
                    <w:pStyle w:val="55"/>
                    <w:jc w:val="center"/>
                    <w:rPr>
                      <w:color w:val="auto"/>
                      <w:sz w:val="21"/>
                      <w:szCs w:val="21"/>
                      <w:highlight w:val="none"/>
                    </w:rPr>
                  </w:pPr>
                  <w:r>
                    <w:rPr>
                      <w:b/>
                      <w:bCs/>
                      <w:color w:val="auto"/>
                      <w:kern w:val="0"/>
                      <w:sz w:val="21"/>
                      <w:szCs w:val="21"/>
                      <w:highlight w:val="none"/>
                      <w:lang w:bidi="ar"/>
                    </w:rPr>
                    <w:t>《抚顺市深入打好污染防治攻坚战实施方案》抚委发</w:t>
                  </w:r>
                  <w:r>
                    <w:rPr>
                      <w:rFonts w:hint="eastAsia"/>
                      <w:b/>
                      <w:bCs/>
                      <w:color w:val="auto"/>
                      <w:kern w:val="0"/>
                      <w:sz w:val="21"/>
                      <w:szCs w:val="21"/>
                      <w:highlight w:val="none"/>
                      <w:lang w:eastAsia="zh-CN" w:bidi="ar"/>
                    </w:rPr>
                    <w:t>〔2023〕1号</w:t>
                  </w:r>
                </w:p>
              </w:tc>
            </w:tr>
            <w:tr w14:paraId="61B341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81" w:type="pct"/>
                  <w:gridSpan w:val="2"/>
                  <w:noWrap w:val="0"/>
                  <w:vAlign w:val="center"/>
                </w:tcPr>
                <w:p w14:paraId="31CD3447">
                  <w:pPr>
                    <w:pStyle w:val="56"/>
                    <w:numPr>
                      <w:ilvl w:val="0"/>
                      <w:numId w:val="0"/>
                    </w:numPr>
                    <w:spacing w:line="240" w:lineRule="auto"/>
                    <w:ind w:leftChars="0"/>
                    <w:jc w:val="both"/>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二、</w:t>
                  </w:r>
                  <w:r>
                    <w:rPr>
                      <w:rFonts w:hint="eastAsia" w:ascii="Times New Roman" w:hAnsi="Times New Roman" w:cs="Times New Roman"/>
                      <w:color w:val="auto"/>
                      <w:sz w:val="21"/>
                      <w:szCs w:val="21"/>
                      <w:highlight w:val="none"/>
                      <w:lang w:eastAsia="zh-CN"/>
                    </w:rPr>
                    <w:t>重点任务</w:t>
                  </w:r>
                </w:p>
                <w:p w14:paraId="5FE401BF">
                  <w:pPr>
                    <w:pStyle w:val="56"/>
                    <w:spacing w:line="240" w:lineRule="auto"/>
                    <w:jc w:val="both"/>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（一）加快推动绿色低碳发展</w:t>
                  </w:r>
                </w:p>
                <w:p w14:paraId="133B1BE5">
                  <w:pPr>
                    <w:pStyle w:val="56"/>
                    <w:spacing w:line="240" w:lineRule="auto"/>
                    <w:jc w:val="both"/>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rPr>
                    <w:t>4.推进资源节约高效利用和清洁生产。坚持节约优先推进资源总量管理、科学配置，全面提高资源利用效率，推动利用方式根本转变。全面贯彻落实《抚顺市节约用水条例》提高水资源利用效率。坚持最严格的节约用地制度，推动土地节约集约利用。</w:t>
                  </w:r>
                </w:p>
              </w:tc>
              <w:tc>
                <w:tcPr>
                  <w:tcW w:w="1762" w:type="pct"/>
                  <w:noWrap w:val="0"/>
                  <w:vAlign w:val="center"/>
                </w:tcPr>
                <w:p w14:paraId="1F7593AE">
                  <w:pPr>
                    <w:pStyle w:val="55"/>
                    <w:jc w:val="both"/>
                    <w:rPr>
                      <w:color w:val="auto"/>
                      <w:sz w:val="21"/>
                      <w:szCs w:val="21"/>
                      <w:highlight w:val="none"/>
                    </w:rPr>
                  </w:pPr>
                  <w:r>
                    <w:rPr>
                      <w:color w:val="auto"/>
                      <w:sz w:val="21"/>
                      <w:szCs w:val="21"/>
                      <w:highlight w:val="none"/>
                    </w:rPr>
                    <w:t>本项目</w:t>
                  </w:r>
                  <w:r>
                    <w:rPr>
                      <w:rFonts w:hint="eastAsia" w:ascii="Times New Roman" w:hAnsi="Times New Roman"/>
                      <w:color w:val="auto"/>
                      <w:sz w:val="21"/>
                      <w:szCs w:val="21"/>
                      <w:highlight w:val="none"/>
                    </w:rPr>
                    <w:t>用水仅为</w:t>
                  </w:r>
                  <w:r>
                    <w:rPr>
                      <w:rFonts w:hint="eastAsia" w:ascii="Times New Roman" w:hAnsi="Times New Roman"/>
                      <w:color w:val="auto"/>
                      <w:sz w:val="21"/>
                      <w:szCs w:val="21"/>
                      <w:highlight w:val="none"/>
                      <w:lang w:eastAsia="zh-CN"/>
                    </w:rPr>
                    <w:t>生活用水</w:t>
                  </w:r>
                  <w:r>
                    <w:rPr>
                      <w:rFonts w:ascii="Times New Roman" w:hAnsi="Times New Roman"/>
                      <w:color w:val="auto"/>
                      <w:sz w:val="21"/>
                      <w:szCs w:val="21"/>
                      <w:highlight w:val="none"/>
                    </w:rPr>
                    <w:t>，</w:t>
                  </w:r>
                  <w:r>
                    <w:rPr>
                      <w:rFonts w:hint="eastAsia" w:ascii="Times New Roman" w:hAnsi="Times New Roman"/>
                      <w:color w:val="auto"/>
                      <w:sz w:val="21"/>
                      <w:szCs w:val="21"/>
                      <w:highlight w:val="none"/>
                      <w:lang w:eastAsia="zh-CN"/>
                    </w:rPr>
                    <w:t>企业通过加强对员工环保意识的培训和提升</w:t>
                  </w:r>
                  <w:r>
                    <w:rPr>
                      <w:rFonts w:hint="eastAsia" w:ascii="Times New Roman" w:hAnsi="Times New Roman" w:eastAsia="宋体" w:cs="Times New Roman"/>
                      <w:color w:val="auto"/>
                      <w:kern w:val="2"/>
                      <w:sz w:val="21"/>
                      <w:szCs w:val="21"/>
                      <w:highlight w:val="none"/>
                      <w:lang w:val="en-US" w:eastAsia="zh-CN" w:bidi="ar-SA"/>
                    </w:rPr>
                    <w:t>，</w:t>
                  </w:r>
                  <w:r>
                    <w:rPr>
                      <w:rFonts w:ascii="Times New Roman" w:hAnsi="Times New Roman"/>
                      <w:color w:val="auto"/>
                      <w:sz w:val="21"/>
                      <w:szCs w:val="21"/>
                      <w:highlight w:val="none"/>
                    </w:rPr>
                    <w:t>最大限度减少新鲜水的使用</w:t>
                  </w:r>
                  <w:r>
                    <w:rPr>
                      <w:rFonts w:hint="eastAsia" w:ascii="Times New Roman" w:hAnsi="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eastAsia="zh-CN"/>
                    </w:rPr>
                    <w:t>实现水资源的资源化</w:t>
                  </w:r>
                  <w:r>
                    <w:rPr>
                      <w:color w:val="auto"/>
                      <w:kern w:val="0"/>
                      <w:sz w:val="21"/>
                      <w:szCs w:val="21"/>
                      <w:highlight w:val="none"/>
                    </w:rPr>
                    <w:t>。</w:t>
                  </w:r>
                </w:p>
              </w:tc>
              <w:tc>
                <w:tcPr>
                  <w:tcW w:w="556" w:type="pct"/>
                  <w:noWrap w:val="0"/>
                  <w:vAlign w:val="center"/>
                </w:tcPr>
                <w:p w14:paraId="5CBF8BC9">
                  <w:pPr>
                    <w:pStyle w:val="55"/>
                    <w:jc w:val="center"/>
                    <w:rPr>
                      <w:color w:val="auto"/>
                      <w:sz w:val="21"/>
                      <w:szCs w:val="21"/>
                      <w:highlight w:val="none"/>
                    </w:rPr>
                  </w:pPr>
                  <w:r>
                    <w:rPr>
                      <w:color w:val="auto"/>
                      <w:sz w:val="21"/>
                      <w:szCs w:val="21"/>
                      <w:highlight w:val="none"/>
                    </w:rPr>
                    <w:t>符合</w:t>
                  </w:r>
                </w:p>
              </w:tc>
            </w:tr>
            <w:tr w14:paraId="4E9996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81" w:type="pct"/>
                  <w:gridSpan w:val="2"/>
                  <w:noWrap w:val="0"/>
                  <w:vAlign w:val="center"/>
                </w:tcPr>
                <w:p w14:paraId="72C8C650">
                  <w:pPr>
                    <w:pStyle w:val="56"/>
                    <w:spacing w:line="240" w:lineRule="auto"/>
                    <w:jc w:val="both"/>
                    <w:rPr>
                      <w:rFonts w:ascii="Times New Roman" w:hAnsi="Times New Roman" w:cs="Times New Roman"/>
                      <w:color w:val="auto"/>
                      <w:sz w:val="21"/>
                      <w:szCs w:val="21"/>
                      <w:highlight w:val="none"/>
                      <w:lang w:eastAsia="zh-CN" w:bidi="ar"/>
                    </w:rPr>
                  </w:pPr>
                  <w:r>
                    <w:rPr>
                      <w:rFonts w:hint="eastAsia" w:ascii="Times New Roman" w:hAnsi="Times New Roman" w:cs="Times New Roman"/>
                      <w:color w:val="auto"/>
                      <w:sz w:val="21"/>
                      <w:szCs w:val="21"/>
                      <w:highlight w:val="none"/>
                      <w:lang w:val="en-US" w:eastAsia="zh-CN" w:bidi="ar"/>
                    </w:rPr>
                    <w:t>5.</w:t>
                  </w:r>
                  <w:r>
                    <w:rPr>
                      <w:rFonts w:ascii="Times New Roman" w:hAnsi="Times New Roman" w:cs="Times New Roman"/>
                      <w:color w:val="auto"/>
                      <w:sz w:val="21"/>
                      <w:szCs w:val="21"/>
                      <w:highlight w:val="none"/>
                      <w:lang w:eastAsia="zh-CN" w:bidi="ar"/>
                    </w:rPr>
                    <w:t>加强生态环境分区管控。围绕构建</w:t>
                  </w:r>
                  <w:r>
                    <w:rPr>
                      <w:rFonts w:hint="eastAsia" w:ascii="Times New Roman" w:hAnsi="Times New Roman" w:cs="Times New Roman"/>
                      <w:color w:val="auto"/>
                      <w:sz w:val="21"/>
                      <w:szCs w:val="21"/>
                      <w:highlight w:val="none"/>
                      <w:lang w:eastAsia="zh-CN" w:bidi="ar"/>
                    </w:rPr>
                    <w:t>“</w:t>
                  </w:r>
                  <w:r>
                    <w:rPr>
                      <w:rFonts w:ascii="Times New Roman" w:hAnsi="Times New Roman" w:cs="Times New Roman"/>
                      <w:color w:val="auto"/>
                      <w:sz w:val="21"/>
                      <w:szCs w:val="21"/>
                      <w:highlight w:val="none"/>
                      <w:lang w:eastAsia="zh-CN" w:bidi="ar"/>
                    </w:rPr>
                    <w:t>一圈一带两区</w:t>
                  </w:r>
                  <w:r>
                    <w:rPr>
                      <w:rFonts w:hint="eastAsia" w:ascii="Times New Roman" w:hAnsi="Times New Roman" w:cs="Times New Roman"/>
                      <w:color w:val="auto"/>
                      <w:sz w:val="21"/>
                      <w:szCs w:val="21"/>
                      <w:highlight w:val="none"/>
                      <w:lang w:eastAsia="zh-CN" w:bidi="ar"/>
                    </w:rPr>
                    <w:t>”</w:t>
                  </w:r>
                  <w:r>
                    <w:rPr>
                      <w:rFonts w:ascii="Times New Roman" w:hAnsi="Times New Roman" w:cs="Times New Roman"/>
                      <w:color w:val="auto"/>
                      <w:sz w:val="21"/>
                      <w:szCs w:val="21"/>
                      <w:highlight w:val="none"/>
                      <w:lang w:eastAsia="zh-CN" w:bidi="ar"/>
                    </w:rPr>
                    <w:t>区域发展格局，</w:t>
                  </w:r>
                  <w:r>
                    <w:rPr>
                      <w:rFonts w:hint="eastAsia" w:ascii="Times New Roman" w:hAnsi="Times New Roman" w:cs="Times New Roman"/>
                      <w:color w:val="auto"/>
                      <w:sz w:val="21"/>
                      <w:szCs w:val="21"/>
                      <w:highlight w:val="none"/>
                      <w:lang w:eastAsia="zh-CN" w:bidi="ar"/>
                    </w:rPr>
                    <w:t>衔接</w:t>
                  </w:r>
                  <w:r>
                    <w:rPr>
                      <w:rFonts w:ascii="Times New Roman" w:hAnsi="Times New Roman" w:cs="Times New Roman"/>
                      <w:color w:val="auto"/>
                      <w:sz w:val="21"/>
                      <w:szCs w:val="21"/>
                      <w:highlight w:val="none"/>
                      <w:lang w:eastAsia="zh-CN" w:bidi="ar"/>
                    </w:rPr>
                    <w:t>国土空间规划分区和用途管制要求，推进城市化地区高效集聚发展，促进农产品主产区规模化发展，推动重点生态功能区转型发展，形成主体功能明显、优势互补、高质量发展的国土空间开发保护新格局。加强生态环境分区管控。严格落实</w:t>
                  </w:r>
                  <w:r>
                    <w:rPr>
                      <w:rFonts w:hint="eastAsia" w:ascii="Times New Roman" w:hAnsi="Times New Roman" w:cs="Times New Roman"/>
                      <w:color w:val="auto"/>
                      <w:sz w:val="21"/>
                      <w:szCs w:val="21"/>
                      <w:highlight w:val="none"/>
                      <w:lang w:eastAsia="zh-CN" w:bidi="ar"/>
                    </w:rPr>
                    <w:t>“</w:t>
                  </w:r>
                  <w:r>
                    <w:rPr>
                      <w:rFonts w:ascii="Times New Roman" w:hAnsi="Times New Roman" w:cs="Times New Roman"/>
                      <w:color w:val="auto"/>
                      <w:sz w:val="21"/>
                      <w:szCs w:val="21"/>
                      <w:highlight w:val="none"/>
                      <w:lang w:eastAsia="zh-CN" w:bidi="ar"/>
                    </w:rPr>
                    <w:t>三线一单</w:t>
                  </w:r>
                  <w:r>
                    <w:rPr>
                      <w:rFonts w:hint="eastAsia" w:ascii="Times New Roman" w:hAnsi="Times New Roman" w:cs="Times New Roman"/>
                      <w:color w:val="auto"/>
                      <w:sz w:val="21"/>
                      <w:szCs w:val="21"/>
                      <w:highlight w:val="none"/>
                      <w:lang w:eastAsia="zh-CN" w:bidi="ar"/>
                    </w:rPr>
                    <w:t>”</w:t>
                  </w:r>
                  <w:r>
                    <w:rPr>
                      <w:rFonts w:ascii="Times New Roman" w:hAnsi="Times New Roman" w:cs="Times New Roman"/>
                      <w:color w:val="auto"/>
                      <w:sz w:val="21"/>
                      <w:szCs w:val="21"/>
                      <w:highlight w:val="none"/>
                      <w:lang w:eastAsia="zh-CN" w:bidi="ar"/>
                    </w:rPr>
                    <w:t>生态环境分区管控要求，优化区域生产力布局，开展常态化</w:t>
                  </w:r>
                  <w:r>
                    <w:rPr>
                      <w:rFonts w:hint="eastAsia" w:ascii="Times New Roman" w:hAnsi="Times New Roman" w:cs="Times New Roman"/>
                      <w:color w:val="auto"/>
                      <w:sz w:val="21"/>
                      <w:szCs w:val="21"/>
                      <w:highlight w:val="none"/>
                      <w:lang w:eastAsia="zh-CN" w:bidi="ar"/>
                    </w:rPr>
                    <w:t>“</w:t>
                  </w:r>
                  <w:r>
                    <w:rPr>
                      <w:rFonts w:ascii="Times New Roman" w:hAnsi="Times New Roman" w:cs="Times New Roman"/>
                      <w:color w:val="auto"/>
                      <w:sz w:val="21"/>
                      <w:szCs w:val="21"/>
                      <w:highlight w:val="none"/>
                      <w:lang w:eastAsia="zh-CN" w:bidi="ar"/>
                    </w:rPr>
                    <w:t>三线一单</w:t>
                  </w:r>
                  <w:r>
                    <w:rPr>
                      <w:rFonts w:hint="eastAsia" w:ascii="Times New Roman" w:hAnsi="Times New Roman" w:cs="Times New Roman"/>
                      <w:color w:val="auto"/>
                      <w:sz w:val="21"/>
                      <w:szCs w:val="21"/>
                      <w:highlight w:val="none"/>
                      <w:lang w:eastAsia="zh-CN" w:bidi="ar"/>
                    </w:rPr>
                    <w:t>”</w:t>
                  </w:r>
                  <w:r>
                    <w:rPr>
                      <w:rFonts w:ascii="Times New Roman" w:hAnsi="Times New Roman" w:cs="Times New Roman"/>
                      <w:color w:val="auto"/>
                      <w:sz w:val="21"/>
                      <w:szCs w:val="21"/>
                      <w:highlight w:val="none"/>
                      <w:lang w:eastAsia="zh-CN" w:bidi="ar"/>
                    </w:rPr>
                    <w:t>业务查询服务。严格规划环评审查和项目环评准入。</w:t>
                  </w:r>
                </w:p>
              </w:tc>
              <w:tc>
                <w:tcPr>
                  <w:tcW w:w="1762" w:type="pct"/>
                  <w:noWrap w:val="0"/>
                  <w:vAlign w:val="center"/>
                </w:tcPr>
                <w:p w14:paraId="6949ED81">
                  <w:pPr>
                    <w:pStyle w:val="55"/>
                    <w:jc w:val="both"/>
                    <w:rPr>
                      <w:color w:val="auto"/>
                      <w:kern w:val="0"/>
                      <w:sz w:val="21"/>
                      <w:szCs w:val="21"/>
                      <w:highlight w:val="none"/>
                      <w:lang w:bidi="ar"/>
                    </w:rPr>
                  </w:pPr>
                  <w:r>
                    <w:rPr>
                      <w:rFonts w:hint="eastAsia" w:ascii="Times New Roman" w:hAnsi="Times New Roman" w:eastAsia="宋体" w:cs="Times New Roman"/>
                      <w:color w:val="auto"/>
                      <w:kern w:val="0"/>
                      <w:sz w:val="21"/>
                      <w:szCs w:val="21"/>
                      <w:highlight w:val="none"/>
                      <w:lang w:val="en-US" w:eastAsia="zh-CN" w:bidi="ar-SA"/>
                    </w:rPr>
                    <w:t>本项目所在环境管控单元为抚顺县产业园区（ZH21042120003），</w:t>
                  </w:r>
                  <w:r>
                    <w:rPr>
                      <w:color w:val="auto"/>
                      <w:kern w:val="0"/>
                      <w:sz w:val="21"/>
                      <w:szCs w:val="21"/>
                      <w:highlight w:val="none"/>
                      <w:lang w:bidi="ar"/>
                    </w:rPr>
                    <w:t>符合</w:t>
                  </w:r>
                  <w:r>
                    <w:rPr>
                      <w:rFonts w:hint="eastAsia"/>
                      <w:color w:val="auto"/>
                      <w:kern w:val="0"/>
                      <w:sz w:val="21"/>
                      <w:szCs w:val="21"/>
                      <w:highlight w:val="none"/>
                      <w:lang w:eastAsia="zh-CN" w:bidi="ar"/>
                    </w:rPr>
                    <w:t>抚顺县</w:t>
                  </w:r>
                  <w:r>
                    <w:rPr>
                      <w:color w:val="auto"/>
                      <w:kern w:val="0"/>
                      <w:sz w:val="21"/>
                      <w:szCs w:val="21"/>
                      <w:highlight w:val="none"/>
                      <w:lang w:bidi="ar"/>
                    </w:rPr>
                    <w:t>环境管控单元准入清单。根据《产业结构调整指导目录</w:t>
                  </w:r>
                  <w:r>
                    <w:rPr>
                      <w:color w:val="auto"/>
                      <w:sz w:val="21"/>
                      <w:szCs w:val="21"/>
                      <w:highlight w:val="none"/>
                    </w:rPr>
                    <w:t>（2024年本）</w:t>
                  </w:r>
                  <w:r>
                    <w:rPr>
                      <w:color w:val="auto"/>
                      <w:kern w:val="0"/>
                      <w:sz w:val="21"/>
                      <w:szCs w:val="21"/>
                      <w:highlight w:val="none"/>
                      <w:lang w:bidi="ar"/>
                    </w:rPr>
                    <w:t>》，本项目属于</w:t>
                  </w:r>
                  <w:r>
                    <w:rPr>
                      <w:rFonts w:hint="eastAsia"/>
                      <w:color w:val="auto"/>
                      <w:kern w:val="0"/>
                      <w:sz w:val="21"/>
                      <w:szCs w:val="21"/>
                      <w:highlight w:val="none"/>
                      <w:lang w:bidi="ar"/>
                    </w:rPr>
                    <w:t>允许</w:t>
                  </w:r>
                  <w:r>
                    <w:rPr>
                      <w:color w:val="auto"/>
                      <w:kern w:val="0"/>
                      <w:sz w:val="21"/>
                      <w:szCs w:val="21"/>
                      <w:highlight w:val="none"/>
                      <w:lang w:bidi="ar"/>
                    </w:rPr>
                    <w:t>类项目</w:t>
                  </w:r>
                  <w:r>
                    <w:rPr>
                      <w:rFonts w:hint="eastAsia"/>
                      <w:color w:val="auto"/>
                      <w:kern w:val="0"/>
                      <w:sz w:val="21"/>
                      <w:szCs w:val="21"/>
                      <w:highlight w:val="none"/>
                      <w:lang w:eastAsia="zh-CN" w:bidi="ar"/>
                    </w:rPr>
                    <w:t>，</w:t>
                  </w:r>
                  <w:r>
                    <w:rPr>
                      <w:color w:val="auto"/>
                      <w:kern w:val="0"/>
                      <w:sz w:val="21"/>
                      <w:szCs w:val="21"/>
                      <w:highlight w:val="none"/>
                      <w:lang w:bidi="ar"/>
                    </w:rPr>
                    <w:t>符合国家产业政策</w:t>
                  </w:r>
                  <w:r>
                    <w:rPr>
                      <w:rFonts w:hint="eastAsia"/>
                      <w:color w:val="auto"/>
                      <w:kern w:val="0"/>
                      <w:sz w:val="21"/>
                      <w:szCs w:val="21"/>
                      <w:highlight w:val="none"/>
                      <w:lang w:eastAsia="zh-CN" w:bidi="ar"/>
                    </w:rPr>
                    <w:t>。</w:t>
                  </w:r>
                  <w:r>
                    <w:rPr>
                      <w:color w:val="auto"/>
                      <w:kern w:val="0"/>
                      <w:sz w:val="21"/>
                      <w:szCs w:val="21"/>
                      <w:highlight w:val="none"/>
                      <w:lang w:bidi="ar"/>
                    </w:rPr>
                    <w:t>各污染物均能达标排放。</w:t>
                  </w:r>
                </w:p>
              </w:tc>
              <w:tc>
                <w:tcPr>
                  <w:tcW w:w="556" w:type="pct"/>
                  <w:noWrap w:val="0"/>
                  <w:vAlign w:val="center"/>
                </w:tcPr>
                <w:p w14:paraId="1C63536F">
                  <w:pPr>
                    <w:pStyle w:val="55"/>
                    <w:jc w:val="center"/>
                    <w:rPr>
                      <w:color w:val="auto"/>
                      <w:sz w:val="21"/>
                      <w:szCs w:val="21"/>
                      <w:highlight w:val="none"/>
                    </w:rPr>
                  </w:pPr>
                  <w:r>
                    <w:rPr>
                      <w:color w:val="auto"/>
                      <w:sz w:val="21"/>
                      <w:szCs w:val="21"/>
                      <w:highlight w:val="none"/>
                    </w:rPr>
                    <w:t>符合</w:t>
                  </w:r>
                </w:p>
              </w:tc>
            </w:tr>
            <w:tr w14:paraId="27E66C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40" w:hRule="atLeast"/>
                <w:jc w:val="center"/>
              </w:trPr>
              <w:tc>
                <w:tcPr>
                  <w:tcW w:w="2681" w:type="pct"/>
                  <w:gridSpan w:val="2"/>
                  <w:noWrap w:val="0"/>
                  <w:vAlign w:val="center"/>
                </w:tcPr>
                <w:p w14:paraId="61F0E24C">
                  <w:pPr>
                    <w:pStyle w:val="56"/>
                    <w:numPr>
                      <w:ilvl w:val="0"/>
                      <w:numId w:val="0"/>
                    </w:numPr>
                    <w:spacing w:line="240" w:lineRule="auto"/>
                    <w:ind w:leftChars="0"/>
                    <w:jc w:val="both"/>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（二）深入打好蓝天保卫战</w:t>
                  </w:r>
                </w:p>
                <w:p w14:paraId="680E6DA7">
                  <w:pPr>
                    <w:pStyle w:val="56"/>
                    <w:spacing w:line="240" w:lineRule="auto"/>
                    <w:jc w:val="both"/>
                    <w:rPr>
                      <w:rFonts w:hint="eastAsia" w:ascii="Times New Roman" w:hAnsi="Times New Roman" w:cs="Times New Roman"/>
                      <w:color w:val="auto"/>
                      <w:sz w:val="21"/>
                      <w:szCs w:val="21"/>
                      <w:highlight w:val="none"/>
                      <w:lang w:val="en-US" w:eastAsia="zh-CN" w:bidi="ar"/>
                    </w:rPr>
                  </w:pPr>
                  <w:r>
                    <w:rPr>
                      <w:rFonts w:hint="eastAsia" w:ascii="Times New Roman" w:hAnsi="Times New Roman" w:cs="Times New Roman"/>
                      <w:color w:val="auto"/>
                      <w:sz w:val="21"/>
                      <w:szCs w:val="21"/>
                      <w:highlight w:val="none"/>
                      <w:lang w:val="en-US" w:eastAsia="zh-CN"/>
                    </w:rPr>
                    <w:t>1.实施大气减污降碳协同增效行动。推动落后产能退出竞争，加快推进钢铁企业超低排放改造。实施清洁取暖攻坚行动。积极争取上级资金，加大城中村、城乡结合部散煤替代治理力度。利用现有火电及大型供热企业资源，加快取缔管网覆盖范围内燃煤供暖锅炉。</w:t>
                  </w:r>
                </w:p>
              </w:tc>
              <w:tc>
                <w:tcPr>
                  <w:tcW w:w="1762" w:type="pct"/>
                  <w:noWrap w:val="0"/>
                  <w:vAlign w:val="center"/>
                </w:tcPr>
                <w:p w14:paraId="1C9815E4">
                  <w:pPr>
                    <w:pStyle w:val="55"/>
                    <w:jc w:val="both"/>
                    <w:rPr>
                      <w:color w:val="auto"/>
                      <w:kern w:val="0"/>
                      <w:sz w:val="21"/>
                      <w:szCs w:val="21"/>
                      <w:highlight w:val="none"/>
                      <w:lang w:bidi="ar"/>
                    </w:rPr>
                  </w:pPr>
                  <w:r>
                    <w:rPr>
                      <w:rFonts w:hint="eastAsia"/>
                      <w:color w:val="auto"/>
                      <w:sz w:val="21"/>
                      <w:szCs w:val="21"/>
                      <w:highlight w:val="none"/>
                    </w:rPr>
                    <w:t>《产业结构调整指导目录（2024年本）》，本项目属于允许类项目</w:t>
                  </w:r>
                  <w:r>
                    <w:rPr>
                      <w:rFonts w:hint="eastAsia"/>
                      <w:color w:val="auto"/>
                      <w:sz w:val="21"/>
                      <w:szCs w:val="21"/>
                      <w:highlight w:val="none"/>
                      <w:lang w:eastAsia="zh-CN"/>
                    </w:rPr>
                    <w:t>，</w:t>
                  </w:r>
                  <w:r>
                    <w:rPr>
                      <w:color w:val="auto"/>
                      <w:kern w:val="0"/>
                      <w:sz w:val="21"/>
                      <w:szCs w:val="21"/>
                      <w:highlight w:val="none"/>
                      <w:lang w:bidi="ar"/>
                    </w:rPr>
                    <w:t>符合国家产业政策</w:t>
                  </w:r>
                  <w:r>
                    <w:rPr>
                      <w:color w:val="auto"/>
                      <w:sz w:val="21"/>
                      <w:szCs w:val="21"/>
                      <w:highlight w:val="none"/>
                    </w:rPr>
                    <w:t>。</w:t>
                  </w:r>
                  <w:r>
                    <w:rPr>
                      <w:rFonts w:hint="eastAsia"/>
                      <w:color w:val="auto"/>
                      <w:sz w:val="21"/>
                      <w:szCs w:val="21"/>
                      <w:highlight w:val="none"/>
                    </w:rPr>
                    <w:t>项目</w:t>
                  </w:r>
                  <w:r>
                    <w:rPr>
                      <w:rFonts w:hint="eastAsia"/>
                      <w:color w:val="auto"/>
                      <w:sz w:val="21"/>
                      <w:szCs w:val="21"/>
                      <w:highlight w:val="none"/>
                      <w:lang w:eastAsia="zh-CN"/>
                    </w:rPr>
                    <w:t>不涉及锅炉，无燃料使用，供暖采用空调</w:t>
                  </w:r>
                  <w:r>
                    <w:rPr>
                      <w:rFonts w:hint="eastAsia"/>
                      <w:color w:val="auto"/>
                      <w:sz w:val="21"/>
                      <w:szCs w:val="21"/>
                      <w:highlight w:val="none"/>
                    </w:rPr>
                    <w:t>。</w:t>
                  </w:r>
                </w:p>
              </w:tc>
              <w:tc>
                <w:tcPr>
                  <w:tcW w:w="556" w:type="pct"/>
                  <w:noWrap w:val="0"/>
                  <w:vAlign w:val="center"/>
                </w:tcPr>
                <w:p w14:paraId="011D0770">
                  <w:pPr>
                    <w:pStyle w:val="55"/>
                    <w:jc w:val="center"/>
                    <w:rPr>
                      <w:color w:val="auto"/>
                      <w:sz w:val="21"/>
                      <w:szCs w:val="21"/>
                      <w:highlight w:val="none"/>
                    </w:rPr>
                  </w:pPr>
                  <w:r>
                    <w:rPr>
                      <w:color w:val="auto"/>
                      <w:sz w:val="21"/>
                      <w:szCs w:val="21"/>
                      <w:highlight w:val="none"/>
                    </w:rPr>
                    <w:t>符合</w:t>
                  </w:r>
                </w:p>
              </w:tc>
            </w:tr>
            <w:tr w14:paraId="44E664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4"/>
                  <w:noWrap w:val="0"/>
                  <w:vAlign w:val="center"/>
                </w:tcPr>
                <w:p w14:paraId="0137E859">
                  <w:pPr>
                    <w:pStyle w:val="55"/>
                    <w:jc w:val="center"/>
                    <w:rPr>
                      <w:color w:val="auto"/>
                      <w:sz w:val="21"/>
                      <w:szCs w:val="21"/>
                      <w:highlight w:val="none"/>
                    </w:rPr>
                  </w:pPr>
                  <w:r>
                    <w:rPr>
                      <w:b/>
                      <w:bCs/>
                      <w:color w:val="auto"/>
                      <w:kern w:val="0"/>
                      <w:sz w:val="21"/>
                      <w:szCs w:val="21"/>
                      <w:highlight w:val="none"/>
                      <w:lang w:bidi="ar"/>
                    </w:rPr>
                    <w:t>《抚顺市人民政府办公室关于印发&lt;抚顺市生态环境保护</w:t>
                  </w:r>
                  <w:r>
                    <w:rPr>
                      <w:rFonts w:hint="eastAsia"/>
                      <w:b/>
                      <w:bCs/>
                      <w:color w:val="auto"/>
                      <w:kern w:val="0"/>
                      <w:sz w:val="21"/>
                      <w:szCs w:val="21"/>
                      <w:highlight w:val="none"/>
                      <w:lang w:eastAsia="zh-CN" w:bidi="ar"/>
                    </w:rPr>
                    <w:t>“</w:t>
                  </w:r>
                  <w:r>
                    <w:rPr>
                      <w:b/>
                      <w:bCs/>
                      <w:color w:val="auto"/>
                      <w:kern w:val="0"/>
                      <w:sz w:val="21"/>
                      <w:szCs w:val="21"/>
                      <w:highlight w:val="none"/>
                      <w:lang w:bidi="ar"/>
                    </w:rPr>
                    <w:t>十四五</w:t>
                  </w:r>
                  <w:r>
                    <w:rPr>
                      <w:rFonts w:hint="eastAsia"/>
                      <w:b/>
                      <w:bCs/>
                      <w:color w:val="auto"/>
                      <w:kern w:val="0"/>
                      <w:sz w:val="21"/>
                      <w:szCs w:val="21"/>
                      <w:highlight w:val="none"/>
                      <w:lang w:eastAsia="zh-CN" w:bidi="ar"/>
                    </w:rPr>
                    <w:t>”</w:t>
                  </w:r>
                  <w:r>
                    <w:rPr>
                      <w:b/>
                      <w:bCs/>
                      <w:color w:val="auto"/>
                      <w:kern w:val="0"/>
                      <w:sz w:val="21"/>
                      <w:szCs w:val="21"/>
                      <w:highlight w:val="none"/>
                      <w:lang w:bidi="ar"/>
                    </w:rPr>
                    <w:t>规划的通知&gt;》（抚政办发〔2023〕1号）</w:t>
                  </w:r>
                </w:p>
              </w:tc>
            </w:tr>
            <w:tr w14:paraId="7FAFBA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81" w:type="pct"/>
                  <w:gridSpan w:val="2"/>
                  <w:noWrap w:val="0"/>
                  <w:vAlign w:val="center"/>
                </w:tcPr>
                <w:p w14:paraId="139FD05E">
                  <w:pPr>
                    <w:pStyle w:val="55"/>
                    <w:jc w:val="both"/>
                    <w:rPr>
                      <w:color w:val="auto"/>
                      <w:sz w:val="21"/>
                      <w:szCs w:val="21"/>
                      <w:highlight w:val="none"/>
                    </w:rPr>
                  </w:pPr>
                  <w:r>
                    <w:rPr>
                      <w:rFonts w:hint="eastAsia" w:ascii="Times New Roman" w:hAnsi="Times New Roman" w:eastAsia="宋体" w:cs="Times New Roman"/>
                      <w:color w:val="auto"/>
                      <w:sz w:val="21"/>
                      <w:szCs w:val="21"/>
                      <w:highlight w:val="none"/>
                      <w:lang w:val="zh-TW" w:eastAsia="zh-CN"/>
                    </w:rPr>
                    <w:t>推进挥发性有机物（VOCs）综合整治。以石化、化工、工业涂装、包装印刷和油品储运销五大</w:t>
                  </w:r>
                  <w:r>
                    <w:rPr>
                      <w:rFonts w:hint="eastAsia" w:ascii="Times New Roman" w:hAnsi="Times New Roman" w:eastAsia="宋体" w:cs="Times New Roman"/>
                      <w:color w:val="auto"/>
                      <w:sz w:val="21"/>
                      <w:szCs w:val="21"/>
                      <w:highlight w:val="none"/>
                      <w:lang w:val="en-US" w:eastAsia="zh-CN"/>
                    </w:rPr>
                    <w:t>行业为</w:t>
                  </w:r>
                  <w:r>
                    <w:rPr>
                      <w:rFonts w:hint="eastAsia" w:ascii="Times New Roman" w:hAnsi="Times New Roman" w:eastAsia="宋体" w:cs="Times New Roman"/>
                      <w:color w:val="auto"/>
                      <w:sz w:val="21"/>
                      <w:szCs w:val="21"/>
                      <w:highlight w:val="none"/>
                      <w:lang w:val="zh-TW" w:eastAsia="zh-CN"/>
                    </w:rPr>
                    <w:t>重点，</w:t>
                  </w:r>
                  <w:r>
                    <w:rPr>
                      <w:rFonts w:hint="eastAsia" w:ascii="Times New Roman" w:hAnsi="Times New Roman" w:eastAsia="宋体" w:cs="Times New Roman"/>
                      <w:color w:val="auto"/>
                      <w:sz w:val="21"/>
                      <w:szCs w:val="21"/>
                      <w:highlight w:val="none"/>
                      <w:lang w:val="zh-TW" w:eastAsia="zh-TW"/>
                    </w:rPr>
                    <w:t>扩大整治范围，</w:t>
                  </w:r>
                  <w:r>
                    <w:rPr>
                      <w:rFonts w:hint="eastAsia" w:ascii="Times New Roman" w:hAnsi="Times New Roman" w:eastAsia="宋体" w:cs="Times New Roman"/>
                      <w:color w:val="auto"/>
                      <w:sz w:val="21"/>
                      <w:szCs w:val="21"/>
                      <w:highlight w:val="none"/>
                      <w:lang w:val="zh-TW" w:eastAsia="zh-CN"/>
                    </w:rPr>
                    <w:t>深入开展VOCs综合整治，有效</w:t>
                  </w:r>
                  <w:r>
                    <w:rPr>
                      <w:rFonts w:hint="eastAsia" w:ascii="Times New Roman" w:hAnsi="Times New Roman" w:eastAsia="宋体" w:cs="Times New Roman"/>
                      <w:color w:val="auto"/>
                      <w:sz w:val="21"/>
                      <w:szCs w:val="21"/>
                      <w:highlight w:val="none"/>
                      <w:lang w:val="zh-TW" w:eastAsia="zh-TW"/>
                    </w:rPr>
                    <w:t>减少臭氧排放</w:t>
                  </w:r>
                  <w:r>
                    <w:rPr>
                      <w:rFonts w:hint="eastAsia" w:ascii="Times New Roman" w:hAnsi="Times New Roman" w:eastAsia="宋体" w:cs="Times New Roman"/>
                      <w:color w:val="auto"/>
                      <w:sz w:val="21"/>
                      <w:szCs w:val="21"/>
                      <w:highlight w:val="none"/>
                      <w:lang w:val="zh-TW" w:eastAsia="zh-CN"/>
                    </w:rPr>
                    <w:t>。开展全市汽修行业综合整治，大力提升VOCs排放收集率、去除率和治理设施运行率。</w:t>
                  </w:r>
                </w:p>
              </w:tc>
              <w:tc>
                <w:tcPr>
                  <w:tcW w:w="1762" w:type="pct"/>
                  <w:noWrap w:val="0"/>
                  <w:vAlign w:val="center"/>
                </w:tcPr>
                <w:p w14:paraId="7073910A">
                  <w:pPr>
                    <w:pStyle w:val="55"/>
                    <w:jc w:val="both"/>
                    <w:rPr>
                      <w:rFonts w:hint="eastAsia" w:eastAsia="宋体"/>
                      <w:color w:val="auto"/>
                      <w:sz w:val="21"/>
                      <w:szCs w:val="21"/>
                      <w:highlight w:val="none"/>
                      <w:lang w:eastAsia="zh-CN"/>
                    </w:rPr>
                  </w:pPr>
                  <w:r>
                    <w:rPr>
                      <w:color w:val="auto"/>
                      <w:kern w:val="0"/>
                      <w:sz w:val="21"/>
                      <w:szCs w:val="21"/>
                      <w:highlight w:val="none"/>
                      <w:lang w:bidi="ar"/>
                    </w:rPr>
                    <w:t>本项目为</w:t>
                  </w:r>
                  <w:r>
                    <w:rPr>
                      <w:rFonts w:hint="eastAsia"/>
                      <w:color w:val="auto"/>
                      <w:kern w:val="0"/>
                      <w:sz w:val="21"/>
                      <w:szCs w:val="21"/>
                      <w:highlight w:val="none"/>
                      <w:lang w:eastAsia="zh-CN" w:bidi="ar"/>
                    </w:rPr>
                    <w:t>木地板制造</w:t>
                  </w:r>
                  <w:r>
                    <w:rPr>
                      <w:color w:val="auto"/>
                      <w:kern w:val="0"/>
                      <w:sz w:val="21"/>
                      <w:szCs w:val="21"/>
                      <w:highlight w:val="none"/>
                      <w:lang w:bidi="ar"/>
                    </w:rPr>
                    <w:t>项目，</w:t>
                  </w:r>
                  <w:r>
                    <w:rPr>
                      <w:rFonts w:hint="eastAsia"/>
                      <w:color w:val="auto"/>
                      <w:kern w:val="0"/>
                      <w:sz w:val="21"/>
                      <w:szCs w:val="21"/>
                      <w:highlight w:val="none"/>
                      <w:lang w:eastAsia="zh-CN" w:bidi="ar"/>
                    </w:rPr>
                    <w:t>对</w:t>
                  </w:r>
                  <w:r>
                    <w:rPr>
                      <w:rFonts w:hint="eastAsia" w:ascii="Times New Roman" w:hAnsi="Times New Roman" w:eastAsia="宋体" w:cs="Times New Roman"/>
                      <w:color w:val="auto"/>
                      <w:kern w:val="0"/>
                      <w:sz w:val="21"/>
                      <w:szCs w:val="21"/>
                      <w:highlight w:val="none"/>
                      <w:lang w:val="en-US" w:eastAsia="zh-CN" w:bidi="ar"/>
                    </w:rPr>
                    <w:t>辊漆</w:t>
                  </w:r>
                  <w:r>
                    <w:rPr>
                      <w:rFonts w:hint="eastAsia" w:ascii="Times New Roman" w:hAnsi="Times New Roman" w:eastAsia="宋体" w:cs="Times New Roman"/>
                      <w:color w:val="auto"/>
                      <w:kern w:val="0"/>
                      <w:sz w:val="21"/>
                      <w:szCs w:val="21"/>
                      <w:highlight w:val="none"/>
                      <w:lang w:val="en-US" w:eastAsia="zh-CN" w:bidi="ar"/>
                    </w:rPr>
                    <w:t>、</w:t>
                  </w:r>
                  <w:r>
                    <w:rPr>
                      <w:rFonts w:hint="eastAsia" w:ascii="Times New Roman" w:hAnsi="Times New Roman" w:eastAsia="宋体" w:cs="Times New Roman"/>
                      <w:color w:val="auto"/>
                      <w:sz w:val="21"/>
                      <w:szCs w:val="21"/>
                      <w:highlight w:val="none"/>
                      <w:lang w:val="en-US" w:eastAsia="zh-CN"/>
                    </w:rPr>
                    <w:t>紫外光固化</w:t>
                  </w:r>
                  <w:r>
                    <w:rPr>
                      <w:rFonts w:hint="eastAsia" w:ascii="Times New Roman" w:hAnsi="Times New Roman" w:eastAsia="宋体" w:cs="Times New Roman"/>
                      <w:color w:val="auto"/>
                      <w:kern w:val="0"/>
                      <w:sz w:val="21"/>
                      <w:szCs w:val="21"/>
                      <w:highlight w:val="none"/>
                      <w:lang w:val="en-US" w:eastAsia="zh-CN" w:bidi="ar"/>
                    </w:rPr>
                    <w:t>工段产生的挥发性有机物进行收集，再经</w:t>
                  </w:r>
                  <w:r>
                    <w:rPr>
                      <w:rFonts w:hint="eastAsia" w:ascii="Times New Roman" w:hAnsi="Times New Roman" w:eastAsia="宋体" w:cs="Times New Roman"/>
                      <w:color w:val="auto"/>
                      <w:sz w:val="21"/>
                      <w:szCs w:val="21"/>
                      <w:highlight w:val="none"/>
                      <w:lang w:eastAsia="zh-CN"/>
                    </w:rPr>
                    <w:t>带有自动控制系统的</w:t>
                  </w:r>
                  <w:r>
                    <w:rPr>
                      <w:rFonts w:hint="eastAsia"/>
                      <w:color w:val="auto"/>
                      <w:kern w:val="0"/>
                      <w:sz w:val="21"/>
                      <w:szCs w:val="21"/>
                      <w:highlight w:val="none"/>
                    </w:rPr>
                    <w:t>二级活性炭吸附装置处理后</w:t>
                  </w:r>
                  <w:r>
                    <w:rPr>
                      <w:rFonts w:hint="eastAsia"/>
                      <w:color w:val="auto"/>
                      <w:kern w:val="0"/>
                      <w:sz w:val="21"/>
                      <w:szCs w:val="21"/>
                      <w:highlight w:val="none"/>
                      <w:lang w:eastAsia="zh-CN"/>
                    </w:rPr>
                    <w:t>通过</w:t>
                  </w:r>
                  <w:r>
                    <w:rPr>
                      <w:rFonts w:hint="eastAsia"/>
                      <w:color w:val="auto"/>
                      <w:kern w:val="0"/>
                      <w:sz w:val="21"/>
                      <w:szCs w:val="21"/>
                      <w:highlight w:val="none"/>
                    </w:rPr>
                    <w:t>一</w:t>
                  </w:r>
                  <w:r>
                    <w:rPr>
                      <w:rFonts w:hint="default" w:ascii="Times New Roman" w:hAnsi="Times New Roman" w:cs="Times New Roman"/>
                      <w:color w:val="auto"/>
                      <w:kern w:val="0"/>
                      <w:sz w:val="21"/>
                      <w:szCs w:val="21"/>
                      <w:highlight w:val="none"/>
                    </w:rPr>
                    <w:t>套15m高</w:t>
                  </w:r>
                  <w:r>
                    <w:rPr>
                      <w:rFonts w:hint="eastAsia"/>
                      <w:color w:val="auto"/>
                      <w:kern w:val="0"/>
                      <w:sz w:val="21"/>
                      <w:szCs w:val="21"/>
                      <w:highlight w:val="none"/>
                    </w:rPr>
                    <w:t>排气筒</w:t>
                  </w:r>
                  <w:r>
                    <w:rPr>
                      <w:rFonts w:hint="eastAsia"/>
                      <w:color w:val="auto"/>
                      <w:kern w:val="0"/>
                      <w:sz w:val="21"/>
                      <w:szCs w:val="21"/>
                      <w:highlight w:val="none"/>
                      <w:lang w:eastAsia="zh-CN"/>
                    </w:rPr>
                    <w:t>排放</w:t>
                  </w:r>
                  <w:r>
                    <w:rPr>
                      <w:rFonts w:hint="eastAsia" w:ascii="Times New Roman" w:hAnsi="Times New Roman" w:eastAsia="宋体" w:cs="Times New Roman"/>
                      <w:color w:val="auto"/>
                      <w:spacing w:val="-4"/>
                      <w:sz w:val="21"/>
                      <w:szCs w:val="21"/>
                      <w:highlight w:val="none"/>
                      <w:lang w:eastAsia="zh-CN"/>
                    </w:rPr>
                    <w:t>。</w:t>
                  </w:r>
                </w:p>
              </w:tc>
              <w:tc>
                <w:tcPr>
                  <w:tcW w:w="556" w:type="pct"/>
                  <w:noWrap w:val="0"/>
                  <w:vAlign w:val="center"/>
                </w:tcPr>
                <w:p w14:paraId="6F5F8C91">
                  <w:pPr>
                    <w:pStyle w:val="55"/>
                    <w:jc w:val="center"/>
                    <w:rPr>
                      <w:color w:val="auto"/>
                      <w:sz w:val="21"/>
                      <w:szCs w:val="21"/>
                      <w:highlight w:val="none"/>
                    </w:rPr>
                  </w:pPr>
                  <w:r>
                    <w:rPr>
                      <w:color w:val="auto"/>
                      <w:sz w:val="21"/>
                      <w:szCs w:val="21"/>
                      <w:highlight w:val="none"/>
                    </w:rPr>
                    <w:t>符合</w:t>
                  </w:r>
                </w:p>
              </w:tc>
            </w:tr>
            <w:tr w14:paraId="69BBE2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4"/>
                  <w:noWrap w:val="0"/>
                  <w:vAlign w:val="center"/>
                </w:tcPr>
                <w:p w14:paraId="7A9425E6">
                  <w:pPr>
                    <w:pStyle w:val="55"/>
                    <w:jc w:val="center"/>
                    <w:rPr>
                      <w:color w:val="auto"/>
                      <w:sz w:val="21"/>
                      <w:szCs w:val="21"/>
                      <w:highlight w:val="none"/>
                    </w:rPr>
                  </w:pPr>
                  <w:r>
                    <w:rPr>
                      <w:rFonts w:ascii="Times New Roman" w:hAnsi="Times New Roman" w:eastAsia="宋体" w:cs="Times New Roman"/>
                      <w:b/>
                      <w:bCs/>
                      <w:color w:val="auto"/>
                      <w:kern w:val="0"/>
                      <w:sz w:val="21"/>
                      <w:szCs w:val="21"/>
                      <w:highlight w:val="none"/>
                      <w:lang w:eastAsia="zh-CN" w:bidi="ar"/>
                    </w:rPr>
                    <w:t>《关于印发抚顺市地下水污染防治重点区划分的通知》（抚环发</w:t>
                  </w:r>
                  <w:r>
                    <w:rPr>
                      <w:b/>
                      <w:bCs/>
                      <w:color w:val="auto"/>
                      <w:kern w:val="0"/>
                      <w:sz w:val="21"/>
                      <w:szCs w:val="21"/>
                      <w:highlight w:val="none"/>
                      <w:lang w:bidi="ar"/>
                    </w:rPr>
                    <w:t>〔</w:t>
                  </w:r>
                  <w:r>
                    <w:rPr>
                      <w:rFonts w:ascii="Times New Roman" w:hAnsi="Times New Roman" w:eastAsia="宋体" w:cs="Times New Roman"/>
                      <w:b/>
                      <w:bCs/>
                      <w:color w:val="auto"/>
                      <w:kern w:val="0"/>
                      <w:sz w:val="21"/>
                      <w:szCs w:val="21"/>
                      <w:highlight w:val="none"/>
                      <w:lang w:eastAsia="zh-CN" w:bidi="ar"/>
                    </w:rPr>
                    <w:t>2023</w:t>
                  </w:r>
                  <w:r>
                    <w:rPr>
                      <w:b/>
                      <w:bCs/>
                      <w:color w:val="auto"/>
                      <w:kern w:val="0"/>
                      <w:sz w:val="21"/>
                      <w:szCs w:val="21"/>
                      <w:highlight w:val="none"/>
                      <w:lang w:bidi="ar"/>
                    </w:rPr>
                    <w:t>〕</w:t>
                  </w:r>
                  <w:r>
                    <w:rPr>
                      <w:rFonts w:ascii="Times New Roman" w:hAnsi="Times New Roman" w:eastAsia="宋体" w:cs="Times New Roman"/>
                      <w:b/>
                      <w:bCs/>
                      <w:color w:val="auto"/>
                      <w:kern w:val="0"/>
                      <w:sz w:val="21"/>
                      <w:szCs w:val="21"/>
                      <w:highlight w:val="none"/>
                      <w:lang w:eastAsia="zh-CN" w:bidi="ar"/>
                    </w:rPr>
                    <w:t>28号）</w:t>
                  </w:r>
                </w:p>
              </w:tc>
            </w:tr>
            <w:tr w14:paraId="03E47B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81" w:type="pct"/>
                  <w:gridSpan w:val="2"/>
                  <w:noWrap w:val="0"/>
                  <w:vAlign w:val="center"/>
                </w:tcPr>
                <w:p w14:paraId="4C45B949">
                  <w:pPr>
                    <w:pStyle w:val="55"/>
                    <w:jc w:val="both"/>
                    <w:rPr>
                      <w:rFonts w:hint="eastAsia" w:ascii="Times New Roman" w:hAnsi="Times New Roman" w:eastAsia="宋体" w:cs="Times New Roman"/>
                      <w:color w:val="auto"/>
                      <w:sz w:val="21"/>
                      <w:szCs w:val="21"/>
                      <w:highlight w:val="none"/>
                      <w:lang w:val="zh-TW" w:eastAsia="zh-CN"/>
                    </w:rPr>
                  </w:pPr>
                  <w:r>
                    <w:rPr>
                      <w:rFonts w:ascii="Times New Roman" w:hAnsi="Times New Roman" w:cs="Times New Roman"/>
                      <w:color w:val="auto"/>
                      <w:sz w:val="21"/>
                      <w:szCs w:val="21"/>
                    </w:rPr>
                    <w:t>根据《关于印发抚顺市地下水污染防治重点区划分的通知》（抚环发</w:t>
                  </w:r>
                  <w:r>
                    <w:rPr>
                      <w:b/>
                      <w:bCs/>
                      <w:color w:val="auto"/>
                      <w:kern w:val="0"/>
                      <w:sz w:val="21"/>
                      <w:szCs w:val="21"/>
                      <w:highlight w:val="none"/>
                      <w:lang w:bidi="ar"/>
                    </w:rPr>
                    <w:t>〔</w:t>
                  </w:r>
                  <w:r>
                    <w:rPr>
                      <w:rFonts w:ascii="Times New Roman" w:hAnsi="Times New Roman" w:cs="Times New Roman"/>
                      <w:color w:val="auto"/>
                      <w:sz w:val="21"/>
                      <w:szCs w:val="21"/>
                    </w:rPr>
                    <w:t>2023</w:t>
                  </w:r>
                  <w:r>
                    <w:rPr>
                      <w:b/>
                      <w:bCs/>
                      <w:color w:val="auto"/>
                      <w:kern w:val="0"/>
                      <w:sz w:val="21"/>
                      <w:szCs w:val="21"/>
                      <w:highlight w:val="none"/>
                      <w:lang w:bidi="ar"/>
                    </w:rPr>
                    <w:t>〕</w:t>
                  </w:r>
                  <w:r>
                    <w:rPr>
                      <w:rFonts w:ascii="Times New Roman" w:hAnsi="Times New Roman" w:cs="Times New Roman"/>
                      <w:color w:val="auto"/>
                      <w:sz w:val="21"/>
                      <w:szCs w:val="21"/>
                    </w:rPr>
                    <w:t>28号），抚顺市地下水污染防治重点区划分为保护类区域及管控类区域。其中保护类区域分为一级保护区、二级保护区；管控类区域分为一级管控区、二级管控区。一级保护区内禁止新建、扩建、改建与供水设施和保护水源无关的建设项目；已建成的与供水设施和保护水源无关的建设项目，由县级以上人民政府责令拆除或者关闭；二级保护区内禁止新建、改建、扩建排放污染物的建设项目、设置排污口；一级管控区内严格控制新建、改建、扩建可能造成地下水污染的建设项目；二级管控区内严格新建、改建、扩建项目准入，对新增石化、煤化、危险废物处置、有色金属冶炼、制浆造纸等对水体污染严重的建设项目和重大建设项目。</w:t>
                  </w:r>
                </w:p>
              </w:tc>
              <w:tc>
                <w:tcPr>
                  <w:tcW w:w="1762" w:type="pct"/>
                  <w:noWrap w:val="0"/>
                  <w:vAlign w:val="center"/>
                </w:tcPr>
                <w:p w14:paraId="668C5270">
                  <w:pPr>
                    <w:pStyle w:val="55"/>
                    <w:jc w:val="both"/>
                    <w:rPr>
                      <w:color w:val="auto"/>
                      <w:kern w:val="0"/>
                      <w:sz w:val="21"/>
                      <w:szCs w:val="21"/>
                      <w:highlight w:val="none"/>
                      <w:lang w:bidi="ar"/>
                    </w:rPr>
                  </w:pPr>
                  <w:r>
                    <w:rPr>
                      <w:rFonts w:ascii="Times New Roman" w:hAnsi="Times New Roman" w:cs="Times New Roman"/>
                      <w:color w:val="auto"/>
                      <w:sz w:val="21"/>
                      <w:szCs w:val="21"/>
                    </w:rPr>
                    <w:t>本项目不在地下水一级、二级保护区内，本项目与抚顺市地下水污染防治重点区位置关系见附图</w:t>
                  </w:r>
                  <w:r>
                    <w:rPr>
                      <w:rFonts w:hint="eastAsia" w:ascii="Times New Roman" w:hAnsi="Times New Roman" w:cs="Times New Roman"/>
                      <w:color w:val="auto"/>
                      <w:sz w:val="21"/>
                      <w:szCs w:val="21"/>
                      <w:lang w:eastAsia="zh-CN"/>
                    </w:rPr>
                    <w:t>10</w:t>
                  </w:r>
                  <w:r>
                    <w:rPr>
                      <w:rFonts w:ascii="Times New Roman" w:hAnsi="Times New Roman" w:cs="Times New Roman"/>
                      <w:color w:val="auto"/>
                      <w:sz w:val="21"/>
                      <w:szCs w:val="21"/>
                    </w:rPr>
                    <w:t>。经对比管控区内企业清单，本项目不在抚顺市地下水一级、二级管控区内。</w:t>
                  </w:r>
                </w:p>
              </w:tc>
              <w:tc>
                <w:tcPr>
                  <w:tcW w:w="556" w:type="pct"/>
                  <w:noWrap w:val="0"/>
                  <w:vAlign w:val="center"/>
                </w:tcPr>
                <w:p w14:paraId="048567F1">
                  <w:pPr>
                    <w:pStyle w:val="55"/>
                    <w:jc w:val="center"/>
                    <w:rPr>
                      <w:rFonts w:hint="eastAsia" w:eastAsia="宋体"/>
                      <w:color w:val="auto"/>
                      <w:sz w:val="21"/>
                      <w:szCs w:val="21"/>
                      <w:highlight w:val="none"/>
                      <w:lang w:eastAsia="zh-CN"/>
                    </w:rPr>
                  </w:pPr>
                  <w:r>
                    <w:rPr>
                      <w:rFonts w:hint="eastAsia"/>
                      <w:color w:val="auto"/>
                      <w:sz w:val="21"/>
                      <w:szCs w:val="21"/>
                      <w:highlight w:val="none"/>
                      <w:lang w:eastAsia="zh-CN"/>
                    </w:rPr>
                    <w:t>符合</w:t>
                  </w:r>
                </w:p>
              </w:tc>
            </w:tr>
            <w:tr w14:paraId="0F742F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4"/>
                  <w:noWrap w:val="0"/>
                  <w:vAlign w:val="center"/>
                </w:tcPr>
                <w:p w14:paraId="2C0BA481">
                  <w:pPr>
                    <w:pStyle w:val="8"/>
                    <w:spacing w:line="240" w:lineRule="auto"/>
                    <w:jc w:val="center"/>
                    <w:rPr>
                      <w:color w:val="auto"/>
                      <w:sz w:val="21"/>
                      <w:szCs w:val="21"/>
                      <w:highlight w:val="none"/>
                      <w:lang w:val="en-US" w:eastAsia="zh-CN"/>
                    </w:rPr>
                  </w:pPr>
                  <w:r>
                    <w:rPr>
                      <w:b/>
                      <w:bCs/>
                      <w:color w:val="auto"/>
                      <w:sz w:val="21"/>
                      <w:szCs w:val="21"/>
                      <w:highlight w:val="none"/>
                      <w:lang w:val="en-US" w:eastAsia="zh-CN" w:bidi="ar"/>
                    </w:rPr>
                    <w:t>《辽宁省人民政府关于印发&lt;辽宁省空气质量持续改善行动实施方案&gt;的通知》辽政发</w:t>
                  </w:r>
                  <w:r>
                    <w:rPr>
                      <w:rFonts w:hint="eastAsia"/>
                      <w:b/>
                      <w:bCs/>
                      <w:color w:val="auto"/>
                      <w:sz w:val="21"/>
                      <w:szCs w:val="21"/>
                      <w:highlight w:val="none"/>
                      <w:lang w:val="en-US" w:eastAsia="zh-CN" w:bidi="ar"/>
                    </w:rPr>
                    <w:t>〔2024〕11号</w:t>
                  </w:r>
                </w:p>
              </w:tc>
            </w:tr>
            <w:tr w14:paraId="753237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81" w:type="pct"/>
                  <w:gridSpan w:val="2"/>
                  <w:noWrap w:val="0"/>
                  <w:vAlign w:val="center"/>
                </w:tcPr>
                <w:p w14:paraId="09A6F4CD">
                  <w:pPr>
                    <w:widowControl/>
                    <w:spacing w:line="240" w:lineRule="auto"/>
                    <w:rPr>
                      <w:color w:val="auto"/>
                      <w:kern w:val="0"/>
                      <w:sz w:val="21"/>
                      <w:szCs w:val="21"/>
                      <w:highlight w:val="none"/>
                      <w:lang w:bidi="ar"/>
                    </w:rPr>
                  </w:pPr>
                  <w:r>
                    <w:rPr>
                      <w:rFonts w:hint="eastAsia" w:ascii="Times New Roman" w:hAnsi="Times New Roman" w:cs="Times New Roman"/>
                      <w:color w:val="auto"/>
                      <w:sz w:val="21"/>
                      <w:szCs w:val="21"/>
                      <w:lang w:eastAsia="zh-CN"/>
                    </w:rPr>
                    <w:t>二、</w:t>
                  </w:r>
                  <w:r>
                    <w:rPr>
                      <w:rFonts w:ascii="Times New Roman" w:hAnsi="Times New Roman" w:cs="Times New Roman"/>
                      <w:color w:val="auto"/>
                      <w:sz w:val="21"/>
                      <w:szCs w:val="21"/>
                    </w:rPr>
                    <w:t>优化产业结构，促进产业产品绿色升级</w:t>
                  </w:r>
                  <w:r>
                    <w:rPr>
                      <w:rFonts w:hint="eastAsia" w:ascii="Times New Roman" w:hAnsi="Times New Roman" w:cs="Times New Roman"/>
                      <w:color w:val="auto"/>
                      <w:sz w:val="21"/>
                      <w:szCs w:val="21"/>
                      <w:lang w:val="en-US" w:eastAsia="zh-CN"/>
                    </w:rPr>
                    <w:t xml:space="preserve"> </w:t>
                  </w:r>
                  <w:r>
                    <w:rPr>
                      <w:rFonts w:ascii="Times New Roman" w:hAnsi="Times New Roman" w:cs="Times New Roman"/>
                      <w:color w:val="auto"/>
                      <w:sz w:val="21"/>
                      <w:szCs w:val="21"/>
                    </w:rPr>
                    <w:t>（三）实施低VOCs原辅材料源头替代。开展部门联合监督检查，确保生产、销售、进口、使用等环节严格执行VOCs含量限值标准。以工业涂装、包装印刷和胶粘剂使用等为重点，实施低VOCs原辅材料源头替代工程。</w:t>
                  </w:r>
                </w:p>
              </w:tc>
              <w:tc>
                <w:tcPr>
                  <w:tcW w:w="1762" w:type="pct"/>
                  <w:noWrap w:val="0"/>
                  <w:vAlign w:val="center"/>
                </w:tcPr>
                <w:p w14:paraId="2FD065CB">
                  <w:pPr>
                    <w:pStyle w:val="55"/>
                    <w:jc w:val="both"/>
                    <w:rPr>
                      <w:color w:val="auto"/>
                      <w:kern w:val="0"/>
                      <w:sz w:val="21"/>
                      <w:szCs w:val="21"/>
                      <w:highlight w:val="none"/>
                      <w:lang w:bidi="ar"/>
                    </w:rPr>
                  </w:pPr>
                  <w:r>
                    <w:rPr>
                      <w:rFonts w:ascii="Times New Roman" w:hAnsi="Times New Roman" w:cs="Times New Roman"/>
                      <w:color w:val="auto"/>
                      <w:sz w:val="21"/>
                      <w:szCs w:val="21"/>
                    </w:rPr>
                    <w:t>本项目使用</w:t>
                  </w:r>
                  <w:r>
                    <w:rPr>
                      <w:rFonts w:hint="eastAsia" w:ascii="Times New Roman" w:hAnsi="Times New Roman" w:cs="Times New Roman"/>
                      <w:color w:val="auto"/>
                      <w:sz w:val="21"/>
                      <w:szCs w:val="21"/>
                      <w:lang w:eastAsia="zh-CN"/>
                    </w:rPr>
                    <w:t>的漆料</w:t>
                  </w:r>
                  <w:r>
                    <w:rPr>
                      <w:rFonts w:ascii="Times New Roman" w:hAnsi="Times New Roman" w:cs="Times New Roman"/>
                      <w:color w:val="auto"/>
                      <w:sz w:val="21"/>
                      <w:szCs w:val="21"/>
                    </w:rPr>
                    <w:t>，VOCs含量较低，满足低VOCs原辅材料源头替代。</w:t>
                  </w:r>
                </w:p>
              </w:tc>
              <w:tc>
                <w:tcPr>
                  <w:tcW w:w="556" w:type="pct"/>
                  <w:noWrap w:val="0"/>
                  <w:vAlign w:val="center"/>
                </w:tcPr>
                <w:p w14:paraId="7A133580">
                  <w:pPr>
                    <w:spacing w:line="240" w:lineRule="auto"/>
                    <w:jc w:val="center"/>
                    <w:rPr>
                      <w:color w:val="auto"/>
                      <w:sz w:val="21"/>
                      <w:szCs w:val="21"/>
                      <w:highlight w:val="none"/>
                    </w:rPr>
                  </w:pPr>
                  <w:r>
                    <w:rPr>
                      <w:color w:val="auto"/>
                      <w:sz w:val="21"/>
                      <w:szCs w:val="21"/>
                      <w:highlight w:val="none"/>
                    </w:rPr>
                    <w:t>符合</w:t>
                  </w:r>
                </w:p>
              </w:tc>
            </w:tr>
            <w:tr w14:paraId="6F5DCB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81" w:type="pct"/>
                  <w:gridSpan w:val="2"/>
                  <w:noWrap w:val="0"/>
                  <w:vAlign w:val="center"/>
                </w:tcPr>
                <w:p w14:paraId="12E8A611">
                  <w:pPr>
                    <w:widowControl/>
                    <w:spacing w:line="240" w:lineRule="auto"/>
                    <w:rPr>
                      <w:rFonts w:hint="eastAsia" w:eastAsia="宋体"/>
                      <w:color w:val="auto"/>
                      <w:kern w:val="0"/>
                      <w:sz w:val="21"/>
                      <w:szCs w:val="21"/>
                      <w:highlight w:val="none"/>
                      <w:lang w:val="en-US" w:eastAsia="zh-CN" w:bidi="ar"/>
                    </w:rPr>
                  </w:pPr>
                  <w:r>
                    <w:rPr>
                      <w:rFonts w:ascii="Times New Roman" w:hAnsi="Times New Roman" w:cs="Times New Roman"/>
                      <w:color w:val="auto"/>
                      <w:sz w:val="21"/>
                      <w:szCs w:val="21"/>
                    </w:rPr>
                    <w:t>三、优化能源结构，加速能源清洁低碳高效发展</w:t>
                  </w:r>
                  <w:r>
                    <w:rPr>
                      <w:rFonts w:hint="eastAsia" w:ascii="Times New Roman" w:hAnsi="Times New Roman" w:cs="Times New Roman"/>
                      <w:color w:val="auto"/>
                      <w:sz w:val="21"/>
                      <w:szCs w:val="21"/>
                      <w:lang w:val="en-US" w:eastAsia="zh-CN"/>
                    </w:rPr>
                    <w:t xml:space="preserve"> </w:t>
                  </w:r>
                  <w:r>
                    <w:rPr>
                      <w:rFonts w:ascii="Times New Roman" w:hAnsi="Times New Roman" w:cs="Times New Roman"/>
                      <w:color w:val="auto"/>
                      <w:sz w:val="21"/>
                      <w:szCs w:val="21"/>
                    </w:rPr>
                    <w:t>（四）大力发展新能源和清洁能源。原则上不再新增自备燃煤机组，支持自备燃煤机组实施清洁能源替代。到2025年，非化石能源消费比重达到13.7%左右，电能占终端能源消费比重达到15%左右。实施工业炉窑清洁能源替代，有序推进以电代煤，积极稳妥推进以气代煤。</w:t>
                  </w:r>
                </w:p>
              </w:tc>
              <w:tc>
                <w:tcPr>
                  <w:tcW w:w="1762" w:type="pct"/>
                  <w:noWrap w:val="0"/>
                  <w:vAlign w:val="center"/>
                </w:tcPr>
                <w:p w14:paraId="410DA11B">
                  <w:pPr>
                    <w:pStyle w:val="55"/>
                    <w:jc w:val="both"/>
                    <w:rPr>
                      <w:color w:val="auto"/>
                      <w:kern w:val="0"/>
                      <w:sz w:val="21"/>
                      <w:szCs w:val="21"/>
                      <w:highlight w:val="none"/>
                      <w:lang w:bidi="ar"/>
                    </w:rPr>
                  </w:pPr>
                  <w:r>
                    <w:rPr>
                      <w:color w:val="auto"/>
                      <w:sz w:val="21"/>
                      <w:szCs w:val="21"/>
                      <w:highlight w:val="none"/>
                    </w:rPr>
                    <w:t>本</w:t>
                  </w:r>
                  <w:r>
                    <w:rPr>
                      <w:rFonts w:hint="eastAsia"/>
                      <w:color w:val="auto"/>
                      <w:sz w:val="21"/>
                      <w:szCs w:val="21"/>
                      <w:highlight w:val="none"/>
                    </w:rPr>
                    <w:t>项目</w:t>
                  </w:r>
                  <w:r>
                    <w:rPr>
                      <w:rFonts w:hint="eastAsia"/>
                      <w:color w:val="auto"/>
                      <w:sz w:val="21"/>
                      <w:szCs w:val="21"/>
                      <w:highlight w:val="none"/>
                      <w:lang w:eastAsia="zh-CN"/>
                    </w:rPr>
                    <w:t>不涉及锅炉，无燃料使用，供暖采用空调</w:t>
                  </w:r>
                  <w:r>
                    <w:rPr>
                      <w:color w:val="auto"/>
                      <w:sz w:val="21"/>
                      <w:szCs w:val="21"/>
                      <w:highlight w:val="none"/>
                    </w:rPr>
                    <w:t>。</w:t>
                  </w:r>
                </w:p>
              </w:tc>
              <w:tc>
                <w:tcPr>
                  <w:tcW w:w="556" w:type="pct"/>
                  <w:noWrap w:val="0"/>
                  <w:vAlign w:val="center"/>
                </w:tcPr>
                <w:p w14:paraId="18ABB77C">
                  <w:pPr>
                    <w:spacing w:line="240" w:lineRule="auto"/>
                    <w:jc w:val="center"/>
                    <w:rPr>
                      <w:color w:val="auto"/>
                      <w:sz w:val="21"/>
                      <w:szCs w:val="21"/>
                      <w:highlight w:val="none"/>
                    </w:rPr>
                  </w:pPr>
                  <w:r>
                    <w:rPr>
                      <w:color w:val="auto"/>
                      <w:sz w:val="21"/>
                      <w:szCs w:val="21"/>
                      <w:highlight w:val="none"/>
                    </w:rPr>
                    <w:t>符合</w:t>
                  </w:r>
                </w:p>
              </w:tc>
            </w:tr>
            <w:tr w14:paraId="61A9D7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81" w:type="pct"/>
                  <w:gridSpan w:val="2"/>
                  <w:noWrap w:val="0"/>
                  <w:vAlign w:val="center"/>
                </w:tcPr>
                <w:p w14:paraId="60745644">
                  <w:pPr>
                    <w:widowControl/>
                    <w:spacing w:line="240" w:lineRule="auto"/>
                    <w:rPr>
                      <w:rFonts w:hint="eastAsia" w:ascii="Times New Roman" w:hAnsi="Times New Roman" w:eastAsia="宋体" w:cs="Times New Roman"/>
                      <w:color w:val="auto"/>
                      <w:sz w:val="21"/>
                      <w:szCs w:val="21"/>
                      <w:lang w:val="en-US" w:eastAsia="zh-CN"/>
                    </w:rPr>
                  </w:pPr>
                  <w:r>
                    <w:rPr>
                      <w:rFonts w:ascii="Times New Roman" w:hAnsi="Times New Roman" w:cs="Times New Roman"/>
                      <w:color w:val="auto"/>
                      <w:sz w:val="21"/>
                      <w:szCs w:val="21"/>
                    </w:rPr>
                    <w:t>六、降低污染物排放强度</w:t>
                  </w:r>
                  <w:r>
                    <w:rPr>
                      <w:rFonts w:hint="eastAsia" w:ascii="Times New Roman" w:hAnsi="Times New Roman" w:cs="Times New Roman"/>
                      <w:color w:val="auto"/>
                      <w:sz w:val="21"/>
                      <w:szCs w:val="21"/>
                      <w:lang w:val="en-US" w:eastAsia="zh-CN"/>
                    </w:rPr>
                    <w:t xml:space="preserve"> </w:t>
                  </w:r>
                  <w:r>
                    <w:rPr>
                      <w:rFonts w:ascii="Times New Roman" w:hAnsi="Times New Roman" w:cs="Times New Roman"/>
                      <w:color w:val="auto"/>
                      <w:sz w:val="21"/>
                      <w:szCs w:val="21"/>
                    </w:rPr>
                    <w:t>（十四）强化VOCs全流程、全环节综合治理。定期开展储罐密封性检测，污水处理场所高浓度有机废气要单独收集处理，含VOCs有机废水储罐、装置区集水井（池）有机废气要密闭收集处理。企业开停工、检维修期间，及时收集处理退料、清洗、吹扫等作业产生的VOCs废气。企业不得将火炬燃烧装置作为日常大气污染处理设施。</w:t>
                  </w:r>
                </w:p>
              </w:tc>
              <w:tc>
                <w:tcPr>
                  <w:tcW w:w="1762" w:type="pct"/>
                  <w:noWrap w:val="0"/>
                  <w:vAlign w:val="center"/>
                </w:tcPr>
                <w:p w14:paraId="7755302A">
                  <w:pPr>
                    <w:pStyle w:val="55"/>
                    <w:jc w:val="both"/>
                    <w:rPr>
                      <w:color w:val="auto"/>
                      <w:sz w:val="21"/>
                      <w:szCs w:val="21"/>
                      <w:highlight w:val="none"/>
                    </w:rPr>
                  </w:pPr>
                  <w:r>
                    <w:rPr>
                      <w:rFonts w:ascii="Times New Roman" w:hAnsi="Times New Roman" w:cs="Times New Roman"/>
                      <w:color w:val="auto"/>
                      <w:sz w:val="21"/>
                      <w:szCs w:val="21"/>
                    </w:rPr>
                    <w:t>本项目</w:t>
                  </w:r>
                  <w:r>
                    <w:rPr>
                      <w:rFonts w:hint="eastAsia" w:ascii="Times New Roman" w:hAnsi="Times New Roman" w:cs="Times New Roman"/>
                      <w:color w:val="auto"/>
                      <w:sz w:val="21"/>
                      <w:szCs w:val="21"/>
                      <w:lang w:eastAsia="zh-CN"/>
                    </w:rPr>
                    <w:t>木加工</w:t>
                  </w:r>
                  <w:r>
                    <w:rPr>
                      <w:rFonts w:hint="default" w:ascii="Times New Roman" w:hAnsi="Times New Roman" w:eastAsia="宋体" w:cs="Times New Roman"/>
                      <w:color w:val="auto"/>
                      <w:sz w:val="21"/>
                      <w:szCs w:val="21"/>
                    </w:rPr>
                    <w:t>废气</w:t>
                  </w:r>
                  <w:r>
                    <w:rPr>
                      <w:rFonts w:hint="eastAsia" w:ascii="Times New Roman" w:hAnsi="Times New Roman" w:cs="Times New Roman"/>
                      <w:color w:val="auto"/>
                      <w:sz w:val="21"/>
                      <w:szCs w:val="21"/>
                      <w:lang w:eastAsia="zh-CN"/>
                    </w:rPr>
                    <w:t>（</w:t>
                  </w:r>
                  <w:r>
                    <w:rPr>
                      <w:rFonts w:hint="default" w:ascii="Times New Roman" w:hAnsi="Times New Roman" w:eastAsia="宋体" w:cs="Times New Roman"/>
                      <w:color w:val="auto"/>
                      <w:sz w:val="21"/>
                      <w:szCs w:val="21"/>
                    </w:rPr>
                    <w:t>下料、刨光、</w:t>
                  </w:r>
                  <w:r>
                    <w:rPr>
                      <w:rFonts w:hint="eastAsia" w:ascii="Times New Roman" w:hAnsi="Times New Roman" w:eastAsia="宋体" w:cs="Times New Roman"/>
                      <w:color w:val="auto"/>
                      <w:sz w:val="21"/>
                      <w:szCs w:val="21"/>
                      <w:lang w:eastAsia="zh-CN"/>
                    </w:rPr>
                    <w:t>梳齿指接</w:t>
                  </w:r>
                  <w:r>
                    <w:rPr>
                      <w:rFonts w:hint="eastAsia" w:ascii="Times New Roman" w:hAnsi="Times New Roman" w:cs="Times New Roman"/>
                      <w:color w:val="auto"/>
                      <w:sz w:val="21"/>
                      <w:szCs w:val="21"/>
                      <w:lang w:eastAsia="zh-CN"/>
                    </w:rPr>
                    <w:t>）</w:t>
                  </w:r>
                  <w:r>
                    <w:rPr>
                      <w:rFonts w:hint="eastAsia" w:ascii="Times New Roman" w:hAnsi="Times New Roman" w:cs="Times New Roman"/>
                      <w:color w:val="auto"/>
                      <w:sz w:val="21"/>
                      <w:szCs w:val="21"/>
                      <w:lang w:eastAsia="zh-CN"/>
                    </w:rPr>
                    <w:t>、</w:t>
                  </w:r>
                  <w:r>
                    <w:rPr>
                      <w:rFonts w:hint="eastAsia" w:ascii="Times New Roman" w:hAnsi="Times New Roman" w:cs="Times New Roman"/>
                      <w:color w:val="auto"/>
                      <w:sz w:val="21"/>
                      <w:szCs w:val="21"/>
                      <w:lang w:eastAsia="zh-CN"/>
                    </w:rPr>
                    <w:t>砂光</w:t>
                  </w:r>
                  <w:r>
                    <w:rPr>
                      <w:rFonts w:hint="default" w:ascii="Times New Roman" w:hAnsi="Times New Roman" w:eastAsia="宋体" w:cs="Times New Roman"/>
                      <w:color w:val="auto"/>
                      <w:sz w:val="21"/>
                      <w:szCs w:val="21"/>
                    </w:rPr>
                    <w:t>废气</w:t>
                  </w:r>
                  <w:r>
                    <w:rPr>
                      <w:rFonts w:hint="eastAsia" w:ascii="Times New Roman" w:hAnsi="Times New Roman" w:eastAsia="宋体" w:cs="Times New Roman"/>
                      <w:color w:val="auto"/>
                      <w:sz w:val="21"/>
                      <w:szCs w:val="21"/>
                      <w:lang w:eastAsia="zh-CN"/>
                    </w:rPr>
                    <w:t>、</w:t>
                  </w:r>
                  <w:r>
                    <w:rPr>
                      <w:rFonts w:hint="eastAsia" w:ascii="Times New Roman" w:hAnsi="Times New Roman" w:cs="Times New Roman"/>
                      <w:color w:val="auto"/>
                      <w:sz w:val="21"/>
                      <w:szCs w:val="21"/>
                      <w:lang w:eastAsia="zh-CN"/>
                    </w:rPr>
                    <w:t>轻砂光</w:t>
                  </w:r>
                  <w:r>
                    <w:rPr>
                      <w:rFonts w:hint="default" w:ascii="Times New Roman" w:hAnsi="Times New Roman" w:eastAsia="宋体" w:cs="Times New Roman"/>
                      <w:color w:val="auto"/>
                      <w:sz w:val="21"/>
                      <w:szCs w:val="21"/>
                    </w:rPr>
                    <w:t>废气</w:t>
                  </w:r>
                  <w:r>
                    <w:rPr>
                      <w:rFonts w:hint="eastAsia" w:ascii="Times New Roman" w:hAnsi="Times New Roman" w:eastAsia="宋体" w:cs="Times New Roman"/>
                      <w:color w:val="auto"/>
                      <w:sz w:val="21"/>
                      <w:szCs w:val="21"/>
                      <w:lang w:eastAsia="zh-CN"/>
                    </w:rPr>
                    <w:t>、</w:t>
                  </w:r>
                  <w:r>
                    <w:rPr>
                      <w:rFonts w:hint="eastAsia" w:ascii="Times New Roman" w:hAnsi="Times New Roman" w:cs="Times New Roman"/>
                      <w:color w:val="auto"/>
                      <w:sz w:val="21"/>
                      <w:szCs w:val="21"/>
                      <w:lang w:eastAsia="zh-CN"/>
                    </w:rPr>
                    <w:t>开槽</w:t>
                  </w:r>
                  <w:r>
                    <w:rPr>
                      <w:rFonts w:hint="default" w:ascii="Times New Roman" w:hAnsi="Times New Roman" w:eastAsia="宋体" w:cs="Times New Roman"/>
                      <w:color w:val="auto"/>
                      <w:sz w:val="21"/>
                      <w:szCs w:val="21"/>
                    </w:rPr>
                    <w:t>废气</w:t>
                  </w:r>
                  <w:r>
                    <w:rPr>
                      <w:rFonts w:ascii="Times New Roman" w:hAnsi="Times New Roman" w:cs="Times New Roman"/>
                      <w:color w:val="auto"/>
                      <w:sz w:val="21"/>
                      <w:szCs w:val="21"/>
                    </w:rPr>
                    <w:t>经集气</w:t>
                  </w:r>
                  <w:r>
                    <w:rPr>
                      <w:rFonts w:hint="eastAsia" w:ascii="Times New Roman" w:hAnsi="Times New Roman" w:cs="Times New Roman"/>
                      <w:color w:val="auto"/>
                      <w:sz w:val="21"/>
                      <w:szCs w:val="21"/>
                      <w:lang w:eastAsia="zh-CN"/>
                    </w:rPr>
                    <w:t>罩</w:t>
                  </w:r>
                  <w:r>
                    <w:rPr>
                      <w:rFonts w:ascii="Times New Roman" w:hAnsi="Times New Roman" w:cs="Times New Roman"/>
                      <w:color w:val="auto"/>
                      <w:sz w:val="21"/>
                      <w:szCs w:val="21"/>
                    </w:rPr>
                    <w:t>收集后</w:t>
                  </w:r>
                  <w:r>
                    <w:rPr>
                      <w:rFonts w:hint="eastAsia" w:ascii="Times New Roman" w:hAnsi="Times New Roman" w:cs="Times New Roman"/>
                      <w:color w:val="auto"/>
                      <w:sz w:val="21"/>
                      <w:szCs w:val="21"/>
                      <w:lang w:eastAsia="zh-CN"/>
                    </w:rPr>
                    <w:t>引入布袋除尘器，净化后尾气通过DA001</w:t>
                  </w:r>
                  <w:r>
                    <w:rPr>
                      <w:rFonts w:hint="eastAsia" w:ascii="Times New Roman" w:hAnsi="Times New Roman" w:cs="Times New Roman"/>
                      <w:color w:val="auto"/>
                      <w:sz w:val="21"/>
                      <w:szCs w:val="21"/>
                      <w:lang w:val="en-US" w:eastAsia="zh-CN"/>
                    </w:rPr>
                    <w:t>-DA004</w:t>
                  </w:r>
                  <w:r>
                    <w:rPr>
                      <w:rFonts w:hint="eastAsia" w:ascii="Times New Roman" w:hAnsi="Times New Roman" w:cs="Times New Roman"/>
                      <w:color w:val="auto"/>
                      <w:sz w:val="21"/>
                      <w:szCs w:val="21"/>
                      <w:lang w:eastAsia="zh-CN"/>
                    </w:rPr>
                    <w:t>（均15m高）排气筒排放；</w:t>
                  </w:r>
                  <w:r>
                    <w:rPr>
                      <w:rFonts w:hint="eastAsia" w:ascii="Times New Roman" w:hAnsi="Times New Roman" w:eastAsia="宋体" w:cs="Times New Roman"/>
                      <w:color w:val="auto"/>
                      <w:sz w:val="21"/>
                      <w:szCs w:val="21"/>
                      <w:highlight w:val="none"/>
                      <w:lang w:eastAsia="zh-CN"/>
                    </w:rPr>
                    <w:t>辊漆</w:t>
                  </w:r>
                  <w:r>
                    <w:rPr>
                      <w:rFonts w:hint="eastAsia" w:ascii="Times New Roman" w:hAnsi="Times New Roman" w:eastAsia="宋体"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紫外光固化</w:t>
                  </w:r>
                  <w:r>
                    <w:rPr>
                      <w:rFonts w:hint="eastAsia" w:ascii="Times New Roman" w:hAnsi="Times New Roman" w:eastAsia="宋体" w:cs="Times New Roman"/>
                      <w:color w:val="auto"/>
                      <w:sz w:val="21"/>
                      <w:szCs w:val="21"/>
                      <w:highlight w:val="none"/>
                      <w:lang w:val="en-US" w:eastAsia="zh-CN"/>
                    </w:rPr>
                    <w:t>废气经</w:t>
                  </w:r>
                  <w:r>
                    <w:rPr>
                      <w:rFonts w:hint="eastAsia" w:ascii="Times New Roman" w:hAnsi="Times New Roman" w:cs="Times New Roman"/>
                      <w:color w:val="auto"/>
                      <w:sz w:val="21"/>
                      <w:szCs w:val="21"/>
                      <w:lang w:eastAsia="zh-CN"/>
                    </w:rPr>
                    <w:t>集气罩</w:t>
                  </w:r>
                  <w:r>
                    <w:rPr>
                      <w:rFonts w:hint="default" w:ascii="Times New Roman" w:hAnsi="Times New Roman" w:eastAsia="宋体" w:cs="Times New Roman"/>
                      <w:color w:val="auto"/>
                      <w:sz w:val="21"/>
                      <w:szCs w:val="21"/>
                      <w:highlight w:val="none"/>
                      <w:lang w:eastAsia="zh-CN"/>
                    </w:rPr>
                    <w:t>收集</w:t>
                  </w:r>
                  <w:r>
                    <w:rPr>
                      <w:rFonts w:hint="eastAsia" w:ascii="Times New Roman" w:hAnsi="Times New Roman" w:eastAsia="宋体" w:cs="Times New Roman"/>
                      <w:color w:val="auto"/>
                      <w:sz w:val="21"/>
                      <w:szCs w:val="21"/>
                      <w:highlight w:val="none"/>
                      <w:lang w:eastAsia="zh-CN"/>
                    </w:rPr>
                    <w:t>后</w:t>
                  </w:r>
                  <w:r>
                    <w:rPr>
                      <w:rFonts w:hint="eastAsia" w:ascii="Times New Roman" w:hAnsi="Times New Roman" w:cs="Times New Roman"/>
                      <w:color w:val="auto"/>
                      <w:sz w:val="21"/>
                      <w:szCs w:val="21"/>
                      <w:lang w:eastAsia="zh-CN"/>
                    </w:rPr>
                    <w:t>引入带有自动控制系统</w:t>
                  </w:r>
                  <w:r>
                    <w:rPr>
                      <w:rFonts w:ascii="Times New Roman" w:hAnsi="Times New Roman" w:cs="Times New Roman"/>
                      <w:color w:val="auto"/>
                      <w:sz w:val="21"/>
                      <w:szCs w:val="21"/>
                      <w:lang w:eastAsia="zh-CN"/>
                    </w:rPr>
                    <w:t>的</w:t>
                  </w:r>
                  <w:r>
                    <w:rPr>
                      <w:rFonts w:hint="eastAsia" w:ascii="Times New Roman" w:hAnsi="Times New Roman" w:cs="Times New Roman"/>
                      <w:color w:val="auto"/>
                      <w:sz w:val="21"/>
                      <w:szCs w:val="21"/>
                      <w:lang w:eastAsia="zh-CN"/>
                    </w:rPr>
                    <w:t>二级活性炭吸附</w:t>
                  </w:r>
                  <w:r>
                    <w:rPr>
                      <w:rFonts w:ascii="Times New Roman" w:hAnsi="Times New Roman" w:cs="Times New Roman"/>
                      <w:color w:val="auto"/>
                      <w:sz w:val="21"/>
                      <w:szCs w:val="21"/>
                      <w:lang w:eastAsia="zh-CN"/>
                    </w:rPr>
                    <w:t>装置</w:t>
                  </w:r>
                  <w:r>
                    <w:rPr>
                      <w:rFonts w:hint="eastAsia" w:ascii="Times New Roman" w:hAnsi="Times New Roman" w:cs="Times New Roman"/>
                      <w:color w:val="auto"/>
                      <w:sz w:val="21"/>
                      <w:szCs w:val="21"/>
                      <w:lang w:eastAsia="zh-CN"/>
                    </w:rPr>
                    <w:t>，净化后通过DA00</w:t>
                  </w:r>
                  <w:r>
                    <w:rPr>
                      <w:rFonts w:hint="eastAsia" w:ascii="Times New Roman" w:hAnsi="Times New Roman" w:cs="Times New Roman"/>
                      <w:color w:val="auto"/>
                      <w:sz w:val="21"/>
                      <w:szCs w:val="21"/>
                      <w:lang w:val="en-US" w:eastAsia="zh-CN"/>
                    </w:rPr>
                    <w:t>5</w:t>
                  </w:r>
                  <w:r>
                    <w:rPr>
                      <w:rFonts w:hint="eastAsia" w:ascii="Times New Roman" w:hAnsi="Times New Roman" w:cs="Times New Roman"/>
                      <w:color w:val="auto"/>
                      <w:sz w:val="21"/>
                      <w:szCs w:val="21"/>
                      <w:lang w:eastAsia="zh-CN"/>
                    </w:rPr>
                    <w:t>（15m）排气筒排放。</w:t>
                  </w:r>
                </w:p>
              </w:tc>
              <w:tc>
                <w:tcPr>
                  <w:tcW w:w="556" w:type="pct"/>
                  <w:noWrap w:val="0"/>
                  <w:vAlign w:val="center"/>
                </w:tcPr>
                <w:p w14:paraId="7B54FBB5">
                  <w:pPr>
                    <w:spacing w:line="240" w:lineRule="auto"/>
                    <w:jc w:val="center"/>
                    <w:rPr>
                      <w:color w:val="auto"/>
                      <w:sz w:val="21"/>
                      <w:szCs w:val="21"/>
                      <w:highlight w:val="none"/>
                    </w:rPr>
                  </w:pPr>
                  <w:r>
                    <w:rPr>
                      <w:color w:val="auto"/>
                      <w:sz w:val="21"/>
                      <w:szCs w:val="21"/>
                      <w:highlight w:val="none"/>
                    </w:rPr>
                    <w:t>符合</w:t>
                  </w:r>
                </w:p>
              </w:tc>
            </w:tr>
            <w:tr w14:paraId="56E93A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4"/>
                  <w:noWrap w:val="0"/>
                  <w:vAlign w:val="center"/>
                </w:tcPr>
                <w:p w14:paraId="738789AB">
                  <w:pPr>
                    <w:spacing w:line="240" w:lineRule="auto"/>
                    <w:jc w:val="center"/>
                    <w:rPr>
                      <w:color w:val="auto"/>
                      <w:sz w:val="21"/>
                      <w:szCs w:val="21"/>
                      <w:highlight w:val="none"/>
                    </w:rPr>
                  </w:pPr>
                  <w:r>
                    <w:rPr>
                      <w:rFonts w:hint="eastAsia" w:ascii="Times New Roman" w:hAnsi="Times New Roman" w:eastAsia="宋体" w:cs="Times New Roman"/>
                      <w:b/>
                      <w:bCs/>
                      <w:color w:val="auto"/>
                      <w:kern w:val="0"/>
                      <w:sz w:val="21"/>
                      <w:szCs w:val="21"/>
                      <w:highlight w:val="none"/>
                      <w:lang w:val="en-US" w:eastAsia="zh-CN" w:bidi="ar"/>
                    </w:rPr>
                    <w:t>《抚顺市人民政府办公室关于印发&lt;抚顺市空气质量持续改善行动实施方案&gt;的通知》抚政办规〔2025〕3号</w:t>
                  </w:r>
                </w:p>
              </w:tc>
            </w:tr>
            <w:tr w14:paraId="672269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81" w:type="pct"/>
                  <w:gridSpan w:val="2"/>
                  <w:noWrap w:val="0"/>
                  <w:vAlign w:val="center"/>
                </w:tcPr>
                <w:p w14:paraId="2BFE5B82">
                  <w:pPr>
                    <w:widowControl/>
                    <w:spacing w:line="240" w:lineRule="auto"/>
                    <w:rPr>
                      <w:rFonts w:hint="eastAsia"/>
                      <w:color w:val="auto"/>
                      <w:kern w:val="0"/>
                      <w:sz w:val="21"/>
                      <w:szCs w:val="21"/>
                      <w:highlight w:val="none"/>
                      <w:lang w:bidi="ar"/>
                    </w:rPr>
                  </w:pPr>
                  <w:r>
                    <w:rPr>
                      <w:rFonts w:hint="eastAsia" w:ascii="宋体" w:hAnsi="宋体" w:eastAsia="宋体" w:cs="宋体"/>
                      <w:color w:val="auto"/>
                      <w:sz w:val="21"/>
                      <w:szCs w:val="21"/>
                      <w:lang w:eastAsia="zh-CN"/>
                    </w:rPr>
                    <w:t>（一）推动优化产业结构和布局。严格把控项目准入，坚决杜绝高耗能、高排放以及低水平项目的上马。所有新改扩建项目，必须符合国家产业规划、生态环境分区管控方案以及碳排放达峰目标等要求。加快重点行业落后产能的退出步伐，大力推动钢铁、石化、水泥、碳素等关键领域的设备更新换代，优化工艺流程，加速淘汰落后低效与超期服役的老旧设备。</w:t>
                  </w:r>
                </w:p>
              </w:tc>
              <w:tc>
                <w:tcPr>
                  <w:tcW w:w="1762" w:type="pct"/>
                  <w:noWrap w:val="0"/>
                  <w:vAlign w:val="center"/>
                </w:tcPr>
                <w:p w14:paraId="6451673F">
                  <w:pPr>
                    <w:widowControl/>
                    <w:spacing w:line="240" w:lineRule="auto"/>
                    <w:rPr>
                      <w:rFonts w:hint="eastAsia" w:ascii="宋体" w:hAnsi="宋体" w:eastAsia="宋体" w:cs="宋体"/>
                      <w:color w:val="auto"/>
                      <w:sz w:val="21"/>
                      <w:szCs w:val="21"/>
                      <w:lang w:eastAsia="zh-CN"/>
                    </w:rPr>
                  </w:pPr>
                  <w:r>
                    <w:rPr>
                      <w:rFonts w:hint="eastAsia" w:ascii="宋体" w:hAnsi="宋体" w:eastAsia="宋体" w:cs="宋体"/>
                      <w:color w:val="auto"/>
                      <w:sz w:val="21"/>
                      <w:szCs w:val="21"/>
                      <w:lang w:eastAsia="zh-CN"/>
                    </w:rPr>
                    <w:t>本项目为木地板制造项目，建设性质为新建，不属于高耗能、高排放及低水平项目。已严格落实国家产业规划、产业政策、生态环境分区管控方案等相关要求。</w:t>
                  </w:r>
                </w:p>
              </w:tc>
              <w:tc>
                <w:tcPr>
                  <w:tcW w:w="556" w:type="pct"/>
                  <w:noWrap w:val="0"/>
                  <w:vAlign w:val="center"/>
                </w:tcPr>
                <w:p w14:paraId="6D8C9FF2">
                  <w:pPr>
                    <w:spacing w:line="240" w:lineRule="auto"/>
                    <w:jc w:val="center"/>
                    <w:rPr>
                      <w:color w:val="auto"/>
                      <w:sz w:val="21"/>
                      <w:szCs w:val="21"/>
                      <w:highlight w:val="none"/>
                    </w:rPr>
                  </w:pPr>
                  <w:r>
                    <w:rPr>
                      <w:color w:val="auto"/>
                      <w:sz w:val="21"/>
                      <w:szCs w:val="21"/>
                      <w:highlight w:val="none"/>
                    </w:rPr>
                    <w:t>符合</w:t>
                  </w:r>
                </w:p>
              </w:tc>
            </w:tr>
            <w:tr w14:paraId="2781AC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81" w:type="pct"/>
                  <w:gridSpan w:val="2"/>
                  <w:noWrap w:val="0"/>
                  <w:vAlign w:val="center"/>
                </w:tcPr>
                <w:p w14:paraId="60815EE7">
                  <w:pPr>
                    <w:widowControl/>
                    <w:spacing w:line="240" w:lineRule="auto"/>
                    <w:rPr>
                      <w:rFonts w:hint="eastAsia"/>
                      <w:color w:val="auto"/>
                      <w:kern w:val="0"/>
                      <w:sz w:val="21"/>
                      <w:szCs w:val="21"/>
                      <w:highlight w:val="none"/>
                      <w:lang w:eastAsia="zh-CN" w:bidi="ar"/>
                    </w:rPr>
                  </w:pPr>
                  <w:r>
                    <w:rPr>
                      <w:rFonts w:hint="eastAsia" w:ascii="宋体" w:hAnsi="宋体" w:eastAsia="宋体" w:cs="宋体"/>
                      <w:color w:val="auto"/>
                      <w:sz w:val="21"/>
                      <w:szCs w:val="21"/>
                      <w:lang w:eastAsia="zh-CN"/>
                    </w:rPr>
                    <w:t>（二）推动产业绿色低碳发展。进一步排查不符合城市建设规划、行业发展规划以及生态环境功能定位的重污染企业，将其列为“散乱污”企业，实施整合、搬迁或升级改造，限期完成治理任务。持续开展“散乱污”企业排查整治，实施动态清零，严防“散乱污”企业反弹。积极开展绿色工厂、绿色工业园区的创建工作，大力推动绿色环保产业的健康发展。</w:t>
                  </w:r>
                </w:p>
              </w:tc>
              <w:tc>
                <w:tcPr>
                  <w:tcW w:w="1762" w:type="pct"/>
                  <w:noWrap w:val="0"/>
                  <w:vAlign w:val="center"/>
                </w:tcPr>
                <w:p w14:paraId="7EC62B1A">
                  <w:pPr>
                    <w:widowControl/>
                    <w:spacing w:line="240" w:lineRule="auto"/>
                    <w:rPr>
                      <w:rFonts w:hint="eastAsia" w:ascii="宋体" w:hAnsi="宋体" w:eastAsia="宋体" w:cs="宋体"/>
                      <w:color w:val="auto"/>
                      <w:sz w:val="21"/>
                      <w:szCs w:val="21"/>
                      <w:lang w:eastAsia="zh-CN"/>
                    </w:rPr>
                  </w:pPr>
                  <w:r>
                    <w:rPr>
                      <w:rFonts w:hint="eastAsia" w:ascii="宋体" w:hAnsi="宋体" w:eastAsia="宋体" w:cs="宋体"/>
                      <w:color w:val="auto"/>
                      <w:sz w:val="21"/>
                      <w:szCs w:val="21"/>
                      <w:lang w:eastAsia="zh-CN"/>
                    </w:rPr>
                    <w:t>本项目为木地板制造项目，不属于不符合城市建设规划、行业发展规划、生态环境功能定位的重污染企业。</w:t>
                  </w:r>
                </w:p>
              </w:tc>
              <w:tc>
                <w:tcPr>
                  <w:tcW w:w="556" w:type="pct"/>
                  <w:noWrap w:val="0"/>
                  <w:vAlign w:val="center"/>
                </w:tcPr>
                <w:p w14:paraId="7C1451D8">
                  <w:pPr>
                    <w:spacing w:line="240" w:lineRule="auto"/>
                    <w:jc w:val="center"/>
                    <w:rPr>
                      <w:color w:val="auto"/>
                      <w:sz w:val="21"/>
                      <w:szCs w:val="21"/>
                      <w:highlight w:val="none"/>
                    </w:rPr>
                  </w:pPr>
                  <w:r>
                    <w:rPr>
                      <w:color w:val="auto"/>
                      <w:sz w:val="21"/>
                      <w:szCs w:val="21"/>
                      <w:highlight w:val="none"/>
                    </w:rPr>
                    <w:t>符合</w:t>
                  </w:r>
                </w:p>
              </w:tc>
            </w:tr>
            <w:tr w14:paraId="597E41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81" w:type="pct"/>
                  <w:gridSpan w:val="2"/>
                  <w:noWrap w:val="0"/>
                  <w:vAlign w:val="center"/>
                </w:tcPr>
                <w:p w14:paraId="5127841F">
                  <w:pPr>
                    <w:widowControl/>
                    <w:spacing w:line="240" w:lineRule="auto"/>
                    <w:rPr>
                      <w:rFonts w:hint="eastAsia"/>
                      <w:color w:val="auto"/>
                      <w:kern w:val="0"/>
                      <w:sz w:val="21"/>
                      <w:szCs w:val="21"/>
                      <w:highlight w:val="none"/>
                      <w:lang w:eastAsia="zh-CN" w:bidi="ar"/>
                    </w:rPr>
                  </w:pPr>
                  <w:r>
                    <w:rPr>
                      <w:rFonts w:hint="eastAsia"/>
                      <w:color w:val="auto"/>
                      <w:kern w:val="0"/>
                      <w:sz w:val="21"/>
                      <w:szCs w:val="21"/>
                      <w:highlight w:val="none"/>
                      <w:lang w:eastAsia="zh-CN" w:bidi="ar"/>
                    </w:rPr>
                    <w:t>（三）实施低挥发性有机物原辅材料源头替代。生态、工信住建和市场监管等部门要联合开展监督检查，确保在生产、销售进口、使用等各个环节，严格执行挥发性有机物含量限值标准以工业涂装、包装印刷和胶粘剂等使用行业为重点，摸清含VOCS原辅材料产品类型、使用比例和使用量，建立管理台账，对溶剂型涂料、油墨、胶粘剂、清洗剂使用企业制定低VOCs含量原辅材料替代计划。在房屋建筑和市政工程中，全面推广使用低VOCS含量涂料和胶粘剂。</w:t>
                  </w:r>
                </w:p>
              </w:tc>
              <w:tc>
                <w:tcPr>
                  <w:tcW w:w="1762" w:type="pct"/>
                  <w:noWrap w:val="0"/>
                  <w:vAlign w:val="center"/>
                </w:tcPr>
                <w:p w14:paraId="0DC01FCB">
                  <w:pPr>
                    <w:pStyle w:val="55"/>
                    <w:jc w:val="both"/>
                    <w:rPr>
                      <w:rFonts w:hint="eastAsia" w:eastAsia="宋体"/>
                      <w:color w:val="auto"/>
                      <w:kern w:val="0"/>
                      <w:sz w:val="21"/>
                      <w:szCs w:val="21"/>
                      <w:highlight w:val="none"/>
                      <w:lang w:eastAsia="zh-CN" w:bidi="ar"/>
                    </w:rPr>
                  </w:pPr>
                  <w:r>
                    <w:rPr>
                      <w:rFonts w:hint="eastAsia" w:ascii="宋体" w:hAnsi="宋体" w:eastAsia="宋体" w:cs="宋体"/>
                      <w:color w:val="auto"/>
                      <w:sz w:val="21"/>
                      <w:szCs w:val="21"/>
                      <w:lang w:eastAsia="zh-CN"/>
                    </w:rPr>
                    <w:t>本项目为</w:t>
                  </w:r>
                  <w:r>
                    <w:rPr>
                      <w:rFonts w:hint="default" w:ascii="Times New Roman" w:hAnsi="Times New Roman" w:eastAsia="宋体" w:cs="Times New Roman"/>
                      <w:color w:val="auto"/>
                      <w:sz w:val="21"/>
                      <w:szCs w:val="21"/>
                      <w:lang w:eastAsia="zh-CN"/>
                    </w:rPr>
                    <w:t>木地板</w:t>
                  </w:r>
                  <w:r>
                    <w:rPr>
                      <w:rFonts w:hint="default" w:ascii="Times New Roman" w:hAnsi="Times New Roman" w:eastAsia="宋体" w:cs="Times New Roman"/>
                      <w:color w:val="auto"/>
                      <w:sz w:val="21"/>
                      <w:szCs w:val="21"/>
                      <w:lang w:eastAsia="zh-CN"/>
                    </w:rPr>
                    <w:t>制造项目，本项目使用漆料，VOCs含量较低，</w:t>
                  </w:r>
                  <w:r>
                    <w:rPr>
                      <w:rFonts w:hint="default" w:ascii="Times New Roman" w:hAnsi="Times New Roman" w:eastAsia="宋体" w:cs="Times New Roman"/>
                      <w:color w:val="auto"/>
                      <w:spacing w:val="2"/>
                      <w:sz w:val="21"/>
                      <w:szCs w:val="21"/>
                      <w:highlight w:val="none"/>
                      <w:lang w:eastAsia="zh-CN"/>
                    </w:rPr>
                    <w:t>采购的漆料符</w:t>
                  </w:r>
                  <w:r>
                    <w:rPr>
                      <w:rFonts w:ascii="Times New Roman" w:hAnsi="Times New Roman" w:eastAsia="宋体" w:cs="Times New Roman"/>
                      <w:color w:val="auto"/>
                      <w:spacing w:val="2"/>
                      <w:sz w:val="21"/>
                      <w:szCs w:val="21"/>
                      <w:highlight w:val="none"/>
                      <w:lang w:eastAsia="zh-CN"/>
                    </w:rPr>
                    <w:t>合其质量标准</w:t>
                  </w:r>
                  <w:r>
                    <w:rPr>
                      <w:rFonts w:hint="eastAsia" w:ascii="Times New Roman" w:hAnsi="Times New Roman" w:eastAsia="宋体" w:cs="Times New Roman"/>
                      <w:color w:val="auto"/>
                      <w:spacing w:val="2"/>
                      <w:sz w:val="21"/>
                      <w:szCs w:val="21"/>
                      <w:highlight w:val="none"/>
                      <w:lang w:eastAsia="zh-CN"/>
                    </w:rPr>
                    <w:t>，</w:t>
                  </w:r>
                  <w:r>
                    <w:rPr>
                      <w:rFonts w:hint="eastAsia" w:ascii="Times New Roman" w:hAnsi="Times New Roman" w:cs="Times New Roman"/>
                      <w:color w:val="auto"/>
                      <w:sz w:val="21"/>
                      <w:szCs w:val="21"/>
                      <w:highlight w:val="none"/>
                    </w:rPr>
                    <w:t>从源头减少VOCs产生</w:t>
                  </w:r>
                  <w:r>
                    <w:rPr>
                      <w:rFonts w:hint="eastAsia" w:ascii="宋体" w:hAnsi="宋体" w:eastAsia="宋体" w:cs="宋体"/>
                      <w:color w:val="auto"/>
                      <w:sz w:val="21"/>
                      <w:szCs w:val="21"/>
                      <w:lang w:eastAsia="zh-CN"/>
                    </w:rPr>
                    <w:t>。企业建立原辅材料台账，符合要求。</w:t>
                  </w:r>
                  <w:r>
                    <w:rPr>
                      <w:rFonts w:ascii="Times New Roman" w:hAnsi="Times New Roman" w:eastAsia="宋体" w:cs="Times New Roman"/>
                      <w:color w:val="auto"/>
                      <w:sz w:val="21"/>
                      <w:szCs w:val="21"/>
                      <w:lang w:eastAsia="zh-CN"/>
                    </w:rPr>
                    <w:t>本项目使用</w:t>
                  </w:r>
                  <w:r>
                    <w:rPr>
                      <w:rFonts w:hint="eastAsia" w:ascii="Times New Roman" w:hAnsi="Times New Roman" w:eastAsia="宋体" w:cs="Times New Roman"/>
                      <w:color w:val="auto"/>
                      <w:sz w:val="21"/>
                      <w:szCs w:val="21"/>
                      <w:lang w:eastAsia="zh-CN"/>
                    </w:rPr>
                    <w:t>的漆</w:t>
                  </w:r>
                  <w:r>
                    <w:rPr>
                      <w:rFonts w:ascii="Times New Roman" w:hAnsi="Times New Roman" w:eastAsia="宋体" w:cs="Times New Roman"/>
                      <w:color w:val="auto"/>
                      <w:sz w:val="21"/>
                      <w:szCs w:val="21"/>
                      <w:lang w:eastAsia="zh-CN"/>
                    </w:rPr>
                    <w:t>、胶等</w:t>
                  </w:r>
                  <w:r>
                    <w:rPr>
                      <w:rFonts w:hint="eastAsia" w:ascii="Times New Roman" w:hAnsi="Times New Roman" w:eastAsia="宋体" w:cs="Times New Roman"/>
                      <w:color w:val="auto"/>
                      <w:sz w:val="21"/>
                      <w:szCs w:val="21"/>
                      <w:lang w:eastAsia="zh-CN"/>
                    </w:rPr>
                    <w:t>均为低VOCs的物料，且符合相关标准要求。</w:t>
                  </w:r>
                </w:p>
              </w:tc>
              <w:tc>
                <w:tcPr>
                  <w:tcW w:w="556" w:type="pct"/>
                  <w:noWrap w:val="0"/>
                  <w:vAlign w:val="center"/>
                </w:tcPr>
                <w:p w14:paraId="5286549F">
                  <w:pPr>
                    <w:spacing w:line="240" w:lineRule="auto"/>
                    <w:jc w:val="center"/>
                    <w:rPr>
                      <w:color w:val="auto"/>
                      <w:sz w:val="21"/>
                      <w:szCs w:val="21"/>
                      <w:highlight w:val="none"/>
                    </w:rPr>
                  </w:pPr>
                  <w:r>
                    <w:rPr>
                      <w:color w:val="auto"/>
                      <w:sz w:val="21"/>
                      <w:szCs w:val="21"/>
                      <w:highlight w:val="none"/>
                    </w:rPr>
                    <w:t>符合</w:t>
                  </w:r>
                </w:p>
              </w:tc>
            </w:tr>
            <w:tr w14:paraId="6DEE45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81" w:type="pct"/>
                  <w:gridSpan w:val="2"/>
                  <w:noWrap w:val="0"/>
                  <w:vAlign w:val="center"/>
                </w:tcPr>
                <w:p w14:paraId="0B86A5B6">
                  <w:pPr>
                    <w:widowControl/>
                    <w:spacing w:line="240" w:lineRule="auto"/>
                    <w:rPr>
                      <w:rFonts w:hint="eastAsia"/>
                      <w:color w:val="auto"/>
                      <w:kern w:val="0"/>
                      <w:sz w:val="21"/>
                      <w:szCs w:val="21"/>
                      <w:highlight w:val="none"/>
                      <w:lang w:eastAsia="zh-CN" w:bidi="ar"/>
                    </w:rPr>
                  </w:pPr>
                  <w:r>
                    <w:rPr>
                      <w:rFonts w:hint="eastAsia" w:ascii="宋体" w:hAnsi="宋体" w:eastAsia="宋体" w:cs="宋体"/>
                      <w:color w:val="auto"/>
                      <w:sz w:val="21"/>
                      <w:szCs w:val="21"/>
                      <w:lang w:eastAsia="zh-CN"/>
                    </w:rPr>
                    <w:t>（十四）强化挥发性有机物全流程、全环节综合治理。按照挥发性有机物相关标准规范，定期开展储罐密封性和生产装置动静密封点检测。污水处理场所高浓度有机废气要单独收集处理，含挥发性有机物有机废水储罐、装置区集水井（池）有机废气要密闭收集处理。企业开停工、检维修期间，及时收集处理退料、清洗、吹扫等作业产生的挥发性有机废气。企业不得将火炬燃烧装置作为日常大气污染处理设施。</w:t>
                  </w:r>
                </w:p>
              </w:tc>
              <w:tc>
                <w:tcPr>
                  <w:tcW w:w="1762" w:type="pct"/>
                  <w:noWrap w:val="0"/>
                  <w:vAlign w:val="center"/>
                </w:tcPr>
                <w:p w14:paraId="1B24ADD0">
                  <w:pPr>
                    <w:pStyle w:val="55"/>
                    <w:jc w:val="both"/>
                    <w:rPr>
                      <w:color w:val="auto"/>
                      <w:sz w:val="21"/>
                      <w:szCs w:val="21"/>
                      <w:highlight w:val="none"/>
                    </w:rPr>
                  </w:pPr>
                  <w:r>
                    <w:rPr>
                      <w:rFonts w:hint="eastAsia" w:ascii="宋体" w:hAnsi="宋体" w:eastAsia="宋体" w:cs="宋体"/>
                      <w:color w:val="auto"/>
                      <w:sz w:val="21"/>
                      <w:szCs w:val="21"/>
                      <w:lang w:eastAsia="zh-CN"/>
                    </w:rPr>
                    <w:t>本项目为</w:t>
                  </w:r>
                  <w:r>
                    <w:rPr>
                      <w:rFonts w:hint="default" w:ascii="Times New Roman" w:hAnsi="Times New Roman" w:eastAsia="宋体" w:cs="Times New Roman"/>
                      <w:color w:val="auto"/>
                      <w:sz w:val="21"/>
                      <w:szCs w:val="21"/>
                      <w:lang w:eastAsia="zh-CN"/>
                    </w:rPr>
                    <w:t>木地板制造项目，本项目使用</w:t>
                  </w:r>
                  <w:r>
                    <w:rPr>
                      <w:rFonts w:hint="eastAsia" w:ascii="Times New Roman" w:hAnsi="Times New Roman" w:eastAsia="宋体" w:cs="Times New Roman"/>
                      <w:color w:val="auto"/>
                      <w:sz w:val="21"/>
                      <w:szCs w:val="21"/>
                      <w:lang w:eastAsia="zh-CN"/>
                    </w:rPr>
                    <w:t>的</w:t>
                  </w:r>
                  <w:r>
                    <w:rPr>
                      <w:rFonts w:hint="default" w:ascii="Times New Roman" w:hAnsi="Times New Roman" w:eastAsia="宋体" w:cs="Times New Roman"/>
                      <w:color w:val="auto"/>
                      <w:sz w:val="21"/>
                      <w:szCs w:val="21"/>
                      <w:lang w:eastAsia="zh-CN"/>
                    </w:rPr>
                    <w:t>漆料</w:t>
                  </w:r>
                  <w:r>
                    <w:rPr>
                      <w:rFonts w:hint="eastAsia" w:ascii="Times New Roman" w:hAnsi="Times New Roman" w:eastAsia="宋体" w:cs="Times New Roman"/>
                      <w:color w:val="auto"/>
                      <w:sz w:val="21"/>
                      <w:szCs w:val="21"/>
                      <w:lang w:eastAsia="zh-CN"/>
                    </w:rPr>
                    <w:t>及木工胶</w:t>
                  </w:r>
                  <w:r>
                    <w:rPr>
                      <w:rFonts w:hint="eastAsia" w:ascii="宋体" w:hAnsi="宋体" w:eastAsia="宋体" w:cs="宋体"/>
                      <w:color w:val="auto"/>
                      <w:sz w:val="21"/>
                      <w:szCs w:val="21"/>
                      <w:lang w:eastAsia="zh-CN"/>
                    </w:rPr>
                    <w:t>均存储在包装桶内，密闭保存，厂内无储罐。</w:t>
                  </w:r>
                </w:p>
              </w:tc>
              <w:tc>
                <w:tcPr>
                  <w:tcW w:w="556" w:type="pct"/>
                  <w:noWrap w:val="0"/>
                  <w:vAlign w:val="center"/>
                </w:tcPr>
                <w:p w14:paraId="1B3F2440">
                  <w:pPr>
                    <w:spacing w:line="240" w:lineRule="auto"/>
                    <w:jc w:val="center"/>
                    <w:rPr>
                      <w:color w:val="auto"/>
                      <w:sz w:val="21"/>
                      <w:szCs w:val="21"/>
                      <w:highlight w:val="none"/>
                    </w:rPr>
                  </w:pPr>
                  <w:r>
                    <w:rPr>
                      <w:color w:val="auto"/>
                      <w:sz w:val="21"/>
                      <w:szCs w:val="21"/>
                      <w:highlight w:val="none"/>
                    </w:rPr>
                    <w:t>符合</w:t>
                  </w:r>
                </w:p>
              </w:tc>
            </w:tr>
          </w:tbl>
          <w:p w14:paraId="2403835B">
            <w:pPr>
              <w:rPr>
                <w:color w:val="auto"/>
                <w:highlight w:val="none"/>
              </w:rPr>
            </w:pPr>
          </w:p>
        </w:tc>
      </w:tr>
    </w:tbl>
    <w:p w14:paraId="7B2E4CD3">
      <w:pPr>
        <w:outlineLvl w:val="0"/>
        <w:rPr>
          <w:rFonts w:eastAsia="黑体"/>
          <w:color w:val="auto"/>
          <w:sz w:val="30"/>
          <w:highlight w:val="none"/>
        </w:rPr>
        <w:sectPr>
          <w:footerReference r:id="rId7" w:type="default"/>
          <w:pgSz w:w="11906" w:h="16838"/>
          <w:pgMar w:top="1701" w:right="1531" w:bottom="1701" w:left="1531" w:header="851" w:footer="1077" w:gutter="0"/>
          <w:pgNumType w:fmt="decimal" w:start="1"/>
          <w:cols w:space="720" w:num="1"/>
          <w:docGrid w:linePitch="312" w:charSpace="0"/>
        </w:sectPr>
      </w:pPr>
    </w:p>
    <w:p w14:paraId="1B4F77AB">
      <w:pPr>
        <w:pStyle w:val="21"/>
        <w:ind w:firstLine="420" w:firstLineChars="0"/>
        <w:jc w:val="center"/>
        <w:outlineLvl w:val="0"/>
        <w:rPr>
          <w:rFonts w:ascii="Times New Roman" w:hAnsi="Times New Roman" w:eastAsia="黑体"/>
          <w:snapToGrid w:val="0"/>
          <w:color w:val="auto"/>
          <w:sz w:val="30"/>
          <w:szCs w:val="30"/>
          <w:highlight w:val="none"/>
        </w:rPr>
      </w:pPr>
      <w:r>
        <w:rPr>
          <w:rFonts w:ascii="Times New Roman" w:hAnsi="Times New Roman" w:eastAsia="黑体"/>
          <w:snapToGrid w:val="0"/>
          <w:color w:val="auto"/>
          <w:sz w:val="30"/>
          <w:szCs w:val="30"/>
          <w:highlight w:val="none"/>
        </w:rPr>
        <w:t>二、建设项目工程分析</w:t>
      </w:r>
    </w:p>
    <w:tbl>
      <w:tblPr>
        <w:tblStyle w:val="25"/>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26"/>
        <w:gridCol w:w="8634"/>
      </w:tblGrid>
      <w:tr w14:paraId="5C29E09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26" w:type="dxa"/>
            <w:noWrap w:val="0"/>
            <w:vAlign w:val="center"/>
          </w:tcPr>
          <w:p w14:paraId="453DC551">
            <w:pPr>
              <w:pStyle w:val="21"/>
              <w:adjustRightInd w:val="0"/>
              <w:snapToGrid w:val="0"/>
              <w:spacing w:before="0" w:beforeAutospacing="0" w:after="0" w:afterAutospacing="0"/>
              <w:jc w:val="center"/>
              <w:rPr>
                <w:rFonts w:ascii="Times New Roman" w:hAnsi="Times New Roman"/>
                <w:color w:val="auto"/>
                <w:sz w:val="21"/>
                <w:szCs w:val="21"/>
                <w:highlight w:val="none"/>
                <w:lang w:val="en-US" w:eastAsia="zh-CN"/>
              </w:rPr>
            </w:pPr>
            <w:r>
              <w:rPr>
                <w:rFonts w:ascii="Times New Roman" w:hAnsi="Times New Roman"/>
                <w:color w:val="auto"/>
                <w:sz w:val="21"/>
                <w:szCs w:val="21"/>
                <w:highlight w:val="none"/>
                <w:lang w:val="en-US" w:eastAsia="zh-CN"/>
              </w:rPr>
              <w:t>建设内容</w:t>
            </w:r>
          </w:p>
        </w:tc>
        <w:tc>
          <w:tcPr>
            <w:tcW w:w="8634" w:type="dxa"/>
            <w:noWrap w:val="0"/>
            <w:vAlign w:val="top"/>
          </w:tcPr>
          <w:p w14:paraId="585E851D">
            <w:pPr>
              <w:pStyle w:val="69"/>
              <w:rPr>
                <w:color w:val="auto"/>
                <w:sz w:val="24"/>
                <w:highlight w:val="none"/>
              </w:rPr>
            </w:pPr>
            <w:r>
              <w:rPr>
                <w:rFonts w:hint="eastAsia"/>
                <w:color w:val="auto"/>
                <w:sz w:val="24"/>
                <w:highlight w:val="none"/>
              </w:rPr>
              <w:t>1、</w:t>
            </w:r>
            <w:r>
              <w:rPr>
                <w:color w:val="auto"/>
                <w:sz w:val="24"/>
                <w:highlight w:val="none"/>
              </w:rPr>
              <w:t>建设内容</w:t>
            </w:r>
          </w:p>
          <w:p w14:paraId="7EF1721F">
            <w:pPr>
              <w:pStyle w:val="75"/>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color w:val="auto"/>
                <w:sz w:val="24"/>
                <w:szCs w:val="24"/>
              </w:rPr>
            </w:pPr>
            <w:r>
              <w:rPr>
                <w:rFonts w:hint="eastAsia" w:ascii="Times New Roman" w:hAnsi="Times New Roman" w:eastAsia="宋体" w:cs="Times New Roman"/>
                <w:color w:val="auto"/>
                <w:sz w:val="24"/>
                <w:highlight w:val="none"/>
                <w:lang w:eastAsia="zh-CN"/>
              </w:rPr>
              <w:t>抚顺市连升体育运动地板厂</w:t>
            </w:r>
            <w:r>
              <w:rPr>
                <w:rFonts w:hint="eastAsia" w:eastAsia="宋体"/>
                <w:color w:val="auto"/>
                <w:sz w:val="24"/>
                <w:szCs w:val="24"/>
                <w:lang w:eastAsia="zh-CN"/>
              </w:rPr>
              <w:t>位于</w:t>
            </w:r>
            <w:r>
              <w:rPr>
                <w:rFonts w:hint="eastAsia"/>
                <w:color w:val="auto"/>
                <w:sz w:val="24"/>
                <w:highlight w:val="none"/>
              </w:rPr>
              <w:t>辽宁省抚顺市抚顺县救兵镇</w:t>
            </w:r>
            <w:r>
              <w:rPr>
                <w:rFonts w:hint="eastAsia"/>
                <w:color w:val="auto"/>
                <w:sz w:val="24"/>
                <w:highlight w:val="none"/>
                <w:lang w:eastAsia="zh-CN"/>
              </w:rPr>
              <w:t>康西</w:t>
            </w:r>
            <w:r>
              <w:rPr>
                <w:rFonts w:hint="eastAsia"/>
                <w:color w:val="auto"/>
                <w:sz w:val="24"/>
                <w:highlight w:val="none"/>
              </w:rPr>
              <w:t>村</w:t>
            </w:r>
            <w:r>
              <w:rPr>
                <w:rFonts w:hint="eastAsia" w:ascii="宋体" w:hAnsi="宋体" w:eastAsia="宋体" w:cs="宋体"/>
                <w:color w:val="auto"/>
                <w:sz w:val="24"/>
                <w:highlight w:val="none"/>
                <w:lang w:eastAsia="zh-CN"/>
              </w:rPr>
              <w:t>。本项目位于抚顺县救兵木业和新材料产业园区，租用园</w:t>
            </w:r>
            <w:r>
              <w:rPr>
                <w:rFonts w:hint="default" w:ascii="Times New Roman" w:hAnsi="Times New Roman" w:eastAsia="宋体" w:cs="Times New Roman"/>
                <w:color w:val="auto"/>
                <w:sz w:val="24"/>
                <w:highlight w:val="none"/>
                <w:lang w:eastAsia="zh-CN"/>
              </w:rPr>
              <w:t>区</w:t>
            </w:r>
            <w:r>
              <w:rPr>
                <w:rFonts w:hint="eastAsia" w:ascii="宋体" w:hAnsi="宋体" w:eastAsia="宋体" w:cs="宋体"/>
                <w:color w:val="auto"/>
                <w:sz w:val="24"/>
                <w:highlight w:val="none"/>
                <w:lang w:eastAsia="zh-CN"/>
              </w:rPr>
              <w:t>厂房进行</w:t>
            </w:r>
            <w:r>
              <w:rPr>
                <w:rFonts w:hint="default" w:ascii="Times New Roman" w:hAnsi="Times New Roman" w:eastAsia="宋体" w:cs="Times New Roman"/>
                <w:color w:val="auto"/>
                <w:sz w:val="24"/>
                <w:highlight w:val="none"/>
                <w:lang w:eastAsia="zh-CN"/>
              </w:rPr>
              <w:t>建设，</w:t>
            </w:r>
            <w:r>
              <w:rPr>
                <w:rFonts w:hint="default" w:ascii="Times New Roman" w:hAnsi="Times New Roman" w:eastAsia="宋体" w:cs="Times New Roman"/>
                <w:color w:val="auto"/>
                <w:sz w:val="24"/>
                <w:szCs w:val="24"/>
              </w:rPr>
              <w:t>租用协议见附件，用地性质为</w:t>
            </w:r>
            <w:r>
              <w:rPr>
                <w:rFonts w:hint="default" w:ascii="Times New Roman" w:hAnsi="Times New Roman" w:cs="Times New Roman"/>
                <w:color w:val="auto"/>
                <w:sz w:val="24"/>
                <w:szCs w:val="24"/>
                <w:lang w:eastAsia="zh-CN"/>
              </w:rPr>
              <w:t>工业用地</w:t>
            </w:r>
            <w:r>
              <w:rPr>
                <w:rFonts w:hint="default" w:ascii="Times New Roman" w:hAnsi="Times New Roman" w:cs="Times New Roman"/>
                <w:color w:val="auto"/>
                <w:spacing w:val="-1"/>
                <w:sz w:val="24"/>
                <w:szCs w:val="24"/>
              </w:rPr>
              <w:t>，投</w:t>
            </w:r>
            <w:r>
              <w:rPr>
                <w:rFonts w:hint="default" w:ascii="Times New Roman" w:hAnsi="Times New Roman" w:cs="Times New Roman"/>
                <w:color w:val="auto"/>
                <w:spacing w:val="-1"/>
                <w:sz w:val="24"/>
                <w:szCs w:val="24"/>
                <w:highlight w:val="none"/>
              </w:rPr>
              <w:t>资</w:t>
            </w:r>
            <w:r>
              <w:rPr>
                <w:rFonts w:hint="eastAsia" w:ascii="Times New Roman" w:hAnsi="Times New Roman" w:cs="Times New Roman"/>
                <w:color w:val="auto"/>
                <w:spacing w:val="-1"/>
                <w:sz w:val="24"/>
                <w:szCs w:val="24"/>
                <w:highlight w:val="none"/>
                <w:lang w:val="en-US" w:eastAsia="zh-CN"/>
              </w:rPr>
              <w:t>50</w:t>
            </w:r>
            <w:r>
              <w:rPr>
                <w:rFonts w:hint="default" w:ascii="Times New Roman" w:hAnsi="Times New Roman" w:cs="Times New Roman"/>
                <w:color w:val="auto"/>
                <w:spacing w:val="-1"/>
                <w:sz w:val="24"/>
                <w:szCs w:val="24"/>
              </w:rPr>
              <w:t>万元，建设年产</w:t>
            </w:r>
            <w:r>
              <w:rPr>
                <w:rFonts w:hint="default" w:ascii="Times New Roman" w:hAnsi="Times New Roman" w:cs="Times New Roman"/>
                <w:color w:val="auto"/>
                <w:lang w:val="en-US" w:eastAsia="zh-CN"/>
              </w:rPr>
              <w:t>1</w:t>
            </w:r>
            <w:r>
              <w:rPr>
                <w:rFonts w:hint="eastAsia" w:ascii="Times New Roman" w:hAnsi="Times New Roman" w:cs="Times New Roman"/>
                <w:color w:val="auto"/>
                <w:lang w:val="en-US" w:eastAsia="zh-CN"/>
              </w:rPr>
              <w:t>5</w:t>
            </w:r>
            <w:r>
              <w:rPr>
                <w:rFonts w:hint="default" w:ascii="Times New Roman" w:hAnsi="Times New Roman" w:cs="Times New Roman"/>
                <w:color w:val="auto"/>
                <w:lang w:val="en-US" w:eastAsia="zh-CN"/>
              </w:rPr>
              <w:t>万m</w:t>
            </w:r>
            <w:r>
              <w:rPr>
                <w:rFonts w:hint="default" w:ascii="Times New Roman" w:hAnsi="Times New Roman" w:cs="Times New Roman"/>
                <w:color w:val="auto"/>
                <w:vertAlign w:val="superscript"/>
                <w:lang w:val="en-US" w:eastAsia="zh-CN"/>
              </w:rPr>
              <w:t>2</w:t>
            </w:r>
            <w:r>
              <w:rPr>
                <w:rFonts w:hint="eastAsia" w:ascii="Times New Roman" w:hAnsi="Times New Roman" w:cs="Times New Roman"/>
                <w:color w:val="auto"/>
                <w:lang w:eastAsia="zh-CN"/>
              </w:rPr>
              <w:t>木</w:t>
            </w:r>
            <w:r>
              <w:rPr>
                <w:rFonts w:hint="eastAsia"/>
                <w:color w:val="auto"/>
                <w:lang w:eastAsia="zh-CN"/>
              </w:rPr>
              <w:t>地板</w:t>
            </w:r>
            <w:r>
              <w:rPr>
                <w:color w:val="auto"/>
                <w:spacing w:val="-1"/>
                <w:sz w:val="24"/>
                <w:szCs w:val="24"/>
              </w:rPr>
              <w:t>项目。</w:t>
            </w:r>
          </w:p>
          <w:p w14:paraId="4E09FF8F">
            <w:pPr>
              <w:widowControl/>
              <w:ind w:firstLine="480" w:firstLineChars="200"/>
              <w:rPr>
                <w:color w:val="auto"/>
                <w:sz w:val="24"/>
                <w:highlight w:val="none"/>
              </w:rPr>
            </w:pPr>
            <w:r>
              <w:rPr>
                <w:rFonts w:hint="eastAsia"/>
                <w:color w:val="auto"/>
                <w:sz w:val="24"/>
                <w:highlight w:val="none"/>
              </w:rPr>
              <w:t>根据《中华人</w:t>
            </w:r>
            <w:r>
              <w:rPr>
                <w:color w:val="auto"/>
                <w:sz w:val="24"/>
                <w:highlight w:val="none"/>
              </w:rPr>
              <w:t>民共和国环境保护法》、《中华人民共和国环境影响评价法》以及《建设项目环境保护管理条例》的规定，本项目实施需要开展环境影响评价工作，对照《建设项目环境影响评价分类管理名录》（2021年版）的规定，本项目属于第</w:t>
            </w:r>
            <w:r>
              <w:rPr>
                <w:rFonts w:hint="eastAsia"/>
                <w:color w:val="auto"/>
                <w:sz w:val="24"/>
                <w:highlight w:val="none"/>
                <w:lang w:eastAsia="zh-CN"/>
              </w:rPr>
              <w:t>十七</w:t>
            </w:r>
            <w:r>
              <w:rPr>
                <w:rFonts w:hint="eastAsia"/>
                <w:color w:val="auto"/>
                <w:sz w:val="24"/>
                <w:highlight w:val="none"/>
              </w:rPr>
              <w:t>类“</w:t>
            </w:r>
            <w:r>
              <w:rPr>
                <w:color w:val="auto"/>
                <w:spacing w:val="1"/>
                <w:sz w:val="24"/>
                <w:szCs w:val="24"/>
              </w:rPr>
              <w:t>木材加工和木、竹、藤、棕、草制品业</w:t>
            </w:r>
            <w:r>
              <w:rPr>
                <w:rFonts w:hint="eastAsia"/>
                <w:color w:val="auto"/>
                <w:sz w:val="24"/>
                <w:highlight w:val="none"/>
              </w:rPr>
              <w:t>”</w:t>
            </w:r>
            <w:r>
              <w:rPr>
                <w:color w:val="auto"/>
                <w:sz w:val="24"/>
                <w:highlight w:val="none"/>
              </w:rPr>
              <w:t>，</w:t>
            </w:r>
            <w:r>
              <w:rPr>
                <w:rFonts w:hint="eastAsia"/>
                <w:color w:val="auto"/>
                <w:sz w:val="24"/>
                <w:highlight w:val="none"/>
                <w:lang w:eastAsia="zh-CN"/>
              </w:rPr>
              <w:t>第</w:t>
            </w:r>
            <w:r>
              <w:rPr>
                <w:rFonts w:hint="eastAsia"/>
                <w:color w:val="auto"/>
                <w:sz w:val="24"/>
                <w:highlight w:val="none"/>
                <w:lang w:val="en-US" w:eastAsia="zh-CN"/>
              </w:rPr>
              <w:t>33条“木材加工201；木质制品制造203”中的“年用溶剂型涂料（含稀释剂）10吨以下的，或年用非溶剂型低VOCs含量涂料10吨及以上的；含木片烘干、水煮、染色等工艺的”</w:t>
            </w:r>
            <w:r>
              <w:rPr>
                <w:color w:val="auto"/>
                <w:sz w:val="24"/>
                <w:highlight w:val="none"/>
              </w:rPr>
              <w:t>，应编制</w:t>
            </w:r>
            <w:r>
              <w:rPr>
                <w:rFonts w:hint="eastAsia"/>
                <w:color w:val="auto"/>
                <w:sz w:val="24"/>
                <w:highlight w:val="none"/>
              </w:rPr>
              <w:t>“</w:t>
            </w:r>
            <w:r>
              <w:rPr>
                <w:color w:val="auto"/>
                <w:sz w:val="24"/>
                <w:highlight w:val="none"/>
              </w:rPr>
              <w:t>建设项目环境影响评价报告表</w:t>
            </w:r>
            <w:r>
              <w:rPr>
                <w:rFonts w:hint="eastAsia"/>
                <w:color w:val="auto"/>
                <w:sz w:val="24"/>
                <w:highlight w:val="none"/>
              </w:rPr>
              <w:t>”</w:t>
            </w:r>
            <w:r>
              <w:rPr>
                <w:color w:val="auto"/>
                <w:sz w:val="24"/>
                <w:highlight w:val="none"/>
              </w:rPr>
              <w:t>。</w:t>
            </w:r>
          </w:p>
          <w:p w14:paraId="63C894BC">
            <w:pPr>
              <w:pStyle w:val="69"/>
              <w:rPr>
                <w:rFonts w:hint="eastAsia"/>
                <w:color w:val="auto"/>
                <w:sz w:val="24"/>
                <w:highlight w:val="none"/>
              </w:rPr>
            </w:pPr>
            <w:r>
              <w:rPr>
                <w:rFonts w:hint="eastAsia"/>
                <w:color w:val="auto"/>
                <w:sz w:val="24"/>
                <w:highlight w:val="none"/>
              </w:rPr>
              <w:t>2、工程概况</w:t>
            </w:r>
          </w:p>
          <w:p w14:paraId="7FE40AC0">
            <w:pPr>
              <w:widowControl/>
              <w:ind w:firstLine="480" w:firstLineChars="200"/>
              <w:rPr>
                <w:color w:val="auto"/>
                <w:sz w:val="24"/>
                <w:highlight w:val="none"/>
              </w:rPr>
            </w:pPr>
            <w:r>
              <w:rPr>
                <w:color w:val="auto"/>
                <w:sz w:val="24"/>
                <w:highlight w:val="none"/>
              </w:rPr>
              <w:t>项目名称：</w:t>
            </w:r>
            <w:r>
              <w:rPr>
                <w:rFonts w:hint="eastAsia" w:ascii="Times New Roman" w:hAnsi="Times New Roman" w:eastAsia="宋体" w:cs="Times New Roman"/>
                <w:color w:val="auto"/>
                <w:sz w:val="24"/>
                <w:highlight w:val="none"/>
                <w:lang w:eastAsia="zh-CN"/>
              </w:rPr>
              <w:t>抚顺市连升体育运动地板厂</w:t>
            </w:r>
            <w:r>
              <w:rPr>
                <w:rFonts w:hint="eastAsia" w:ascii="Times New Roman" w:hAnsi="Times New Roman" w:eastAsia="宋体" w:cs="Times New Roman"/>
                <w:color w:val="auto"/>
                <w:sz w:val="24"/>
                <w:highlight w:val="none"/>
              </w:rPr>
              <w:t>项目</w:t>
            </w:r>
            <w:r>
              <w:rPr>
                <w:rFonts w:hint="eastAsia"/>
                <w:color w:val="auto"/>
                <w:sz w:val="24"/>
                <w:highlight w:val="none"/>
              </w:rPr>
              <w:t>；</w:t>
            </w:r>
          </w:p>
          <w:p w14:paraId="4597A3EE">
            <w:pPr>
              <w:widowControl/>
              <w:ind w:firstLine="480" w:firstLineChars="200"/>
              <w:rPr>
                <w:rFonts w:hint="eastAsia"/>
                <w:color w:val="auto"/>
                <w:sz w:val="24"/>
                <w:highlight w:val="none"/>
              </w:rPr>
            </w:pPr>
            <w:r>
              <w:rPr>
                <w:color w:val="auto"/>
                <w:sz w:val="24"/>
                <w:highlight w:val="none"/>
              </w:rPr>
              <w:t>建设单位：</w:t>
            </w:r>
            <w:r>
              <w:rPr>
                <w:rFonts w:hint="eastAsia" w:ascii="Times New Roman" w:hAnsi="Times New Roman" w:eastAsia="宋体" w:cs="Times New Roman"/>
                <w:color w:val="auto"/>
                <w:sz w:val="24"/>
                <w:highlight w:val="none"/>
                <w:lang w:eastAsia="zh-CN"/>
              </w:rPr>
              <w:t>抚顺市连升体育运动地板厂</w:t>
            </w:r>
            <w:r>
              <w:rPr>
                <w:rFonts w:hint="eastAsia"/>
                <w:color w:val="auto"/>
                <w:sz w:val="24"/>
                <w:highlight w:val="none"/>
              </w:rPr>
              <w:t>；</w:t>
            </w:r>
          </w:p>
          <w:p w14:paraId="7A830CE9">
            <w:pPr>
              <w:widowControl/>
              <w:ind w:firstLine="480" w:firstLineChars="200"/>
              <w:rPr>
                <w:color w:val="auto"/>
                <w:sz w:val="24"/>
                <w:highlight w:val="none"/>
              </w:rPr>
            </w:pPr>
            <w:r>
              <w:rPr>
                <w:color w:val="auto"/>
                <w:sz w:val="24"/>
                <w:highlight w:val="none"/>
              </w:rPr>
              <w:t>建设地点：</w:t>
            </w:r>
            <w:r>
              <w:rPr>
                <w:rFonts w:hint="eastAsia"/>
                <w:color w:val="auto"/>
                <w:sz w:val="24"/>
                <w:highlight w:val="none"/>
              </w:rPr>
              <w:t>辽宁省抚顺市抚顺县救兵镇</w:t>
            </w:r>
            <w:r>
              <w:rPr>
                <w:rFonts w:hint="eastAsia"/>
                <w:color w:val="auto"/>
                <w:sz w:val="24"/>
                <w:highlight w:val="none"/>
                <w:lang w:eastAsia="zh-CN"/>
              </w:rPr>
              <w:t>康西</w:t>
            </w:r>
            <w:r>
              <w:rPr>
                <w:rFonts w:hint="eastAsia"/>
                <w:color w:val="auto"/>
                <w:sz w:val="24"/>
                <w:highlight w:val="none"/>
              </w:rPr>
              <w:t>村救兵木业和新材料产业园区B区；</w:t>
            </w:r>
          </w:p>
          <w:p w14:paraId="4D097EB5">
            <w:pPr>
              <w:widowControl/>
              <w:ind w:firstLine="480" w:firstLineChars="200"/>
              <w:rPr>
                <w:rFonts w:hint="eastAsia" w:eastAsia="宋体"/>
                <w:color w:val="auto"/>
                <w:sz w:val="24"/>
                <w:highlight w:val="none"/>
                <w:lang w:eastAsia="zh-CN"/>
              </w:rPr>
            </w:pPr>
            <w:r>
              <w:rPr>
                <w:color w:val="auto"/>
                <w:sz w:val="24"/>
                <w:highlight w:val="none"/>
              </w:rPr>
              <w:t>建设性质：</w:t>
            </w:r>
            <w:r>
              <w:rPr>
                <w:rFonts w:hint="eastAsia"/>
                <w:color w:val="auto"/>
                <w:sz w:val="24"/>
                <w:highlight w:val="none"/>
                <w:lang w:eastAsia="zh-CN"/>
              </w:rPr>
              <w:t>新建；</w:t>
            </w:r>
          </w:p>
          <w:p w14:paraId="16AC16C7">
            <w:pPr>
              <w:widowControl/>
              <w:ind w:firstLine="480" w:firstLineChars="200"/>
              <w:rPr>
                <w:rFonts w:hint="eastAsia" w:eastAsia="宋体"/>
                <w:color w:val="auto"/>
                <w:kern w:val="0"/>
                <w:sz w:val="24"/>
                <w:highlight w:val="none"/>
                <w:lang w:eastAsia="zh-CN"/>
              </w:rPr>
            </w:pPr>
            <w:r>
              <w:rPr>
                <w:color w:val="auto"/>
                <w:sz w:val="24"/>
                <w:highlight w:val="none"/>
              </w:rPr>
              <w:t>项目投资</w:t>
            </w:r>
            <w:r>
              <w:rPr>
                <w:color w:val="auto"/>
                <w:kern w:val="0"/>
                <w:sz w:val="24"/>
                <w:highlight w:val="none"/>
              </w:rPr>
              <w:t>：本工程总投资</w:t>
            </w:r>
            <w:r>
              <w:rPr>
                <w:rFonts w:hint="eastAsia"/>
                <w:color w:val="auto"/>
                <w:kern w:val="0"/>
                <w:sz w:val="24"/>
                <w:highlight w:val="none"/>
                <w:lang w:val="en-US" w:eastAsia="zh-CN"/>
              </w:rPr>
              <w:t>50</w:t>
            </w:r>
            <w:r>
              <w:rPr>
                <w:color w:val="auto"/>
                <w:kern w:val="0"/>
                <w:sz w:val="24"/>
                <w:highlight w:val="none"/>
              </w:rPr>
              <w:t>万元</w:t>
            </w:r>
            <w:r>
              <w:rPr>
                <w:rFonts w:hint="eastAsia"/>
                <w:color w:val="auto"/>
                <w:kern w:val="0"/>
                <w:sz w:val="24"/>
                <w:highlight w:val="none"/>
                <w:lang w:eastAsia="zh-CN"/>
              </w:rPr>
              <w:t>；</w:t>
            </w:r>
          </w:p>
          <w:p w14:paraId="1992C223">
            <w:pPr>
              <w:ind w:firstLine="480" w:firstLineChars="200"/>
              <w:rPr>
                <w:rFonts w:hint="eastAsia" w:eastAsia="宋体"/>
                <w:color w:val="auto"/>
                <w:kern w:val="0"/>
                <w:sz w:val="24"/>
                <w:highlight w:val="none"/>
                <w:lang w:eastAsia="zh-CN"/>
              </w:rPr>
            </w:pPr>
            <w:r>
              <w:rPr>
                <w:color w:val="auto"/>
                <w:kern w:val="0"/>
                <w:sz w:val="24"/>
                <w:highlight w:val="none"/>
              </w:rPr>
              <w:t>劳动定员：</w:t>
            </w:r>
            <w:r>
              <w:rPr>
                <w:rFonts w:hint="eastAsia"/>
                <w:color w:val="auto"/>
                <w:sz w:val="24"/>
                <w:highlight w:val="none"/>
              </w:rPr>
              <w:t>劳动定员</w:t>
            </w:r>
            <w:r>
              <w:rPr>
                <w:rFonts w:hint="eastAsia"/>
                <w:color w:val="auto"/>
                <w:sz w:val="24"/>
                <w:highlight w:val="none"/>
                <w:lang w:val="en-US" w:eastAsia="zh-CN"/>
              </w:rPr>
              <w:t>20</w:t>
            </w:r>
            <w:r>
              <w:rPr>
                <w:rFonts w:hint="eastAsia"/>
                <w:color w:val="auto"/>
                <w:sz w:val="24"/>
                <w:highlight w:val="none"/>
              </w:rPr>
              <w:t>人</w:t>
            </w:r>
            <w:r>
              <w:rPr>
                <w:rFonts w:hint="eastAsia"/>
                <w:color w:val="auto"/>
                <w:sz w:val="24"/>
                <w:highlight w:val="none"/>
                <w:lang w:eastAsia="zh-CN"/>
              </w:rPr>
              <w:t>，均不在厂区内进行食宿</w:t>
            </w:r>
            <w:r>
              <w:rPr>
                <w:rFonts w:hint="eastAsia"/>
                <w:color w:val="auto"/>
                <w:kern w:val="0"/>
                <w:sz w:val="24"/>
                <w:highlight w:val="none"/>
                <w:lang w:eastAsia="zh-CN"/>
              </w:rPr>
              <w:t>；</w:t>
            </w:r>
          </w:p>
          <w:p w14:paraId="2FB4070A">
            <w:pPr>
              <w:ind w:firstLine="480"/>
              <w:rPr>
                <w:rFonts w:hint="eastAsia" w:eastAsia="宋体"/>
                <w:color w:val="auto"/>
                <w:sz w:val="24"/>
                <w:highlight w:val="none"/>
                <w:lang w:eastAsia="zh-CN"/>
              </w:rPr>
            </w:pPr>
            <w:r>
              <w:rPr>
                <w:color w:val="auto"/>
                <w:kern w:val="0"/>
                <w:sz w:val="24"/>
                <w:highlight w:val="none"/>
              </w:rPr>
              <w:t>项目占地：</w:t>
            </w:r>
            <w:r>
              <w:rPr>
                <w:rFonts w:hint="eastAsia"/>
                <w:color w:val="auto"/>
                <w:sz w:val="24"/>
                <w:highlight w:val="none"/>
              </w:rPr>
              <w:t>本项目占地</w:t>
            </w:r>
            <w:r>
              <w:rPr>
                <w:rFonts w:hint="eastAsia" w:eastAsia="宋体"/>
                <w:color w:val="auto"/>
                <w:sz w:val="24"/>
                <w:highlight w:val="none"/>
                <w:lang w:val="en-US" w:eastAsia="zh-CN"/>
              </w:rPr>
              <w:t>18186</w:t>
            </w:r>
            <w:r>
              <w:rPr>
                <w:color w:val="auto"/>
                <w:spacing w:val="-6"/>
                <w:sz w:val="24"/>
                <w:highlight w:val="none"/>
              </w:rPr>
              <w:t>m</w:t>
            </w:r>
            <w:r>
              <w:rPr>
                <w:color w:val="auto"/>
                <w:spacing w:val="-6"/>
                <w:sz w:val="24"/>
                <w:highlight w:val="none"/>
                <w:vertAlign w:val="superscript"/>
              </w:rPr>
              <w:t>2</w:t>
            </w:r>
            <w:r>
              <w:rPr>
                <w:rFonts w:hint="eastAsia"/>
                <w:color w:val="auto"/>
                <w:sz w:val="24"/>
                <w:highlight w:val="none"/>
                <w:lang w:eastAsia="zh-CN"/>
              </w:rPr>
              <w:t>；</w:t>
            </w:r>
          </w:p>
          <w:p w14:paraId="7D5F6D5A">
            <w:pPr>
              <w:ind w:firstLine="480"/>
              <w:rPr>
                <w:rFonts w:hint="eastAsia"/>
                <w:color w:val="auto"/>
                <w:sz w:val="24"/>
                <w:szCs w:val="24"/>
                <w:highlight w:val="none"/>
                <w:lang w:val="en-US" w:eastAsia="zh-CN"/>
              </w:rPr>
            </w:pPr>
            <w:r>
              <w:rPr>
                <w:rFonts w:hint="eastAsia"/>
                <w:color w:val="auto"/>
                <w:sz w:val="24"/>
                <w:highlight w:val="none"/>
                <w:lang w:eastAsia="zh-CN"/>
              </w:rPr>
              <w:t>生产规模：年生产</w:t>
            </w:r>
            <w:r>
              <w:rPr>
                <w:rFonts w:hint="eastAsia"/>
                <w:color w:val="auto"/>
                <w:sz w:val="24"/>
                <w:highlight w:val="none"/>
                <w:lang w:val="en-US" w:eastAsia="zh-CN"/>
              </w:rPr>
              <w:t>15万</w:t>
            </w:r>
            <w:r>
              <w:rPr>
                <w:rFonts w:hint="default" w:ascii="Times New Roman" w:hAnsi="Times New Roman" w:cs="Times New Roman"/>
                <w:color w:val="auto"/>
                <w:sz w:val="24"/>
                <w:szCs w:val="24"/>
                <w:lang w:val="en-US" w:eastAsia="zh-CN"/>
              </w:rPr>
              <w:t>m</w:t>
            </w:r>
            <w:r>
              <w:rPr>
                <w:rFonts w:hint="default" w:ascii="Times New Roman" w:hAnsi="Times New Roman" w:cs="Times New Roman"/>
                <w:color w:val="auto"/>
                <w:sz w:val="24"/>
                <w:szCs w:val="24"/>
                <w:vertAlign w:val="superscript"/>
                <w:lang w:val="en-US" w:eastAsia="zh-CN"/>
              </w:rPr>
              <w:t>2</w:t>
            </w:r>
            <w:r>
              <w:rPr>
                <w:rFonts w:hint="eastAsia" w:ascii="Times New Roman" w:hAnsi="Times New Roman" w:cs="Times New Roman"/>
                <w:color w:val="auto"/>
                <w:sz w:val="24"/>
                <w:szCs w:val="24"/>
                <w:lang w:eastAsia="zh-CN"/>
              </w:rPr>
              <w:t>木</w:t>
            </w:r>
            <w:r>
              <w:rPr>
                <w:rFonts w:hint="eastAsia"/>
                <w:color w:val="auto"/>
                <w:sz w:val="24"/>
                <w:szCs w:val="24"/>
                <w:lang w:eastAsia="zh-CN"/>
              </w:rPr>
              <w:t>地板</w:t>
            </w:r>
            <w:r>
              <w:rPr>
                <w:rFonts w:hint="eastAsia"/>
                <w:color w:val="auto"/>
                <w:sz w:val="24"/>
                <w:szCs w:val="24"/>
                <w:highlight w:val="none"/>
                <w:lang w:val="en-US" w:eastAsia="zh-CN"/>
              </w:rPr>
              <w:t>；</w:t>
            </w:r>
          </w:p>
          <w:p w14:paraId="43AF18E6">
            <w:pPr>
              <w:ind w:firstLine="480"/>
              <w:rPr>
                <w:rFonts w:hint="default"/>
                <w:color w:val="auto"/>
                <w:sz w:val="24"/>
                <w:highlight w:val="none"/>
                <w:lang w:val="en-US" w:eastAsia="zh-CN"/>
              </w:rPr>
            </w:pPr>
            <w:r>
              <w:rPr>
                <w:rFonts w:hint="eastAsia"/>
                <w:color w:val="auto"/>
                <w:sz w:val="24"/>
                <w:highlight w:val="none"/>
                <w:lang w:val="en-US" w:eastAsia="zh-CN"/>
              </w:rPr>
              <w:t>工作制度：年工作330天，每天工作9小时（7:00—16:00）；</w:t>
            </w:r>
          </w:p>
          <w:p w14:paraId="676570A1">
            <w:pPr>
              <w:ind w:firstLine="480"/>
              <w:rPr>
                <w:rFonts w:hint="eastAsia" w:eastAsia="宋体"/>
                <w:color w:val="auto"/>
                <w:sz w:val="24"/>
                <w:highlight w:val="none"/>
                <w:vertAlign w:val="superscript"/>
                <w:lang w:eastAsia="zh-CN"/>
              </w:rPr>
            </w:pPr>
            <w:r>
              <w:rPr>
                <w:color w:val="auto"/>
                <w:sz w:val="24"/>
                <w:highlight w:val="none"/>
              </w:rPr>
              <w:t>地理位置：地理位置见附图1</w:t>
            </w:r>
            <w:r>
              <w:rPr>
                <w:rFonts w:hint="eastAsia"/>
                <w:color w:val="auto"/>
                <w:sz w:val="24"/>
                <w:highlight w:val="none"/>
                <w:lang w:eastAsia="zh-CN"/>
              </w:rPr>
              <w:t>；</w:t>
            </w:r>
          </w:p>
          <w:p w14:paraId="78E7E1D7">
            <w:pPr>
              <w:pStyle w:val="62"/>
              <w:ind w:firstLine="480" w:firstLineChars="200"/>
              <w:rPr>
                <w:b w:val="0"/>
                <w:color w:val="auto"/>
                <w:kern w:val="0"/>
                <w:highlight w:val="none"/>
              </w:rPr>
            </w:pPr>
            <w:r>
              <w:rPr>
                <w:b w:val="0"/>
                <w:color w:val="auto"/>
                <w:kern w:val="0"/>
                <w:highlight w:val="none"/>
              </w:rPr>
              <w:t>本项目</w:t>
            </w:r>
            <w:r>
              <w:rPr>
                <w:rFonts w:hint="eastAsia"/>
                <w:b w:val="0"/>
                <w:color w:val="auto"/>
                <w:kern w:val="0"/>
                <w:highlight w:val="none"/>
              </w:rPr>
              <w:t>平面布置图</w:t>
            </w:r>
            <w:r>
              <w:rPr>
                <w:b w:val="0"/>
                <w:color w:val="auto"/>
                <w:kern w:val="0"/>
                <w:highlight w:val="none"/>
              </w:rPr>
              <w:t>见附图</w:t>
            </w:r>
            <w:r>
              <w:rPr>
                <w:rFonts w:hint="eastAsia"/>
                <w:b w:val="0"/>
                <w:color w:val="auto"/>
                <w:kern w:val="0"/>
                <w:highlight w:val="none"/>
                <w:lang w:val="en-US" w:eastAsia="zh-CN"/>
              </w:rPr>
              <w:t>2</w:t>
            </w:r>
            <w:r>
              <w:rPr>
                <w:b w:val="0"/>
                <w:color w:val="auto"/>
                <w:kern w:val="0"/>
                <w:highlight w:val="none"/>
              </w:rPr>
              <w:t>。</w:t>
            </w:r>
          </w:p>
          <w:p w14:paraId="74ABDB33">
            <w:pPr>
              <w:pStyle w:val="69"/>
              <w:rPr>
                <w:color w:val="auto"/>
                <w:sz w:val="24"/>
                <w:highlight w:val="none"/>
              </w:rPr>
            </w:pPr>
            <w:r>
              <w:rPr>
                <w:rFonts w:hint="eastAsia"/>
                <w:color w:val="auto"/>
                <w:sz w:val="24"/>
                <w:highlight w:val="none"/>
              </w:rPr>
              <w:t>3、工程内容</w:t>
            </w:r>
          </w:p>
          <w:p w14:paraId="183074D9">
            <w:pPr>
              <w:ind w:firstLine="480" w:firstLineChars="200"/>
              <w:rPr>
                <w:rFonts w:hint="eastAsia"/>
                <w:color w:val="auto"/>
                <w:sz w:val="24"/>
                <w:highlight w:val="none"/>
              </w:rPr>
            </w:pPr>
            <w:r>
              <w:rPr>
                <w:rFonts w:hint="eastAsia"/>
                <w:color w:val="auto"/>
                <w:sz w:val="24"/>
                <w:highlight w:val="none"/>
              </w:rPr>
              <w:t>本项目组成情况见下表。</w:t>
            </w:r>
          </w:p>
          <w:p w14:paraId="433576D2">
            <w:pPr>
              <w:pStyle w:val="68"/>
              <w:numPr>
                <w:ilvl w:val="0"/>
                <w:numId w:val="13"/>
              </w:numPr>
              <w:spacing w:line="360" w:lineRule="auto"/>
              <w:ind w:left="0" w:leftChars="0" w:firstLine="0" w:firstLineChars="0"/>
              <w:jc w:val="center"/>
              <w:rPr>
                <w:color w:val="auto"/>
                <w:highlight w:val="none"/>
              </w:rPr>
            </w:pPr>
            <w:r>
              <w:rPr>
                <w:rFonts w:hint="eastAsia"/>
                <w:color w:val="auto"/>
                <w:highlight w:val="none"/>
                <w:lang w:val="en-US" w:eastAsia="zh-CN"/>
              </w:rPr>
              <w:t xml:space="preserve"> </w:t>
            </w:r>
            <w:r>
              <w:rPr>
                <w:color w:val="auto"/>
                <w:highlight w:val="none"/>
              </w:rPr>
              <w:t>项目组成一览表</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0"/>
              <w:gridCol w:w="1142"/>
              <w:gridCol w:w="1299"/>
              <w:gridCol w:w="3872"/>
              <w:gridCol w:w="1275"/>
            </w:tblGrid>
            <w:tr w14:paraId="23F128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487" w:type="pct"/>
                  <w:noWrap w:val="0"/>
                  <w:vAlign w:val="center"/>
                </w:tcPr>
                <w:p w14:paraId="49EF7AE0">
                  <w:pPr>
                    <w:pStyle w:val="60"/>
                    <w:spacing w:line="240" w:lineRule="auto"/>
                    <w:jc w:val="center"/>
                    <w:rPr>
                      <w:color w:val="auto"/>
                      <w:kern w:val="2"/>
                      <w:szCs w:val="21"/>
                      <w:highlight w:val="none"/>
                    </w:rPr>
                  </w:pPr>
                  <w:r>
                    <w:rPr>
                      <w:color w:val="auto"/>
                      <w:kern w:val="2"/>
                      <w:szCs w:val="21"/>
                      <w:highlight w:val="none"/>
                    </w:rPr>
                    <w:t>工程</w:t>
                  </w:r>
                </w:p>
                <w:p w14:paraId="28AD2147">
                  <w:pPr>
                    <w:pStyle w:val="60"/>
                    <w:spacing w:line="240" w:lineRule="auto"/>
                    <w:jc w:val="center"/>
                    <w:rPr>
                      <w:color w:val="auto"/>
                      <w:kern w:val="2"/>
                      <w:szCs w:val="21"/>
                      <w:highlight w:val="none"/>
                    </w:rPr>
                  </w:pPr>
                  <w:r>
                    <w:rPr>
                      <w:color w:val="auto"/>
                      <w:kern w:val="2"/>
                      <w:szCs w:val="21"/>
                      <w:highlight w:val="none"/>
                    </w:rPr>
                    <w:t>类别</w:t>
                  </w:r>
                </w:p>
              </w:tc>
              <w:tc>
                <w:tcPr>
                  <w:tcW w:w="679" w:type="pct"/>
                  <w:noWrap w:val="0"/>
                  <w:vAlign w:val="center"/>
                </w:tcPr>
                <w:p w14:paraId="061D7566">
                  <w:pPr>
                    <w:pStyle w:val="60"/>
                    <w:spacing w:line="240" w:lineRule="auto"/>
                    <w:jc w:val="center"/>
                    <w:rPr>
                      <w:color w:val="auto"/>
                      <w:kern w:val="2"/>
                      <w:szCs w:val="21"/>
                      <w:highlight w:val="none"/>
                    </w:rPr>
                  </w:pPr>
                  <w:r>
                    <w:rPr>
                      <w:rFonts w:hint="eastAsia"/>
                      <w:color w:val="auto"/>
                      <w:kern w:val="2"/>
                      <w:szCs w:val="21"/>
                      <w:highlight w:val="none"/>
                    </w:rPr>
                    <w:t>单项</w:t>
                  </w:r>
                  <w:r>
                    <w:rPr>
                      <w:color w:val="auto"/>
                      <w:kern w:val="2"/>
                      <w:szCs w:val="21"/>
                      <w:highlight w:val="none"/>
                    </w:rPr>
                    <w:t>名称</w:t>
                  </w:r>
                </w:p>
              </w:tc>
              <w:tc>
                <w:tcPr>
                  <w:tcW w:w="3075" w:type="pct"/>
                  <w:gridSpan w:val="2"/>
                  <w:noWrap w:val="0"/>
                  <w:vAlign w:val="center"/>
                </w:tcPr>
                <w:p w14:paraId="66709CBD">
                  <w:pPr>
                    <w:pStyle w:val="60"/>
                    <w:spacing w:line="240" w:lineRule="auto"/>
                    <w:jc w:val="center"/>
                    <w:rPr>
                      <w:rFonts w:hint="eastAsia"/>
                      <w:color w:val="auto"/>
                      <w:kern w:val="2"/>
                      <w:szCs w:val="21"/>
                      <w:highlight w:val="none"/>
                    </w:rPr>
                  </w:pPr>
                  <w:r>
                    <w:rPr>
                      <w:rFonts w:hint="eastAsia"/>
                      <w:color w:val="auto"/>
                      <w:kern w:val="2"/>
                      <w:szCs w:val="21"/>
                      <w:highlight w:val="none"/>
                    </w:rPr>
                    <w:t>工程内容</w:t>
                  </w:r>
                </w:p>
              </w:tc>
              <w:tc>
                <w:tcPr>
                  <w:tcW w:w="758" w:type="pct"/>
                  <w:noWrap w:val="0"/>
                  <w:vAlign w:val="center"/>
                </w:tcPr>
                <w:p w14:paraId="4D22E386">
                  <w:pPr>
                    <w:pStyle w:val="60"/>
                    <w:spacing w:line="240" w:lineRule="auto"/>
                    <w:jc w:val="center"/>
                    <w:rPr>
                      <w:color w:val="auto"/>
                      <w:kern w:val="2"/>
                      <w:szCs w:val="21"/>
                      <w:highlight w:val="none"/>
                    </w:rPr>
                  </w:pPr>
                  <w:r>
                    <w:rPr>
                      <w:color w:val="auto"/>
                      <w:kern w:val="2"/>
                      <w:szCs w:val="21"/>
                      <w:highlight w:val="none"/>
                    </w:rPr>
                    <w:t>备注</w:t>
                  </w:r>
                </w:p>
              </w:tc>
            </w:tr>
            <w:tr w14:paraId="5938D7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487" w:type="pct"/>
                  <w:noWrap w:val="0"/>
                  <w:vAlign w:val="center"/>
                </w:tcPr>
                <w:p w14:paraId="5F6A7BA6">
                  <w:pPr>
                    <w:pStyle w:val="60"/>
                    <w:spacing w:line="240" w:lineRule="auto"/>
                    <w:jc w:val="center"/>
                    <w:rPr>
                      <w:color w:val="auto"/>
                      <w:kern w:val="2"/>
                      <w:szCs w:val="21"/>
                      <w:highlight w:val="none"/>
                    </w:rPr>
                  </w:pPr>
                  <w:r>
                    <w:rPr>
                      <w:color w:val="auto"/>
                      <w:kern w:val="2"/>
                      <w:szCs w:val="21"/>
                      <w:highlight w:val="none"/>
                    </w:rPr>
                    <w:t>主体</w:t>
                  </w:r>
                </w:p>
                <w:p w14:paraId="44E0AACE">
                  <w:pPr>
                    <w:pStyle w:val="60"/>
                    <w:spacing w:line="240" w:lineRule="auto"/>
                    <w:jc w:val="center"/>
                    <w:rPr>
                      <w:color w:val="auto"/>
                      <w:kern w:val="2"/>
                      <w:szCs w:val="21"/>
                      <w:highlight w:val="none"/>
                    </w:rPr>
                  </w:pPr>
                  <w:r>
                    <w:rPr>
                      <w:color w:val="auto"/>
                      <w:kern w:val="2"/>
                      <w:szCs w:val="21"/>
                      <w:highlight w:val="none"/>
                    </w:rPr>
                    <w:t>工程</w:t>
                  </w:r>
                </w:p>
              </w:tc>
              <w:tc>
                <w:tcPr>
                  <w:tcW w:w="679" w:type="pct"/>
                  <w:noWrap w:val="0"/>
                  <w:vAlign w:val="center"/>
                </w:tcPr>
                <w:p w14:paraId="0A110A8C">
                  <w:pPr>
                    <w:pStyle w:val="60"/>
                    <w:spacing w:line="240" w:lineRule="auto"/>
                    <w:jc w:val="center"/>
                    <w:rPr>
                      <w:color w:val="auto"/>
                      <w:kern w:val="2"/>
                      <w:szCs w:val="21"/>
                      <w:highlight w:val="none"/>
                    </w:rPr>
                  </w:pPr>
                  <w:r>
                    <w:rPr>
                      <w:color w:val="auto"/>
                      <w:spacing w:val="7"/>
                    </w:rPr>
                    <w:t>生</w:t>
                  </w:r>
                  <w:r>
                    <w:rPr>
                      <w:color w:val="auto"/>
                      <w:spacing w:val="6"/>
                    </w:rPr>
                    <w:t>产车间</w:t>
                  </w:r>
                </w:p>
              </w:tc>
              <w:tc>
                <w:tcPr>
                  <w:tcW w:w="3075" w:type="pct"/>
                  <w:gridSpan w:val="2"/>
                  <w:noWrap w:val="0"/>
                  <w:vAlign w:val="center"/>
                </w:tcPr>
                <w:p w14:paraId="793D0400">
                  <w:pPr>
                    <w:pStyle w:val="60"/>
                    <w:spacing w:line="240" w:lineRule="auto"/>
                    <w:rPr>
                      <w:color w:val="auto"/>
                      <w:kern w:val="2"/>
                      <w:szCs w:val="21"/>
                      <w:highlight w:val="none"/>
                    </w:rPr>
                  </w:pPr>
                  <w:r>
                    <w:rPr>
                      <w:rFonts w:hint="eastAsia"/>
                      <w:color w:val="auto"/>
                      <w:spacing w:val="1"/>
                      <w:lang w:val="en-US" w:eastAsia="zh-CN"/>
                    </w:rPr>
                    <w:t>1F，</w:t>
                  </w:r>
                  <w:r>
                    <w:rPr>
                      <w:color w:val="auto"/>
                      <w:spacing w:val="6"/>
                    </w:rPr>
                    <w:t>建筑面积</w:t>
                  </w:r>
                  <w:r>
                    <w:rPr>
                      <w:rFonts w:hint="eastAsia" w:ascii="Times New Roman" w:hAnsi="Times New Roman" w:eastAsia="宋体" w:cs="Times New Roman"/>
                      <w:color w:val="auto"/>
                      <w:spacing w:val="6"/>
                      <w:lang w:val="en-US" w:eastAsia="zh-CN"/>
                    </w:rPr>
                    <w:t>7161.82</w:t>
                  </w:r>
                  <w:r>
                    <w:rPr>
                      <w:rFonts w:ascii="Times New Roman" w:hAnsi="Times New Roman" w:eastAsia="Times New Roman" w:cs="Times New Roman"/>
                      <w:color w:val="auto"/>
                      <w:spacing w:val="6"/>
                    </w:rPr>
                    <w:t>m</w:t>
                  </w:r>
                  <w:r>
                    <w:rPr>
                      <w:rFonts w:ascii="Times New Roman" w:hAnsi="Times New Roman" w:eastAsia="Times New Roman" w:cs="Times New Roman"/>
                      <w:color w:val="auto"/>
                      <w:spacing w:val="6"/>
                      <w:position w:val="6"/>
                      <w:sz w:val="13"/>
                      <w:szCs w:val="13"/>
                    </w:rPr>
                    <w:t>2</w:t>
                  </w:r>
                  <w:r>
                    <w:rPr>
                      <w:color w:val="auto"/>
                      <w:spacing w:val="6"/>
                    </w:rPr>
                    <w:t>，高度</w:t>
                  </w:r>
                  <w:r>
                    <w:rPr>
                      <w:rFonts w:hint="eastAsia" w:ascii="Times New Roman" w:hAnsi="Times New Roman" w:eastAsia="宋体" w:cs="Times New Roman"/>
                      <w:color w:val="auto"/>
                      <w:spacing w:val="6"/>
                      <w:lang w:val="en-US" w:eastAsia="zh-CN"/>
                    </w:rPr>
                    <w:t>10</w:t>
                  </w:r>
                  <w:r>
                    <w:rPr>
                      <w:rFonts w:ascii="Times New Roman" w:hAnsi="Times New Roman" w:eastAsia="Times New Roman" w:cs="Times New Roman"/>
                      <w:color w:val="auto"/>
                      <w:spacing w:val="6"/>
                    </w:rPr>
                    <w:t>m</w:t>
                  </w:r>
                  <w:r>
                    <w:rPr>
                      <w:color w:val="auto"/>
                      <w:spacing w:val="6"/>
                    </w:rPr>
                    <w:t>，用于</w:t>
                  </w:r>
                  <w:r>
                    <w:rPr>
                      <w:rFonts w:hint="eastAsia"/>
                      <w:color w:val="auto"/>
                      <w:spacing w:val="6"/>
                      <w:lang w:eastAsia="zh-CN"/>
                    </w:rPr>
                    <w:t>产品下料、刨光、梳齿指接、砂光、开槽、辊漆、</w:t>
                  </w:r>
                  <w:r>
                    <w:rPr>
                      <w:rFonts w:hint="eastAsia" w:ascii="Times New Roman" w:hAnsi="Times New Roman" w:eastAsia="宋体" w:cs="Times New Roman"/>
                      <w:color w:val="auto"/>
                      <w:sz w:val="21"/>
                      <w:szCs w:val="21"/>
                      <w:highlight w:val="none"/>
                      <w:lang w:val="en-US" w:eastAsia="zh-CN"/>
                    </w:rPr>
                    <w:t>紫外光固化</w:t>
                  </w:r>
                  <w:r>
                    <w:rPr>
                      <w:rFonts w:hint="eastAsia"/>
                      <w:color w:val="auto"/>
                      <w:spacing w:val="6"/>
                      <w:lang w:val="en-US" w:eastAsia="zh-CN"/>
                    </w:rPr>
                    <w:t>、</w:t>
                  </w:r>
                  <w:r>
                    <w:rPr>
                      <w:rFonts w:hint="eastAsia"/>
                      <w:color w:val="auto"/>
                      <w:spacing w:val="6"/>
                      <w:lang w:eastAsia="zh-CN"/>
                    </w:rPr>
                    <w:t>包装及产品暂存</w:t>
                  </w:r>
                  <w:r>
                    <w:rPr>
                      <w:color w:val="auto"/>
                      <w:spacing w:val="9"/>
                    </w:rPr>
                    <w:t>等。</w:t>
                  </w:r>
                </w:p>
              </w:tc>
              <w:tc>
                <w:tcPr>
                  <w:tcW w:w="758" w:type="pct"/>
                  <w:noWrap w:val="0"/>
                  <w:vAlign w:val="center"/>
                </w:tcPr>
                <w:p w14:paraId="5A94EA75">
                  <w:pPr>
                    <w:pStyle w:val="60"/>
                    <w:spacing w:line="240" w:lineRule="auto"/>
                    <w:jc w:val="center"/>
                    <w:rPr>
                      <w:rFonts w:hint="eastAsia" w:eastAsia="宋体"/>
                      <w:color w:val="auto"/>
                      <w:kern w:val="2"/>
                      <w:szCs w:val="21"/>
                      <w:highlight w:val="none"/>
                      <w:lang w:eastAsia="zh-CN"/>
                    </w:rPr>
                  </w:pPr>
                  <w:r>
                    <w:rPr>
                      <w:rFonts w:hint="eastAsia"/>
                      <w:color w:val="auto"/>
                      <w:kern w:val="2"/>
                      <w:szCs w:val="21"/>
                      <w:highlight w:val="none"/>
                      <w:lang w:eastAsia="zh-CN"/>
                    </w:rPr>
                    <w:t>车间租用，设备新建</w:t>
                  </w:r>
                </w:p>
              </w:tc>
            </w:tr>
            <w:tr w14:paraId="72D488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487" w:type="pct"/>
                  <w:vMerge w:val="restart"/>
                  <w:noWrap w:val="0"/>
                  <w:vAlign w:val="center"/>
                </w:tcPr>
                <w:p w14:paraId="680B62A0">
                  <w:pPr>
                    <w:pStyle w:val="60"/>
                    <w:spacing w:line="240" w:lineRule="auto"/>
                    <w:jc w:val="center"/>
                    <w:rPr>
                      <w:rFonts w:hint="eastAsia" w:eastAsia="宋体"/>
                      <w:color w:val="auto"/>
                      <w:kern w:val="2"/>
                      <w:szCs w:val="21"/>
                      <w:highlight w:val="none"/>
                      <w:lang w:eastAsia="zh-CN"/>
                    </w:rPr>
                  </w:pPr>
                  <w:r>
                    <w:rPr>
                      <w:rFonts w:hint="eastAsia"/>
                      <w:color w:val="auto"/>
                      <w:kern w:val="2"/>
                      <w:szCs w:val="21"/>
                      <w:highlight w:val="none"/>
                      <w:lang w:eastAsia="zh-CN"/>
                    </w:rPr>
                    <w:t>辅助工程</w:t>
                  </w:r>
                </w:p>
              </w:tc>
              <w:tc>
                <w:tcPr>
                  <w:tcW w:w="679" w:type="pct"/>
                  <w:noWrap w:val="0"/>
                  <w:vAlign w:val="center"/>
                </w:tcPr>
                <w:p w14:paraId="3F8E98FB">
                  <w:pPr>
                    <w:pStyle w:val="60"/>
                    <w:spacing w:line="240" w:lineRule="auto"/>
                    <w:jc w:val="center"/>
                    <w:rPr>
                      <w:rFonts w:hint="eastAsia"/>
                      <w:color w:val="auto"/>
                      <w:spacing w:val="7"/>
                      <w:lang w:eastAsia="zh-CN"/>
                    </w:rPr>
                  </w:pPr>
                  <w:r>
                    <w:rPr>
                      <w:rFonts w:hint="eastAsia"/>
                      <w:color w:val="auto"/>
                      <w:spacing w:val="7"/>
                      <w:lang w:eastAsia="zh-CN"/>
                    </w:rPr>
                    <w:t>办公楼</w:t>
                  </w:r>
                </w:p>
              </w:tc>
              <w:tc>
                <w:tcPr>
                  <w:tcW w:w="3075" w:type="pct"/>
                  <w:gridSpan w:val="2"/>
                  <w:noWrap w:val="0"/>
                  <w:vAlign w:val="center"/>
                </w:tcPr>
                <w:p w14:paraId="668301FD">
                  <w:pPr>
                    <w:pStyle w:val="60"/>
                    <w:spacing w:line="240" w:lineRule="auto"/>
                    <w:rPr>
                      <w:rFonts w:hint="eastAsia"/>
                      <w:color w:val="auto"/>
                      <w:spacing w:val="1"/>
                      <w:lang w:eastAsia="zh-CN"/>
                    </w:rPr>
                  </w:pPr>
                  <w:r>
                    <w:rPr>
                      <w:rStyle w:val="93"/>
                      <w:rFonts w:hint="eastAsia" w:ascii="Times New Roman" w:hAnsi="Times New Roman" w:cs="Times New Roman"/>
                      <w:color w:val="auto"/>
                      <w:sz w:val="21"/>
                      <w:szCs w:val="21"/>
                      <w:lang w:val="en-US" w:eastAsia="zh-CN"/>
                    </w:rPr>
                    <w:t>4</w:t>
                  </w:r>
                  <w:r>
                    <w:rPr>
                      <w:rStyle w:val="93"/>
                      <w:rFonts w:ascii="Times New Roman" w:hAnsi="Times New Roman" w:cs="Times New Roman"/>
                      <w:color w:val="auto"/>
                      <w:sz w:val="21"/>
                      <w:szCs w:val="21"/>
                      <w:lang w:eastAsia="zh-CN"/>
                    </w:rPr>
                    <w:t>F</w:t>
                  </w:r>
                  <w:r>
                    <w:rPr>
                      <w:rStyle w:val="93"/>
                      <w:rFonts w:hint="eastAsia" w:ascii="Times New Roman" w:hAnsi="Times New Roman" w:cs="Times New Roman"/>
                      <w:color w:val="auto"/>
                      <w:sz w:val="21"/>
                      <w:szCs w:val="21"/>
                      <w:lang w:eastAsia="zh-CN"/>
                    </w:rPr>
                    <w:t>，</w:t>
                  </w:r>
                  <w:r>
                    <w:rPr>
                      <w:rStyle w:val="93"/>
                      <w:rFonts w:ascii="Times New Roman" w:hAnsi="Times New Roman" w:cs="Times New Roman"/>
                      <w:color w:val="auto"/>
                      <w:sz w:val="21"/>
                      <w:szCs w:val="21"/>
                      <w:lang w:eastAsia="zh-CN"/>
                    </w:rPr>
                    <w:t>建筑面积</w:t>
                  </w:r>
                  <w:r>
                    <w:rPr>
                      <w:rStyle w:val="93"/>
                      <w:rFonts w:hint="eastAsia" w:ascii="Times New Roman" w:hAnsi="Times New Roman" w:cs="Times New Roman"/>
                      <w:color w:val="auto"/>
                      <w:sz w:val="21"/>
                      <w:szCs w:val="21"/>
                      <w:lang w:val="en-US" w:eastAsia="zh-CN"/>
                    </w:rPr>
                    <w:t>2164.42</w:t>
                  </w:r>
                  <w:r>
                    <w:rPr>
                      <w:rStyle w:val="93"/>
                      <w:rFonts w:ascii="Times New Roman" w:hAnsi="Times New Roman" w:cs="Times New Roman"/>
                      <w:color w:val="auto"/>
                      <w:sz w:val="21"/>
                      <w:szCs w:val="21"/>
                      <w:lang w:eastAsia="zh-CN"/>
                    </w:rPr>
                    <w:t>m</w:t>
                  </w:r>
                  <w:r>
                    <w:rPr>
                      <w:rStyle w:val="93"/>
                      <w:rFonts w:hint="eastAsia" w:ascii="Times New Roman" w:hAnsi="Times New Roman" w:cs="Times New Roman"/>
                      <w:color w:val="auto"/>
                      <w:sz w:val="21"/>
                      <w:szCs w:val="21"/>
                      <w:vertAlign w:val="superscript"/>
                      <w:lang w:eastAsia="zh-CN"/>
                    </w:rPr>
                    <w:t>2</w:t>
                  </w:r>
                  <w:r>
                    <w:rPr>
                      <w:rStyle w:val="93"/>
                      <w:rFonts w:hint="eastAsia" w:ascii="Times New Roman" w:hAnsi="Times New Roman" w:cs="Times New Roman"/>
                      <w:color w:val="auto"/>
                      <w:sz w:val="21"/>
                      <w:szCs w:val="21"/>
                      <w:lang w:eastAsia="zh-CN"/>
                    </w:rPr>
                    <w:t>，</w:t>
                  </w:r>
                  <w:r>
                    <w:rPr>
                      <w:rStyle w:val="93"/>
                      <w:rFonts w:ascii="Times New Roman" w:hAnsi="Times New Roman" w:cs="Times New Roman"/>
                      <w:color w:val="auto"/>
                      <w:sz w:val="21"/>
                      <w:szCs w:val="21"/>
                      <w:lang w:eastAsia="zh-CN"/>
                    </w:rPr>
                    <w:t>用于日常办公。</w:t>
                  </w:r>
                </w:p>
              </w:tc>
              <w:tc>
                <w:tcPr>
                  <w:tcW w:w="758" w:type="pct"/>
                  <w:noWrap w:val="0"/>
                  <w:vAlign w:val="center"/>
                </w:tcPr>
                <w:p w14:paraId="6AF4136D">
                  <w:pPr>
                    <w:pStyle w:val="60"/>
                    <w:spacing w:line="240" w:lineRule="auto"/>
                    <w:jc w:val="center"/>
                    <w:rPr>
                      <w:rFonts w:hint="eastAsia"/>
                      <w:color w:val="auto"/>
                      <w:kern w:val="2"/>
                      <w:szCs w:val="21"/>
                      <w:highlight w:val="none"/>
                      <w:lang w:eastAsia="zh-CN"/>
                    </w:rPr>
                  </w:pPr>
                  <w:r>
                    <w:rPr>
                      <w:rFonts w:hint="eastAsia"/>
                      <w:color w:val="auto"/>
                      <w:kern w:val="2"/>
                      <w:szCs w:val="21"/>
                      <w:highlight w:val="none"/>
                      <w:lang w:eastAsia="zh-CN"/>
                    </w:rPr>
                    <w:t>租用</w:t>
                  </w:r>
                </w:p>
              </w:tc>
            </w:tr>
            <w:tr w14:paraId="0B0C86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487" w:type="pct"/>
                  <w:vMerge w:val="continue"/>
                  <w:noWrap w:val="0"/>
                  <w:vAlign w:val="center"/>
                </w:tcPr>
                <w:p w14:paraId="4F16C2F9">
                  <w:pPr>
                    <w:pStyle w:val="60"/>
                    <w:spacing w:line="240" w:lineRule="auto"/>
                    <w:jc w:val="center"/>
                    <w:rPr>
                      <w:rFonts w:hint="eastAsia"/>
                      <w:color w:val="auto"/>
                      <w:kern w:val="2"/>
                      <w:szCs w:val="21"/>
                      <w:highlight w:val="none"/>
                      <w:lang w:eastAsia="zh-CN"/>
                    </w:rPr>
                  </w:pPr>
                </w:p>
              </w:tc>
              <w:tc>
                <w:tcPr>
                  <w:tcW w:w="679" w:type="pct"/>
                  <w:noWrap w:val="0"/>
                  <w:vAlign w:val="center"/>
                </w:tcPr>
                <w:p w14:paraId="06511B0E">
                  <w:pPr>
                    <w:pStyle w:val="60"/>
                    <w:spacing w:line="240" w:lineRule="auto"/>
                    <w:jc w:val="center"/>
                    <w:rPr>
                      <w:rFonts w:hint="eastAsia"/>
                      <w:color w:val="auto"/>
                      <w:spacing w:val="7"/>
                      <w:lang w:eastAsia="zh-CN"/>
                    </w:rPr>
                  </w:pPr>
                  <w:r>
                    <w:rPr>
                      <w:rFonts w:hint="eastAsia"/>
                      <w:color w:val="auto"/>
                      <w:spacing w:val="7"/>
                      <w:lang w:eastAsia="zh-CN"/>
                    </w:rPr>
                    <w:t>门卫</w:t>
                  </w:r>
                </w:p>
              </w:tc>
              <w:tc>
                <w:tcPr>
                  <w:tcW w:w="3075" w:type="pct"/>
                  <w:gridSpan w:val="2"/>
                  <w:noWrap w:val="0"/>
                  <w:vAlign w:val="center"/>
                </w:tcPr>
                <w:p w14:paraId="3C493F5F">
                  <w:pPr>
                    <w:pStyle w:val="60"/>
                    <w:spacing w:line="240" w:lineRule="auto"/>
                    <w:rPr>
                      <w:rStyle w:val="93"/>
                      <w:rFonts w:hint="eastAsia" w:ascii="Times New Roman" w:hAnsi="Times New Roman" w:cs="Times New Roman"/>
                      <w:color w:val="auto"/>
                      <w:sz w:val="21"/>
                      <w:szCs w:val="21"/>
                      <w:lang w:val="en-US" w:eastAsia="zh-CN"/>
                    </w:rPr>
                  </w:pPr>
                  <w:r>
                    <w:rPr>
                      <w:rFonts w:hint="eastAsia"/>
                      <w:color w:val="auto"/>
                      <w:spacing w:val="6"/>
                      <w:lang w:val="en-US" w:eastAsia="zh-CN"/>
                    </w:rPr>
                    <w:t>1F，</w:t>
                  </w:r>
                  <w:r>
                    <w:rPr>
                      <w:rFonts w:hint="eastAsia"/>
                      <w:color w:val="auto"/>
                      <w:spacing w:val="6"/>
                      <w:lang w:eastAsia="zh-CN"/>
                    </w:rPr>
                    <w:t>建筑面积</w:t>
                  </w:r>
                  <w:r>
                    <w:rPr>
                      <w:rFonts w:hint="eastAsia"/>
                      <w:color w:val="auto"/>
                      <w:spacing w:val="6"/>
                      <w:lang w:val="en-US" w:eastAsia="zh-CN"/>
                    </w:rPr>
                    <w:t>38.93m</w:t>
                  </w:r>
                  <w:r>
                    <w:rPr>
                      <w:rFonts w:hint="eastAsia"/>
                      <w:color w:val="auto"/>
                      <w:spacing w:val="6"/>
                      <w:vertAlign w:val="superscript"/>
                      <w:lang w:val="en-US" w:eastAsia="zh-CN"/>
                    </w:rPr>
                    <w:t>2</w:t>
                  </w:r>
                  <w:r>
                    <w:rPr>
                      <w:rFonts w:hint="eastAsia"/>
                      <w:color w:val="auto"/>
                      <w:spacing w:val="6"/>
                      <w:lang w:val="en-US" w:eastAsia="zh-CN"/>
                    </w:rPr>
                    <w:t>。</w:t>
                  </w:r>
                </w:p>
              </w:tc>
              <w:tc>
                <w:tcPr>
                  <w:tcW w:w="758" w:type="pct"/>
                  <w:noWrap w:val="0"/>
                  <w:vAlign w:val="center"/>
                </w:tcPr>
                <w:p w14:paraId="342F1895">
                  <w:pPr>
                    <w:pStyle w:val="60"/>
                    <w:spacing w:line="240" w:lineRule="auto"/>
                    <w:jc w:val="center"/>
                    <w:rPr>
                      <w:rFonts w:hint="eastAsia"/>
                      <w:color w:val="auto"/>
                      <w:kern w:val="2"/>
                      <w:szCs w:val="21"/>
                      <w:highlight w:val="none"/>
                      <w:lang w:eastAsia="zh-CN"/>
                    </w:rPr>
                  </w:pPr>
                  <w:r>
                    <w:rPr>
                      <w:rFonts w:hint="eastAsia"/>
                      <w:color w:val="auto"/>
                      <w:kern w:val="2"/>
                      <w:szCs w:val="21"/>
                      <w:highlight w:val="none"/>
                      <w:lang w:eastAsia="zh-CN"/>
                    </w:rPr>
                    <w:t>租用</w:t>
                  </w:r>
                </w:p>
              </w:tc>
            </w:tr>
            <w:tr w14:paraId="5BC635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87" w:type="pct"/>
                  <w:noWrap w:val="0"/>
                  <w:vAlign w:val="center"/>
                </w:tcPr>
                <w:p w14:paraId="50EF8CA7">
                  <w:pPr>
                    <w:widowControl/>
                    <w:spacing w:line="240" w:lineRule="auto"/>
                    <w:jc w:val="center"/>
                    <w:rPr>
                      <w:rFonts w:hint="eastAsia"/>
                      <w:color w:val="auto"/>
                      <w:szCs w:val="21"/>
                      <w:highlight w:val="none"/>
                    </w:rPr>
                  </w:pPr>
                  <w:r>
                    <w:rPr>
                      <w:rFonts w:hint="eastAsia"/>
                      <w:color w:val="auto"/>
                      <w:szCs w:val="21"/>
                      <w:highlight w:val="none"/>
                    </w:rPr>
                    <w:t>储运</w:t>
                  </w:r>
                </w:p>
                <w:p w14:paraId="2670D087">
                  <w:pPr>
                    <w:widowControl/>
                    <w:spacing w:line="240" w:lineRule="auto"/>
                    <w:jc w:val="center"/>
                    <w:rPr>
                      <w:rFonts w:hint="eastAsia"/>
                      <w:color w:val="auto"/>
                      <w:szCs w:val="21"/>
                      <w:highlight w:val="none"/>
                    </w:rPr>
                  </w:pPr>
                  <w:r>
                    <w:rPr>
                      <w:rFonts w:hint="eastAsia"/>
                      <w:color w:val="auto"/>
                      <w:szCs w:val="21"/>
                      <w:highlight w:val="none"/>
                    </w:rPr>
                    <w:t>工程</w:t>
                  </w:r>
                </w:p>
              </w:tc>
              <w:tc>
                <w:tcPr>
                  <w:tcW w:w="679" w:type="pct"/>
                  <w:noWrap w:val="0"/>
                  <w:vAlign w:val="center"/>
                </w:tcPr>
                <w:p w14:paraId="2A28D8A2">
                  <w:pPr>
                    <w:pStyle w:val="60"/>
                    <w:spacing w:line="240" w:lineRule="auto"/>
                    <w:jc w:val="center"/>
                    <w:rPr>
                      <w:rFonts w:hint="eastAsia" w:eastAsia="宋体"/>
                      <w:color w:val="auto"/>
                      <w:kern w:val="2"/>
                      <w:szCs w:val="21"/>
                      <w:highlight w:val="none"/>
                      <w:lang w:eastAsia="zh-CN"/>
                    </w:rPr>
                  </w:pPr>
                  <w:r>
                    <w:rPr>
                      <w:rFonts w:hint="eastAsia" w:eastAsia="宋体"/>
                      <w:color w:val="auto"/>
                      <w:kern w:val="2"/>
                      <w:szCs w:val="21"/>
                      <w:highlight w:val="none"/>
                      <w:lang w:eastAsia="zh-CN"/>
                    </w:rPr>
                    <w:t>材料库</w:t>
                  </w:r>
                </w:p>
              </w:tc>
              <w:tc>
                <w:tcPr>
                  <w:tcW w:w="3075" w:type="pct"/>
                  <w:gridSpan w:val="2"/>
                  <w:noWrap w:val="0"/>
                  <w:vAlign w:val="center"/>
                </w:tcPr>
                <w:p w14:paraId="4E23E6CF">
                  <w:pPr>
                    <w:pStyle w:val="60"/>
                    <w:spacing w:line="240" w:lineRule="auto"/>
                    <w:rPr>
                      <w:rFonts w:hint="eastAsia"/>
                      <w:color w:val="auto"/>
                      <w:kern w:val="2"/>
                      <w:szCs w:val="21"/>
                      <w:highlight w:val="none"/>
                    </w:rPr>
                  </w:pPr>
                  <w:r>
                    <w:rPr>
                      <w:rFonts w:hint="eastAsia"/>
                      <w:color w:val="auto"/>
                      <w:spacing w:val="6"/>
                      <w:lang w:val="en-US" w:eastAsia="zh-CN"/>
                    </w:rPr>
                    <w:t>1F，</w:t>
                  </w:r>
                  <w:r>
                    <w:rPr>
                      <w:rFonts w:hint="eastAsia"/>
                      <w:color w:val="auto"/>
                      <w:spacing w:val="6"/>
                      <w:lang w:eastAsia="zh-CN"/>
                    </w:rPr>
                    <w:t>建筑面积</w:t>
                  </w:r>
                  <w:r>
                    <w:rPr>
                      <w:rFonts w:hint="eastAsia"/>
                      <w:color w:val="auto"/>
                      <w:spacing w:val="6"/>
                      <w:lang w:val="en-US" w:eastAsia="zh-CN"/>
                    </w:rPr>
                    <w:t>1968.66m</w:t>
                  </w:r>
                  <w:r>
                    <w:rPr>
                      <w:rFonts w:hint="eastAsia"/>
                      <w:color w:val="auto"/>
                      <w:spacing w:val="6"/>
                      <w:vertAlign w:val="superscript"/>
                      <w:lang w:val="en-US" w:eastAsia="zh-CN"/>
                    </w:rPr>
                    <w:t>2</w:t>
                  </w:r>
                  <w:r>
                    <w:rPr>
                      <w:rFonts w:hint="eastAsia"/>
                      <w:color w:val="auto"/>
                      <w:spacing w:val="6"/>
                      <w:lang w:val="en-US" w:eastAsia="zh-CN"/>
                    </w:rPr>
                    <w:t>。</w:t>
                  </w:r>
                  <w:r>
                    <w:rPr>
                      <w:rFonts w:hint="eastAsia"/>
                      <w:color w:val="auto"/>
                      <w:kern w:val="2"/>
                      <w:szCs w:val="21"/>
                      <w:highlight w:val="none"/>
                      <w:lang w:eastAsia="zh-CN"/>
                    </w:rPr>
                    <w:t>本项目原料（地板坯）外购，</w:t>
                  </w:r>
                  <w:r>
                    <w:rPr>
                      <w:rFonts w:hint="eastAsia"/>
                      <w:color w:val="auto"/>
                      <w:kern w:val="2"/>
                      <w:szCs w:val="21"/>
                      <w:highlight w:val="none"/>
                    </w:rPr>
                    <w:t>原料采用</w:t>
                  </w:r>
                  <w:r>
                    <w:rPr>
                      <w:rFonts w:ascii="宋体" w:hAnsi="宋体" w:cs="宋体"/>
                      <w:color w:val="auto"/>
                      <w:szCs w:val="21"/>
                      <w:highlight w:val="none"/>
                    </w:rPr>
                    <w:t>新能源汽车或者国五以上汽车运输</w:t>
                  </w:r>
                  <w:r>
                    <w:rPr>
                      <w:rFonts w:hint="eastAsia" w:ascii="宋体" w:hAnsi="宋体" w:cs="宋体"/>
                      <w:color w:val="auto"/>
                      <w:szCs w:val="21"/>
                      <w:highlight w:val="none"/>
                    </w:rPr>
                    <w:t>至</w:t>
                  </w:r>
                  <w:r>
                    <w:rPr>
                      <w:rFonts w:hint="eastAsia" w:ascii="宋体" w:hAnsi="宋体" w:cs="宋体"/>
                      <w:color w:val="auto"/>
                      <w:szCs w:val="21"/>
                      <w:highlight w:val="none"/>
                      <w:lang w:eastAsia="zh-CN"/>
                    </w:rPr>
                    <w:t>材料库中存放</w:t>
                  </w:r>
                  <w:r>
                    <w:rPr>
                      <w:rFonts w:hint="eastAsia"/>
                      <w:color w:val="auto"/>
                      <w:kern w:val="2"/>
                      <w:szCs w:val="21"/>
                      <w:highlight w:val="none"/>
                    </w:rPr>
                    <w:t>。</w:t>
                  </w:r>
                </w:p>
              </w:tc>
              <w:tc>
                <w:tcPr>
                  <w:tcW w:w="758" w:type="pct"/>
                  <w:noWrap w:val="0"/>
                  <w:vAlign w:val="center"/>
                </w:tcPr>
                <w:p w14:paraId="227E3D52">
                  <w:pPr>
                    <w:spacing w:line="240" w:lineRule="auto"/>
                    <w:jc w:val="center"/>
                    <w:rPr>
                      <w:color w:val="auto"/>
                      <w:kern w:val="2"/>
                      <w:szCs w:val="21"/>
                      <w:highlight w:val="none"/>
                    </w:rPr>
                  </w:pPr>
                  <w:r>
                    <w:rPr>
                      <w:rFonts w:hint="eastAsia"/>
                      <w:color w:val="auto"/>
                      <w:kern w:val="2"/>
                      <w:szCs w:val="21"/>
                      <w:highlight w:val="none"/>
                      <w:lang w:eastAsia="zh-CN"/>
                    </w:rPr>
                    <w:t>租用</w:t>
                  </w:r>
                </w:p>
              </w:tc>
            </w:tr>
            <w:tr w14:paraId="7C7801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87" w:type="pct"/>
                  <w:vMerge w:val="restart"/>
                  <w:noWrap w:val="0"/>
                  <w:vAlign w:val="center"/>
                </w:tcPr>
                <w:p w14:paraId="766FC44C">
                  <w:pPr>
                    <w:pStyle w:val="60"/>
                    <w:spacing w:line="240" w:lineRule="auto"/>
                    <w:jc w:val="center"/>
                    <w:rPr>
                      <w:color w:val="auto"/>
                      <w:kern w:val="2"/>
                      <w:szCs w:val="21"/>
                      <w:highlight w:val="none"/>
                    </w:rPr>
                  </w:pPr>
                  <w:r>
                    <w:rPr>
                      <w:color w:val="auto"/>
                      <w:kern w:val="2"/>
                      <w:szCs w:val="21"/>
                      <w:highlight w:val="none"/>
                    </w:rPr>
                    <w:t>公用</w:t>
                  </w:r>
                </w:p>
                <w:p w14:paraId="091C9793">
                  <w:pPr>
                    <w:pStyle w:val="60"/>
                    <w:spacing w:line="240" w:lineRule="auto"/>
                    <w:jc w:val="center"/>
                    <w:rPr>
                      <w:color w:val="auto"/>
                      <w:kern w:val="2"/>
                      <w:szCs w:val="21"/>
                      <w:highlight w:val="none"/>
                    </w:rPr>
                  </w:pPr>
                  <w:r>
                    <w:rPr>
                      <w:color w:val="auto"/>
                      <w:kern w:val="2"/>
                      <w:szCs w:val="21"/>
                      <w:highlight w:val="none"/>
                    </w:rPr>
                    <w:t>工程</w:t>
                  </w:r>
                </w:p>
              </w:tc>
              <w:tc>
                <w:tcPr>
                  <w:tcW w:w="679" w:type="pct"/>
                  <w:noWrap w:val="0"/>
                  <w:vAlign w:val="center"/>
                </w:tcPr>
                <w:p w14:paraId="486642FE">
                  <w:pPr>
                    <w:pStyle w:val="60"/>
                    <w:spacing w:line="240" w:lineRule="auto"/>
                    <w:jc w:val="center"/>
                    <w:rPr>
                      <w:rFonts w:hint="eastAsia" w:eastAsia="宋体"/>
                      <w:color w:val="auto"/>
                      <w:kern w:val="2"/>
                      <w:szCs w:val="21"/>
                      <w:highlight w:val="none"/>
                      <w:lang w:eastAsia="zh-CN"/>
                    </w:rPr>
                  </w:pPr>
                  <w:r>
                    <w:rPr>
                      <w:rFonts w:hint="eastAsia"/>
                      <w:color w:val="auto"/>
                      <w:kern w:val="2"/>
                      <w:szCs w:val="21"/>
                      <w:highlight w:val="none"/>
                      <w:lang w:eastAsia="zh-CN"/>
                    </w:rPr>
                    <w:t>供暖</w:t>
                  </w:r>
                </w:p>
              </w:tc>
              <w:tc>
                <w:tcPr>
                  <w:tcW w:w="3075" w:type="pct"/>
                  <w:gridSpan w:val="2"/>
                  <w:noWrap w:val="0"/>
                  <w:vAlign w:val="center"/>
                </w:tcPr>
                <w:p w14:paraId="61DD9FE2">
                  <w:pPr>
                    <w:pStyle w:val="60"/>
                    <w:spacing w:line="240" w:lineRule="auto"/>
                    <w:rPr>
                      <w:color w:val="auto"/>
                      <w:kern w:val="2"/>
                      <w:szCs w:val="21"/>
                      <w:highlight w:val="none"/>
                    </w:rPr>
                  </w:pPr>
                  <w:r>
                    <w:rPr>
                      <w:rStyle w:val="93"/>
                      <w:rFonts w:hint="eastAsia" w:ascii="Times New Roman" w:hAnsi="Times New Roman" w:cs="Times New Roman"/>
                      <w:color w:val="auto"/>
                      <w:sz w:val="21"/>
                      <w:szCs w:val="21"/>
                      <w:lang w:eastAsia="zh-CN"/>
                    </w:rPr>
                    <w:t>利用空调取暖。</w:t>
                  </w:r>
                </w:p>
              </w:tc>
              <w:tc>
                <w:tcPr>
                  <w:tcW w:w="758" w:type="pct"/>
                  <w:noWrap w:val="0"/>
                  <w:vAlign w:val="center"/>
                </w:tcPr>
                <w:p w14:paraId="1363B5D5">
                  <w:pPr>
                    <w:spacing w:line="240" w:lineRule="auto"/>
                    <w:jc w:val="center"/>
                    <w:rPr>
                      <w:rFonts w:hint="eastAsia" w:eastAsia="宋体"/>
                      <w:color w:val="auto"/>
                      <w:kern w:val="2"/>
                      <w:szCs w:val="21"/>
                      <w:highlight w:val="none"/>
                      <w:lang w:val="en-US" w:eastAsia="zh-CN"/>
                    </w:rPr>
                  </w:pPr>
                  <w:r>
                    <w:rPr>
                      <w:rFonts w:hint="eastAsia"/>
                      <w:color w:val="auto"/>
                      <w:kern w:val="2"/>
                      <w:szCs w:val="21"/>
                      <w:highlight w:val="none"/>
                      <w:lang w:val="en-US" w:eastAsia="zh-CN"/>
                    </w:rPr>
                    <w:t>已建</w:t>
                  </w:r>
                </w:p>
              </w:tc>
            </w:tr>
            <w:tr w14:paraId="01C8C7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87" w:type="pct"/>
                  <w:vMerge w:val="continue"/>
                  <w:noWrap w:val="0"/>
                  <w:vAlign w:val="center"/>
                </w:tcPr>
                <w:p w14:paraId="5D3D6A5B">
                  <w:pPr>
                    <w:pStyle w:val="60"/>
                    <w:spacing w:line="240" w:lineRule="auto"/>
                    <w:jc w:val="center"/>
                    <w:rPr>
                      <w:color w:val="auto"/>
                      <w:kern w:val="2"/>
                      <w:szCs w:val="21"/>
                      <w:highlight w:val="none"/>
                    </w:rPr>
                  </w:pPr>
                </w:p>
              </w:tc>
              <w:tc>
                <w:tcPr>
                  <w:tcW w:w="679" w:type="pct"/>
                  <w:noWrap w:val="0"/>
                  <w:vAlign w:val="center"/>
                </w:tcPr>
                <w:p w14:paraId="42A7DBAB">
                  <w:pPr>
                    <w:pStyle w:val="60"/>
                    <w:spacing w:line="240" w:lineRule="auto"/>
                    <w:jc w:val="center"/>
                    <w:rPr>
                      <w:color w:val="auto"/>
                      <w:kern w:val="2"/>
                      <w:sz w:val="21"/>
                      <w:szCs w:val="21"/>
                      <w:highlight w:val="none"/>
                      <w:lang w:val="en-US" w:eastAsia="zh-CN" w:bidi="ar-SA"/>
                    </w:rPr>
                  </w:pPr>
                  <w:r>
                    <w:rPr>
                      <w:color w:val="auto"/>
                      <w:kern w:val="2"/>
                      <w:szCs w:val="21"/>
                      <w:highlight w:val="none"/>
                    </w:rPr>
                    <w:t>供水</w:t>
                  </w:r>
                </w:p>
              </w:tc>
              <w:tc>
                <w:tcPr>
                  <w:tcW w:w="3075" w:type="pct"/>
                  <w:gridSpan w:val="2"/>
                  <w:noWrap w:val="0"/>
                  <w:vAlign w:val="center"/>
                </w:tcPr>
                <w:p w14:paraId="6EED4378">
                  <w:pPr>
                    <w:pStyle w:val="60"/>
                    <w:spacing w:line="240" w:lineRule="auto"/>
                    <w:rPr>
                      <w:color w:val="auto"/>
                      <w:kern w:val="2"/>
                      <w:sz w:val="21"/>
                      <w:szCs w:val="21"/>
                      <w:highlight w:val="none"/>
                      <w:lang w:val="en-US" w:eastAsia="zh-CN" w:bidi="ar-SA"/>
                    </w:rPr>
                  </w:pPr>
                  <w:r>
                    <w:rPr>
                      <w:rStyle w:val="93"/>
                      <w:rFonts w:hint="eastAsia" w:ascii="Times New Roman" w:hAnsi="Times New Roman" w:cs="Times New Roman"/>
                      <w:color w:val="auto"/>
                      <w:sz w:val="21"/>
                      <w:szCs w:val="21"/>
                      <w:lang w:eastAsia="zh-CN"/>
                    </w:rPr>
                    <w:t>依托市政管网，年用量</w:t>
                  </w:r>
                  <w:r>
                    <w:rPr>
                      <w:rStyle w:val="93"/>
                      <w:rFonts w:hint="eastAsia" w:ascii="Times New Roman" w:hAnsi="Times New Roman" w:cs="Times New Roman"/>
                      <w:color w:val="auto"/>
                      <w:sz w:val="21"/>
                      <w:szCs w:val="21"/>
                      <w:lang w:val="en-US" w:eastAsia="zh-CN"/>
                    </w:rPr>
                    <w:t>3836.76t</w:t>
                  </w:r>
                  <w:r>
                    <w:rPr>
                      <w:rStyle w:val="93"/>
                      <w:rFonts w:hint="eastAsia" w:ascii="Times New Roman" w:hAnsi="Times New Roman" w:cs="Times New Roman"/>
                      <w:color w:val="auto"/>
                      <w:sz w:val="21"/>
                      <w:szCs w:val="21"/>
                      <w:lang w:eastAsia="zh-CN"/>
                    </w:rPr>
                    <w:t>/a</w:t>
                  </w:r>
                  <w:r>
                    <w:rPr>
                      <w:color w:val="auto"/>
                      <w:kern w:val="2"/>
                      <w:szCs w:val="21"/>
                      <w:highlight w:val="none"/>
                    </w:rPr>
                    <w:t>。</w:t>
                  </w:r>
                </w:p>
              </w:tc>
              <w:tc>
                <w:tcPr>
                  <w:tcW w:w="758" w:type="pct"/>
                  <w:noWrap w:val="0"/>
                  <w:vAlign w:val="center"/>
                </w:tcPr>
                <w:p w14:paraId="7134BB55">
                  <w:pPr>
                    <w:spacing w:line="240" w:lineRule="auto"/>
                    <w:jc w:val="center"/>
                    <w:rPr>
                      <w:rFonts w:hint="eastAsia"/>
                      <w:color w:val="auto"/>
                      <w:kern w:val="2"/>
                      <w:sz w:val="21"/>
                      <w:szCs w:val="21"/>
                      <w:highlight w:val="none"/>
                      <w:lang w:val="en-US" w:eastAsia="zh-CN" w:bidi="ar-SA"/>
                    </w:rPr>
                  </w:pPr>
                  <w:r>
                    <w:rPr>
                      <w:rFonts w:hint="eastAsia"/>
                      <w:color w:val="auto"/>
                      <w:kern w:val="2"/>
                      <w:szCs w:val="21"/>
                      <w:highlight w:val="none"/>
                      <w:lang w:val="en-US" w:eastAsia="zh-CN"/>
                    </w:rPr>
                    <w:t>已建</w:t>
                  </w:r>
                </w:p>
              </w:tc>
            </w:tr>
            <w:tr w14:paraId="61B517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87" w:type="pct"/>
                  <w:vMerge w:val="continue"/>
                  <w:noWrap w:val="0"/>
                  <w:vAlign w:val="center"/>
                </w:tcPr>
                <w:p w14:paraId="7C7405C0">
                  <w:pPr>
                    <w:pStyle w:val="60"/>
                    <w:spacing w:line="240" w:lineRule="auto"/>
                    <w:jc w:val="center"/>
                    <w:rPr>
                      <w:color w:val="auto"/>
                      <w:kern w:val="2"/>
                      <w:szCs w:val="21"/>
                      <w:highlight w:val="none"/>
                    </w:rPr>
                  </w:pPr>
                </w:p>
              </w:tc>
              <w:tc>
                <w:tcPr>
                  <w:tcW w:w="679" w:type="pct"/>
                  <w:noWrap w:val="0"/>
                  <w:vAlign w:val="center"/>
                </w:tcPr>
                <w:p w14:paraId="5A54365F">
                  <w:pPr>
                    <w:pStyle w:val="60"/>
                    <w:spacing w:line="240" w:lineRule="auto"/>
                    <w:jc w:val="center"/>
                    <w:rPr>
                      <w:color w:val="auto"/>
                      <w:kern w:val="2"/>
                      <w:szCs w:val="21"/>
                      <w:highlight w:val="none"/>
                    </w:rPr>
                  </w:pPr>
                  <w:r>
                    <w:rPr>
                      <w:color w:val="auto"/>
                      <w:kern w:val="2"/>
                      <w:szCs w:val="21"/>
                      <w:highlight w:val="none"/>
                    </w:rPr>
                    <w:t>排水</w:t>
                  </w:r>
                </w:p>
              </w:tc>
              <w:tc>
                <w:tcPr>
                  <w:tcW w:w="3075" w:type="pct"/>
                  <w:gridSpan w:val="2"/>
                  <w:noWrap w:val="0"/>
                  <w:vAlign w:val="center"/>
                </w:tcPr>
                <w:p w14:paraId="7F8BF023">
                  <w:pPr>
                    <w:pStyle w:val="60"/>
                    <w:spacing w:line="240" w:lineRule="auto"/>
                    <w:rPr>
                      <w:rFonts w:hint="eastAsia" w:eastAsia="宋体"/>
                      <w:color w:val="auto"/>
                      <w:kern w:val="2"/>
                      <w:szCs w:val="21"/>
                      <w:highlight w:val="none"/>
                      <w:lang w:eastAsia="zh-CN"/>
                    </w:rPr>
                  </w:pPr>
                  <w:r>
                    <w:rPr>
                      <w:rFonts w:ascii="Times New Roman" w:hAnsi="Times New Roman" w:eastAsia="宋体" w:cs="Times New Roman"/>
                      <w:color w:val="auto"/>
                    </w:rPr>
                    <w:t>本项目生活污水排入抚顺县救兵镇污水处理厂</w:t>
                  </w:r>
                  <w:r>
                    <w:rPr>
                      <w:rFonts w:hint="eastAsia"/>
                      <w:color w:val="auto"/>
                      <w:szCs w:val="21"/>
                      <w:highlight w:val="none"/>
                      <w:lang w:eastAsia="zh-CN"/>
                    </w:rPr>
                    <w:t>。</w:t>
                  </w:r>
                </w:p>
              </w:tc>
              <w:tc>
                <w:tcPr>
                  <w:tcW w:w="758" w:type="pct"/>
                  <w:noWrap w:val="0"/>
                  <w:vAlign w:val="center"/>
                </w:tcPr>
                <w:p w14:paraId="498D4706">
                  <w:pPr>
                    <w:pStyle w:val="60"/>
                    <w:spacing w:line="240" w:lineRule="auto"/>
                    <w:jc w:val="center"/>
                    <w:rPr>
                      <w:rFonts w:hint="eastAsia" w:eastAsia="宋体"/>
                      <w:color w:val="auto"/>
                      <w:kern w:val="2"/>
                      <w:szCs w:val="21"/>
                      <w:highlight w:val="none"/>
                      <w:lang w:eastAsia="zh-CN"/>
                    </w:rPr>
                  </w:pPr>
                  <w:r>
                    <w:rPr>
                      <w:rFonts w:hint="eastAsia"/>
                      <w:color w:val="auto"/>
                      <w:kern w:val="2"/>
                      <w:szCs w:val="21"/>
                      <w:highlight w:val="none"/>
                      <w:lang w:val="en-US" w:eastAsia="zh-CN"/>
                    </w:rPr>
                    <w:t>依托</w:t>
                  </w:r>
                </w:p>
              </w:tc>
            </w:tr>
            <w:tr w14:paraId="128B71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87" w:type="pct"/>
                  <w:vMerge w:val="continue"/>
                  <w:noWrap w:val="0"/>
                  <w:vAlign w:val="center"/>
                </w:tcPr>
                <w:p w14:paraId="680091E3">
                  <w:pPr>
                    <w:widowControl/>
                    <w:spacing w:line="240" w:lineRule="auto"/>
                    <w:rPr>
                      <w:color w:val="auto"/>
                      <w:szCs w:val="21"/>
                      <w:highlight w:val="none"/>
                    </w:rPr>
                  </w:pPr>
                </w:p>
              </w:tc>
              <w:tc>
                <w:tcPr>
                  <w:tcW w:w="679" w:type="pct"/>
                  <w:noWrap w:val="0"/>
                  <w:vAlign w:val="center"/>
                </w:tcPr>
                <w:p w14:paraId="6344BC2E">
                  <w:pPr>
                    <w:pStyle w:val="60"/>
                    <w:spacing w:line="240" w:lineRule="auto"/>
                    <w:jc w:val="center"/>
                    <w:rPr>
                      <w:color w:val="auto"/>
                      <w:kern w:val="2"/>
                      <w:szCs w:val="21"/>
                      <w:highlight w:val="none"/>
                    </w:rPr>
                  </w:pPr>
                  <w:r>
                    <w:rPr>
                      <w:color w:val="auto"/>
                      <w:kern w:val="2"/>
                      <w:szCs w:val="21"/>
                      <w:highlight w:val="none"/>
                    </w:rPr>
                    <w:t>供电</w:t>
                  </w:r>
                </w:p>
              </w:tc>
              <w:tc>
                <w:tcPr>
                  <w:tcW w:w="3075" w:type="pct"/>
                  <w:gridSpan w:val="2"/>
                  <w:noWrap w:val="0"/>
                  <w:vAlign w:val="center"/>
                </w:tcPr>
                <w:p w14:paraId="19C3D0CB">
                  <w:pPr>
                    <w:pStyle w:val="60"/>
                    <w:spacing w:line="240" w:lineRule="auto"/>
                    <w:rPr>
                      <w:rFonts w:hint="eastAsia" w:eastAsia="宋体"/>
                      <w:color w:val="auto"/>
                      <w:kern w:val="2"/>
                      <w:szCs w:val="21"/>
                      <w:highlight w:val="none"/>
                      <w:lang w:eastAsia="zh-CN"/>
                    </w:rPr>
                  </w:pPr>
                  <w:r>
                    <w:rPr>
                      <w:rStyle w:val="93"/>
                      <w:rFonts w:hint="eastAsia" w:ascii="Times New Roman" w:hAnsi="Times New Roman" w:cs="Times New Roman"/>
                      <w:color w:val="auto"/>
                      <w:sz w:val="21"/>
                      <w:szCs w:val="21"/>
                      <w:lang w:eastAsia="zh-CN"/>
                    </w:rPr>
                    <w:t>依托当地供电局，年用电</w:t>
                  </w:r>
                  <w:r>
                    <w:rPr>
                      <w:rStyle w:val="93"/>
                      <w:rFonts w:hint="eastAsia" w:ascii="Times New Roman" w:hAnsi="Times New Roman" w:cs="Times New Roman"/>
                      <w:color w:val="auto"/>
                      <w:sz w:val="21"/>
                      <w:szCs w:val="21"/>
                      <w:lang w:val="en-US" w:eastAsia="zh-CN"/>
                    </w:rPr>
                    <w:t>37.5</w:t>
                  </w:r>
                  <w:r>
                    <w:rPr>
                      <w:rStyle w:val="93"/>
                      <w:rFonts w:hint="eastAsia" w:ascii="Times New Roman" w:hAnsi="Times New Roman" w:cs="Times New Roman"/>
                      <w:color w:val="auto"/>
                      <w:sz w:val="21"/>
                      <w:szCs w:val="21"/>
                      <w:lang w:eastAsia="zh-CN"/>
                    </w:rPr>
                    <w:t>万千瓦。</w:t>
                  </w:r>
                </w:p>
              </w:tc>
              <w:tc>
                <w:tcPr>
                  <w:tcW w:w="758" w:type="pct"/>
                  <w:noWrap w:val="0"/>
                  <w:vAlign w:val="center"/>
                </w:tcPr>
                <w:p w14:paraId="0316FE42">
                  <w:pPr>
                    <w:pStyle w:val="60"/>
                    <w:spacing w:line="240" w:lineRule="auto"/>
                    <w:jc w:val="center"/>
                    <w:rPr>
                      <w:color w:val="auto"/>
                      <w:kern w:val="2"/>
                      <w:szCs w:val="21"/>
                      <w:highlight w:val="none"/>
                    </w:rPr>
                  </w:pPr>
                  <w:r>
                    <w:rPr>
                      <w:color w:val="auto"/>
                      <w:kern w:val="2"/>
                      <w:szCs w:val="21"/>
                      <w:highlight w:val="none"/>
                    </w:rPr>
                    <w:t>依托</w:t>
                  </w:r>
                </w:p>
              </w:tc>
            </w:tr>
            <w:tr w14:paraId="1595E6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87" w:type="pct"/>
                  <w:vMerge w:val="restart"/>
                  <w:noWrap w:val="0"/>
                  <w:vAlign w:val="center"/>
                </w:tcPr>
                <w:p w14:paraId="182E1FCD">
                  <w:pPr>
                    <w:pStyle w:val="60"/>
                    <w:spacing w:line="240" w:lineRule="auto"/>
                    <w:jc w:val="center"/>
                    <w:rPr>
                      <w:color w:val="auto"/>
                      <w:kern w:val="2"/>
                      <w:szCs w:val="21"/>
                      <w:highlight w:val="none"/>
                    </w:rPr>
                  </w:pPr>
                  <w:r>
                    <w:rPr>
                      <w:color w:val="auto"/>
                      <w:kern w:val="2"/>
                      <w:szCs w:val="21"/>
                      <w:highlight w:val="none"/>
                    </w:rPr>
                    <w:t>环保</w:t>
                  </w:r>
                </w:p>
                <w:p w14:paraId="529E0B37">
                  <w:pPr>
                    <w:pStyle w:val="60"/>
                    <w:spacing w:line="240" w:lineRule="auto"/>
                    <w:jc w:val="center"/>
                    <w:rPr>
                      <w:color w:val="auto"/>
                      <w:kern w:val="2"/>
                      <w:szCs w:val="21"/>
                      <w:highlight w:val="none"/>
                    </w:rPr>
                  </w:pPr>
                  <w:r>
                    <w:rPr>
                      <w:color w:val="auto"/>
                      <w:kern w:val="2"/>
                      <w:szCs w:val="21"/>
                      <w:highlight w:val="none"/>
                    </w:rPr>
                    <w:t>工程</w:t>
                  </w:r>
                </w:p>
              </w:tc>
              <w:tc>
                <w:tcPr>
                  <w:tcW w:w="679" w:type="pct"/>
                  <w:vMerge w:val="restart"/>
                  <w:noWrap w:val="0"/>
                  <w:vAlign w:val="center"/>
                </w:tcPr>
                <w:p w14:paraId="2CF82F92">
                  <w:pPr>
                    <w:pStyle w:val="60"/>
                    <w:spacing w:line="240" w:lineRule="auto"/>
                    <w:jc w:val="center"/>
                    <w:rPr>
                      <w:color w:val="auto"/>
                      <w:kern w:val="2"/>
                      <w:szCs w:val="21"/>
                      <w:highlight w:val="none"/>
                    </w:rPr>
                  </w:pPr>
                  <w:r>
                    <w:rPr>
                      <w:color w:val="auto"/>
                      <w:kern w:val="2"/>
                      <w:szCs w:val="21"/>
                      <w:highlight w:val="none"/>
                    </w:rPr>
                    <w:t>废气治理</w:t>
                  </w:r>
                </w:p>
              </w:tc>
              <w:tc>
                <w:tcPr>
                  <w:tcW w:w="772" w:type="pct"/>
                  <w:vMerge w:val="restart"/>
                  <w:noWrap w:val="0"/>
                  <w:vAlign w:val="center"/>
                </w:tcPr>
                <w:p w14:paraId="13899043">
                  <w:pPr>
                    <w:pStyle w:val="60"/>
                    <w:spacing w:line="240" w:lineRule="auto"/>
                    <w:jc w:val="center"/>
                    <w:rPr>
                      <w:rFonts w:hint="eastAsia" w:ascii="宋体" w:hAnsi="宋体" w:eastAsia="宋体" w:cs="宋体"/>
                      <w:color w:val="auto"/>
                      <w:szCs w:val="21"/>
                      <w:highlight w:val="none"/>
                      <w:lang w:eastAsia="zh-CN"/>
                    </w:rPr>
                  </w:pPr>
                  <w:r>
                    <w:rPr>
                      <w:rFonts w:hint="eastAsia" w:ascii="宋体" w:hAnsi="宋体" w:eastAsia="宋体" w:cs="宋体"/>
                      <w:color w:val="auto"/>
                      <w:szCs w:val="21"/>
                      <w:highlight w:val="none"/>
                      <w:lang w:eastAsia="zh-CN"/>
                    </w:rPr>
                    <w:t>地板生产</w:t>
                  </w:r>
                </w:p>
              </w:tc>
              <w:tc>
                <w:tcPr>
                  <w:tcW w:w="2302" w:type="pct"/>
                  <w:noWrap w:val="0"/>
                  <w:vAlign w:val="center"/>
                </w:tcPr>
                <w:p w14:paraId="2EEBA156">
                  <w:pPr>
                    <w:pStyle w:val="60"/>
                    <w:spacing w:line="240" w:lineRule="auto"/>
                    <w:rPr>
                      <w:rFonts w:hint="eastAsia" w:ascii="宋体" w:hAnsi="宋体" w:eastAsia="宋体" w:cs="宋体"/>
                      <w:color w:val="auto"/>
                      <w:szCs w:val="21"/>
                      <w:highlight w:val="none"/>
                      <w:lang w:eastAsia="zh-CN"/>
                    </w:rPr>
                  </w:pPr>
                  <w:r>
                    <w:rPr>
                      <w:rFonts w:hint="eastAsia" w:ascii="宋体" w:hAnsi="宋体" w:eastAsia="宋体" w:cs="宋体"/>
                      <w:color w:val="auto"/>
                      <w:szCs w:val="21"/>
                      <w:highlight w:val="none"/>
                      <w:lang w:eastAsia="zh-CN"/>
                    </w:rPr>
                    <w:t>下料、刨光、梳齿指接过程产生的颗粒物通过</w:t>
                  </w:r>
                  <w:r>
                    <w:rPr>
                      <w:rFonts w:hint="eastAsia" w:ascii="Times New Roman" w:hAnsi="Times New Roman" w:cs="Times New Roman"/>
                      <w:color w:val="auto"/>
                      <w:sz w:val="21"/>
                      <w:szCs w:val="21"/>
                      <w:lang w:eastAsia="zh-CN"/>
                    </w:rPr>
                    <w:t>集气罩</w:t>
                  </w:r>
                  <w:r>
                    <w:rPr>
                      <w:rFonts w:hint="eastAsia" w:ascii="宋体" w:hAnsi="宋体" w:eastAsia="宋体" w:cs="宋体"/>
                      <w:color w:val="auto"/>
                      <w:szCs w:val="21"/>
                      <w:highlight w:val="none"/>
                      <w:lang w:eastAsia="zh-CN"/>
                    </w:rPr>
                    <w:t>收集（收</w:t>
                  </w:r>
                  <w:r>
                    <w:rPr>
                      <w:rFonts w:hint="default" w:ascii="Times New Roman" w:hAnsi="Times New Roman" w:eastAsia="宋体" w:cs="Times New Roman"/>
                      <w:color w:val="auto"/>
                      <w:szCs w:val="21"/>
                      <w:highlight w:val="none"/>
                      <w:lang w:eastAsia="zh-CN"/>
                    </w:rPr>
                    <w:t>集效率</w:t>
                  </w:r>
                  <w:r>
                    <w:rPr>
                      <w:rFonts w:hint="eastAsia" w:ascii="Times New Roman" w:hAnsi="Times New Roman" w:eastAsia="宋体" w:cs="Times New Roman"/>
                      <w:color w:val="auto"/>
                      <w:szCs w:val="21"/>
                      <w:highlight w:val="none"/>
                      <w:lang w:val="en-US" w:eastAsia="zh-CN"/>
                    </w:rPr>
                    <w:t>8</w:t>
                  </w:r>
                  <w:r>
                    <w:rPr>
                      <w:rFonts w:hint="default" w:ascii="Times New Roman" w:hAnsi="Times New Roman" w:eastAsia="宋体" w:cs="Times New Roman"/>
                      <w:color w:val="auto"/>
                      <w:szCs w:val="21"/>
                      <w:highlight w:val="none"/>
                      <w:lang w:eastAsia="zh-CN"/>
                    </w:rPr>
                    <w:t>0%），进入</w:t>
                  </w:r>
                  <w:r>
                    <w:rPr>
                      <w:rFonts w:hint="eastAsia" w:ascii="Times New Roman" w:hAnsi="Times New Roman" w:eastAsia="宋体" w:cs="Times New Roman"/>
                      <w:color w:val="auto"/>
                      <w:szCs w:val="21"/>
                      <w:highlight w:val="none"/>
                      <w:lang w:eastAsia="zh-CN"/>
                    </w:rPr>
                    <w:t>布袋除尘器</w:t>
                  </w:r>
                  <w:r>
                    <w:rPr>
                      <w:rFonts w:hint="default" w:ascii="Times New Roman" w:hAnsi="Times New Roman" w:eastAsia="宋体" w:cs="Times New Roman"/>
                      <w:color w:val="auto"/>
                      <w:szCs w:val="21"/>
                      <w:highlight w:val="none"/>
                      <w:lang w:eastAsia="zh-CN"/>
                    </w:rPr>
                    <w:t>处理（效率</w:t>
                  </w:r>
                  <w:r>
                    <w:rPr>
                      <w:rFonts w:hint="eastAsia" w:ascii="Times New Roman" w:hAnsi="Times New Roman" w:eastAsia="宋体" w:cs="Times New Roman"/>
                      <w:color w:val="auto"/>
                      <w:szCs w:val="21"/>
                      <w:highlight w:val="none"/>
                      <w:lang w:val="en-US" w:eastAsia="zh-CN"/>
                    </w:rPr>
                    <w:t>99</w:t>
                  </w:r>
                  <w:r>
                    <w:rPr>
                      <w:rFonts w:hint="default" w:ascii="Times New Roman" w:hAnsi="Times New Roman" w:eastAsia="宋体" w:cs="Times New Roman"/>
                      <w:color w:val="auto"/>
                      <w:szCs w:val="21"/>
                      <w:highlight w:val="none"/>
                      <w:lang w:eastAsia="zh-CN"/>
                    </w:rPr>
                    <w:t>%），然后通过</w:t>
                  </w:r>
                  <w:r>
                    <w:rPr>
                      <w:rFonts w:hint="eastAsia" w:ascii="Times New Roman" w:hAnsi="Times New Roman" w:eastAsia="宋体" w:cs="Times New Roman"/>
                      <w:color w:val="auto"/>
                      <w:szCs w:val="21"/>
                      <w:highlight w:val="none"/>
                      <w:lang w:val="en-US" w:eastAsia="zh-CN"/>
                    </w:rPr>
                    <w:t>1根</w:t>
                  </w:r>
                  <w:r>
                    <w:rPr>
                      <w:rFonts w:hint="default" w:ascii="Times New Roman" w:hAnsi="Times New Roman" w:eastAsia="宋体" w:cs="Times New Roman"/>
                      <w:color w:val="auto"/>
                      <w:szCs w:val="21"/>
                      <w:highlight w:val="none"/>
                      <w:lang w:eastAsia="zh-CN"/>
                    </w:rPr>
                    <w:t>15m</w:t>
                  </w:r>
                  <w:r>
                    <w:rPr>
                      <w:rFonts w:hint="default" w:ascii="Times New Roman" w:hAnsi="Times New Roman" w:eastAsia="宋体" w:cs="Times New Roman"/>
                      <w:color w:val="auto"/>
                      <w:szCs w:val="21"/>
                      <w:highlight w:val="none"/>
                      <w:lang w:eastAsia="zh-CN"/>
                    </w:rPr>
                    <w:t>排气筒</w:t>
                  </w:r>
                  <w:r>
                    <w:rPr>
                      <w:rFonts w:hint="eastAsia"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lang w:eastAsia="zh-CN"/>
                    </w:rPr>
                    <w:t>DA00</w:t>
                  </w:r>
                  <w:r>
                    <w:rPr>
                      <w:rFonts w:hint="eastAsia" w:ascii="Times New Roman" w:hAnsi="Times New Roman" w:eastAsia="宋体" w:cs="Times New Roman"/>
                      <w:color w:val="auto"/>
                      <w:szCs w:val="21"/>
                      <w:highlight w:val="none"/>
                      <w:lang w:val="en-US" w:eastAsia="zh-CN"/>
                    </w:rPr>
                    <w:t>1</w:t>
                  </w:r>
                  <w:r>
                    <w:rPr>
                      <w:rFonts w:hint="eastAsia"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lang w:eastAsia="zh-CN"/>
                    </w:rPr>
                    <w:t>排放</w:t>
                  </w:r>
                  <w:r>
                    <w:rPr>
                      <w:rFonts w:hint="eastAsia" w:ascii="Times New Roman" w:hAnsi="Times New Roman" w:eastAsia="宋体" w:cs="Times New Roman"/>
                      <w:color w:val="auto"/>
                      <w:szCs w:val="21"/>
                      <w:highlight w:val="none"/>
                      <w:lang w:eastAsia="zh-CN"/>
                    </w:rPr>
                    <w:t>。</w:t>
                  </w:r>
                </w:p>
              </w:tc>
              <w:tc>
                <w:tcPr>
                  <w:tcW w:w="758" w:type="pct"/>
                  <w:noWrap w:val="0"/>
                  <w:vAlign w:val="center"/>
                </w:tcPr>
                <w:p w14:paraId="52654B8F">
                  <w:pPr>
                    <w:pStyle w:val="60"/>
                    <w:spacing w:line="240" w:lineRule="auto"/>
                    <w:jc w:val="center"/>
                    <w:rPr>
                      <w:color w:val="auto"/>
                      <w:kern w:val="2"/>
                      <w:szCs w:val="21"/>
                      <w:highlight w:val="none"/>
                    </w:rPr>
                  </w:pPr>
                  <w:r>
                    <w:rPr>
                      <w:rFonts w:hint="eastAsia"/>
                      <w:color w:val="auto"/>
                      <w:kern w:val="2"/>
                      <w:szCs w:val="21"/>
                      <w:highlight w:val="none"/>
                      <w:lang w:val="en-US" w:eastAsia="zh-CN"/>
                    </w:rPr>
                    <w:t>已建</w:t>
                  </w:r>
                </w:p>
              </w:tc>
            </w:tr>
            <w:tr w14:paraId="1004D7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87" w:type="pct"/>
                  <w:vMerge w:val="continue"/>
                  <w:noWrap w:val="0"/>
                  <w:vAlign w:val="center"/>
                </w:tcPr>
                <w:p w14:paraId="160E025B">
                  <w:pPr>
                    <w:pStyle w:val="60"/>
                    <w:spacing w:line="240" w:lineRule="auto"/>
                    <w:jc w:val="center"/>
                    <w:rPr>
                      <w:color w:val="auto"/>
                      <w:kern w:val="2"/>
                      <w:szCs w:val="21"/>
                      <w:highlight w:val="none"/>
                    </w:rPr>
                  </w:pPr>
                </w:p>
              </w:tc>
              <w:tc>
                <w:tcPr>
                  <w:tcW w:w="679" w:type="pct"/>
                  <w:vMerge w:val="continue"/>
                  <w:noWrap w:val="0"/>
                  <w:vAlign w:val="center"/>
                </w:tcPr>
                <w:p w14:paraId="33C3B163">
                  <w:pPr>
                    <w:pStyle w:val="60"/>
                    <w:spacing w:line="240" w:lineRule="auto"/>
                    <w:jc w:val="center"/>
                    <w:rPr>
                      <w:color w:val="auto"/>
                      <w:kern w:val="2"/>
                      <w:szCs w:val="21"/>
                      <w:highlight w:val="none"/>
                    </w:rPr>
                  </w:pPr>
                </w:p>
              </w:tc>
              <w:tc>
                <w:tcPr>
                  <w:tcW w:w="772" w:type="pct"/>
                  <w:vMerge w:val="continue"/>
                  <w:noWrap w:val="0"/>
                  <w:vAlign w:val="center"/>
                </w:tcPr>
                <w:p w14:paraId="3014FAB7">
                  <w:pPr>
                    <w:pStyle w:val="60"/>
                    <w:spacing w:line="240" w:lineRule="auto"/>
                    <w:jc w:val="center"/>
                    <w:rPr>
                      <w:rFonts w:hint="eastAsia" w:ascii="宋体" w:hAnsi="宋体" w:eastAsia="宋体" w:cs="宋体"/>
                      <w:color w:val="auto"/>
                      <w:szCs w:val="21"/>
                      <w:highlight w:val="none"/>
                      <w:lang w:eastAsia="zh-CN"/>
                    </w:rPr>
                  </w:pPr>
                </w:p>
              </w:tc>
              <w:tc>
                <w:tcPr>
                  <w:tcW w:w="2302" w:type="pct"/>
                  <w:noWrap w:val="0"/>
                  <w:vAlign w:val="center"/>
                </w:tcPr>
                <w:p w14:paraId="057A6015">
                  <w:pPr>
                    <w:pStyle w:val="60"/>
                    <w:spacing w:line="240" w:lineRule="auto"/>
                    <w:rPr>
                      <w:rFonts w:hint="eastAsia" w:eastAsia="宋体"/>
                      <w:color w:val="auto"/>
                      <w:lang w:eastAsia="zh-CN"/>
                    </w:rPr>
                  </w:pPr>
                  <w:r>
                    <w:rPr>
                      <w:rFonts w:hint="eastAsia"/>
                      <w:color w:val="auto"/>
                      <w:lang w:eastAsia="zh-CN"/>
                    </w:rPr>
                    <w:t>砂光工序产生的颗粒物</w:t>
                  </w:r>
                  <w:r>
                    <w:rPr>
                      <w:rFonts w:hint="eastAsia" w:ascii="宋体" w:hAnsi="宋体" w:eastAsia="宋体" w:cs="宋体"/>
                      <w:color w:val="auto"/>
                      <w:szCs w:val="21"/>
                      <w:highlight w:val="none"/>
                      <w:lang w:eastAsia="zh-CN"/>
                    </w:rPr>
                    <w:t>通过</w:t>
                  </w:r>
                  <w:r>
                    <w:rPr>
                      <w:rFonts w:hint="eastAsia" w:ascii="Times New Roman" w:hAnsi="Times New Roman" w:cs="Times New Roman"/>
                      <w:color w:val="auto"/>
                      <w:sz w:val="21"/>
                      <w:szCs w:val="21"/>
                      <w:lang w:eastAsia="zh-CN"/>
                    </w:rPr>
                    <w:t>集气罩</w:t>
                  </w:r>
                  <w:r>
                    <w:rPr>
                      <w:rFonts w:hint="eastAsia" w:ascii="宋体" w:hAnsi="宋体" w:eastAsia="宋体" w:cs="宋体"/>
                      <w:color w:val="auto"/>
                      <w:szCs w:val="21"/>
                      <w:highlight w:val="none"/>
                      <w:lang w:eastAsia="zh-CN"/>
                    </w:rPr>
                    <w:t>收集（收</w:t>
                  </w:r>
                  <w:r>
                    <w:rPr>
                      <w:rFonts w:hint="default" w:ascii="Times New Roman" w:hAnsi="Times New Roman" w:eastAsia="宋体" w:cs="Times New Roman"/>
                      <w:color w:val="auto"/>
                      <w:szCs w:val="21"/>
                      <w:highlight w:val="none"/>
                      <w:lang w:eastAsia="zh-CN"/>
                    </w:rPr>
                    <w:t>集效率</w:t>
                  </w:r>
                  <w:r>
                    <w:rPr>
                      <w:rFonts w:hint="eastAsia" w:ascii="Times New Roman" w:hAnsi="Times New Roman" w:eastAsia="宋体" w:cs="Times New Roman"/>
                      <w:color w:val="auto"/>
                      <w:szCs w:val="21"/>
                      <w:highlight w:val="none"/>
                      <w:lang w:val="en-US" w:eastAsia="zh-CN"/>
                    </w:rPr>
                    <w:t>8</w:t>
                  </w:r>
                  <w:r>
                    <w:rPr>
                      <w:rFonts w:hint="default" w:ascii="Times New Roman" w:hAnsi="Times New Roman" w:eastAsia="宋体" w:cs="Times New Roman"/>
                      <w:color w:val="auto"/>
                      <w:szCs w:val="21"/>
                      <w:highlight w:val="none"/>
                      <w:lang w:eastAsia="zh-CN"/>
                    </w:rPr>
                    <w:t>0%），进入</w:t>
                  </w:r>
                  <w:r>
                    <w:rPr>
                      <w:rFonts w:hint="eastAsia" w:ascii="Times New Roman" w:hAnsi="Times New Roman" w:eastAsia="宋体" w:cs="Times New Roman"/>
                      <w:color w:val="auto"/>
                      <w:szCs w:val="21"/>
                      <w:highlight w:val="none"/>
                      <w:lang w:eastAsia="zh-CN"/>
                    </w:rPr>
                    <w:t>布袋除尘器</w:t>
                  </w:r>
                  <w:r>
                    <w:rPr>
                      <w:rFonts w:hint="default" w:ascii="Times New Roman" w:hAnsi="Times New Roman" w:eastAsia="宋体" w:cs="Times New Roman"/>
                      <w:color w:val="auto"/>
                      <w:szCs w:val="21"/>
                      <w:highlight w:val="none"/>
                      <w:lang w:eastAsia="zh-CN"/>
                    </w:rPr>
                    <w:t>处理（效率</w:t>
                  </w:r>
                  <w:r>
                    <w:rPr>
                      <w:rFonts w:hint="eastAsia" w:ascii="Times New Roman" w:hAnsi="Times New Roman" w:eastAsia="宋体" w:cs="Times New Roman"/>
                      <w:color w:val="auto"/>
                      <w:szCs w:val="21"/>
                      <w:highlight w:val="none"/>
                      <w:lang w:val="en-US" w:eastAsia="zh-CN"/>
                    </w:rPr>
                    <w:t>99</w:t>
                  </w:r>
                  <w:r>
                    <w:rPr>
                      <w:rFonts w:hint="default" w:ascii="Times New Roman" w:hAnsi="Times New Roman" w:eastAsia="宋体" w:cs="Times New Roman"/>
                      <w:color w:val="auto"/>
                      <w:szCs w:val="21"/>
                      <w:highlight w:val="none"/>
                      <w:lang w:eastAsia="zh-CN"/>
                    </w:rPr>
                    <w:t>%），然后通过</w:t>
                  </w:r>
                  <w:r>
                    <w:rPr>
                      <w:rFonts w:hint="eastAsia" w:ascii="Times New Roman" w:hAnsi="Times New Roman" w:eastAsia="宋体" w:cs="Times New Roman"/>
                      <w:color w:val="auto"/>
                      <w:szCs w:val="21"/>
                      <w:highlight w:val="none"/>
                      <w:lang w:val="en-US" w:eastAsia="zh-CN"/>
                    </w:rPr>
                    <w:t>1根</w:t>
                  </w:r>
                  <w:r>
                    <w:rPr>
                      <w:rFonts w:hint="default" w:ascii="Times New Roman" w:hAnsi="Times New Roman" w:eastAsia="宋体" w:cs="Times New Roman"/>
                      <w:color w:val="auto"/>
                      <w:szCs w:val="21"/>
                      <w:highlight w:val="none"/>
                      <w:lang w:eastAsia="zh-CN"/>
                    </w:rPr>
                    <w:t>15m排气筒</w:t>
                  </w:r>
                  <w:r>
                    <w:rPr>
                      <w:rFonts w:hint="eastAsia"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lang w:eastAsia="zh-CN"/>
                    </w:rPr>
                    <w:t>DA00</w:t>
                  </w:r>
                  <w:r>
                    <w:rPr>
                      <w:rFonts w:hint="eastAsia" w:ascii="Times New Roman" w:hAnsi="Times New Roman" w:eastAsia="宋体" w:cs="Times New Roman"/>
                      <w:color w:val="auto"/>
                      <w:szCs w:val="21"/>
                      <w:highlight w:val="none"/>
                      <w:lang w:val="en-US" w:eastAsia="zh-CN"/>
                    </w:rPr>
                    <w:t>2</w:t>
                  </w:r>
                  <w:r>
                    <w:rPr>
                      <w:rFonts w:hint="eastAsia"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lang w:eastAsia="zh-CN"/>
                    </w:rPr>
                    <w:t>排放</w:t>
                  </w:r>
                  <w:r>
                    <w:rPr>
                      <w:rFonts w:hint="eastAsia" w:ascii="Times New Roman" w:hAnsi="Times New Roman" w:eastAsia="宋体" w:cs="Times New Roman"/>
                      <w:color w:val="auto"/>
                      <w:szCs w:val="21"/>
                      <w:highlight w:val="none"/>
                      <w:lang w:eastAsia="zh-CN"/>
                    </w:rPr>
                    <w:t>。</w:t>
                  </w:r>
                </w:p>
              </w:tc>
              <w:tc>
                <w:tcPr>
                  <w:tcW w:w="758" w:type="pct"/>
                  <w:noWrap w:val="0"/>
                  <w:vAlign w:val="center"/>
                </w:tcPr>
                <w:p w14:paraId="0EA11ECF">
                  <w:pPr>
                    <w:pStyle w:val="60"/>
                    <w:spacing w:line="240" w:lineRule="auto"/>
                    <w:jc w:val="center"/>
                    <w:rPr>
                      <w:rFonts w:hint="eastAsia"/>
                      <w:color w:val="auto"/>
                      <w:kern w:val="2"/>
                      <w:szCs w:val="21"/>
                      <w:highlight w:val="none"/>
                      <w:lang w:eastAsia="zh-CN"/>
                    </w:rPr>
                  </w:pPr>
                  <w:r>
                    <w:rPr>
                      <w:rFonts w:hint="eastAsia"/>
                      <w:color w:val="auto"/>
                      <w:kern w:val="2"/>
                      <w:szCs w:val="21"/>
                      <w:highlight w:val="none"/>
                      <w:lang w:val="en-US" w:eastAsia="zh-CN"/>
                    </w:rPr>
                    <w:t>已建</w:t>
                  </w:r>
                </w:p>
              </w:tc>
            </w:tr>
            <w:tr w14:paraId="54D01C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87" w:type="pct"/>
                  <w:vMerge w:val="continue"/>
                  <w:noWrap w:val="0"/>
                  <w:vAlign w:val="center"/>
                </w:tcPr>
                <w:p w14:paraId="35AD2C8B">
                  <w:pPr>
                    <w:pStyle w:val="60"/>
                    <w:spacing w:line="240" w:lineRule="auto"/>
                    <w:jc w:val="center"/>
                    <w:rPr>
                      <w:color w:val="auto"/>
                      <w:kern w:val="2"/>
                      <w:szCs w:val="21"/>
                      <w:highlight w:val="none"/>
                    </w:rPr>
                  </w:pPr>
                </w:p>
              </w:tc>
              <w:tc>
                <w:tcPr>
                  <w:tcW w:w="679" w:type="pct"/>
                  <w:vMerge w:val="continue"/>
                  <w:noWrap w:val="0"/>
                  <w:vAlign w:val="center"/>
                </w:tcPr>
                <w:p w14:paraId="60796FDF">
                  <w:pPr>
                    <w:pStyle w:val="60"/>
                    <w:spacing w:line="240" w:lineRule="auto"/>
                    <w:jc w:val="center"/>
                    <w:rPr>
                      <w:color w:val="auto"/>
                      <w:kern w:val="2"/>
                      <w:szCs w:val="21"/>
                      <w:highlight w:val="none"/>
                    </w:rPr>
                  </w:pPr>
                </w:p>
              </w:tc>
              <w:tc>
                <w:tcPr>
                  <w:tcW w:w="772" w:type="pct"/>
                  <w:vMerge w:val="continue"/>
                  <w:noWrap w:val="0"/>
                  <w:vAlign w:val="center"/>
                </w:tcPr>
                <w:p w14:paraId="4EF4C5D9">
                  <w:pPr>
                    <w:pStyle w:val="60"/>
                    <w:spacing w:line="240" w:lineRule="auto"/>
                    <w:jc w:val="center"/>
                    <w:rPr>
                      <w:rFonts w:hint="eastAsia" w:ascii="宋体" w:hAnsi="宋体" w:eastAsia="宋体" w:cs="宋体"/>
                      <w:color w:val="auto"/>
                      <w:szCs w:val="21"/>
                      <w:highlight w:val="none"/>
                      <w:lang w:eastAsia="zh-CN"/>
                    </w:rPr>
                  </w:pPr>
                </w:p>
              </w:tc>
              <w:tc>
                <w:tcPr>
                  <w:tcW w:w="2302" w:type="pct"/>
                  <w:noWrap w:val="0"/>
                  <w:vAlign w:val="center"/>
                </w:tcPr>
                <w:p w14:paraId="2A940AE2">
                  <w:pPr>
                    <w:pStyle w:val="60"/>
                    <w:spacing w:line="240" w:lineRule="auto"/>
                    <w:rPr>
                      <w:rFonts w:hint="eastAsia"/>
                      <w:color w:val="auto"/>
                      <w:lang w:eastAsia="zh-CN"/>
                    </w:rPr>
                  </w:pPr>
                  <w:r>
                    <w:rPr>
                      <w:rFonts w:hint="eastAsia"/>
                      <w:color w:val="auto"/>
                      <w:lang w:eastAsia="zh-CN"/>
                    </w:rPr>
                    <w:t>轻砂机及油砂机产生的颗粒物</w:t>
                  </w:r>
                  <w:r>
                    <w:rPr>
                      <w:rFonts w:hint="eastAsia" w:ascii="宋体" w:hAnsi="宋体" w:eastAsia="宋体" w:cs="宋体"/>
                      <w:color w:val="auto"/>
                      <w:szCs w:val="21"/>
                      <w:highlight w:val="none"/>
                      <w:lang w:eastAsia="zh-CN"/>
                    </w:rPr>
                    <w:t>通过</w:t>
                  </w:r>
                  <w:r>
                    <w:rPr>
                      <w:rFonts w:hint="eastAsia" w:ascii="Times New Roman" w:hAnsi="Times New Roman" w:cs="Times New Roman"/>
                      <w:color w:val="auto"/>
                      <w:sz w:val="21"/>
                      <w:szCs w:val="21"/>
                      <w:lang w:eastAsia="zh-CN"/>
                    </w:rPr>
                    <w:t>集气罩</w:t>
                  </w:r>
                  <w:r>
                    <w:rPr>
                      <w:rFonts w:hint="eastAsia" w:ascii="宋体" w:hAnsi="宋体" w:eastAsia="宋体" w:cs="宋体"/>
                      <w:color w:val="auto"/>
                      <w:szCs w:val="21"/>
                      <w:highlight w:val="none"/>
                      <w:lang w:eastAsia="zh-CN"/>
                    </w:rPr>
                    <w:t>收集（收</w:t>
                  </w:r>
                  <w:r>
                    <w:rPr>
                      <w:rFonts w:hint="default" w:ascii="Times New Roman" w:hAnsi="Times New Roman" w:eastAsia="宋体" w:cs="Times New Roman"/>
                      <w:color w:val="auto"/>
                      <w:szCs w:val="21"/>
                      <w:highlight w:val="none"/>
                      <w:lang w:eastAsia="zh-CN"/>
                    </w:rPr>
                    <w:t>集效率</w:t>
                  </w:r>
                  <w:r>
                    <w:rPr>
                      <w:rFonts w:hint="eastAsia" w:ascii="Times New Roman" w:hAnsi="Times New Roman" w:eastAsia="宋体" w:cs="Times New Roman"/>
                      <w:color w:val="auto"/>
                      <w:szCs w:val="21"/>
                      <w:highlight w:val="none"/>
                      <w:lang w:val="en-US" w:eastAsia="zh-CN"/>
                    </w:rPr>
                    <w:t>8</w:t>
                  </w:r>
                  <w:r>
                    <w:rPr>
                      <w:rFonts w:hint="default" w:ascii="Times New Roman" w:hAnsi="Times New Roman" w:eastAsia="宋体" w:cs="Times New Roman"/>
                      <w:color w:val="auto"/>
                      <w:szCs w:val="21"/>
                      <w:highlight w:val="none"/>
                      <w:lang w:eastAsia="zh-CN"/>
                    </w:rPr>
                    <w:t>0%），进入</w:t>
                  </w:r>
                  <w:r>
                    <w:rPr>
                      <w:rFonts w:hint="eastAsia" w:ascii="Times New Roman" w:hAnsi="Times New Roman" w:eastAsia="宋体" w:cs="Times New Roman"/>
                      <w:color w:val="auto"/>
                      <w:szCs w:val="21"/>
                      <w:highlight w:val="none"/>
                      <w:lang w:eastAsia="zh-CN"/>
                    </w:rPr>
                    <w:t>布袋除尘器</w:t>
                  </w:r>
                  <w:r>
                    <w:rPr>
                      <w:rFonts w:hint="default" w:ascii="Times New Roman" w:hAnsi="Times New Roman" w:eastAsia="宋体" w:cs="Times New Roman"/>
                      <w:color w:val="auto"/>
                      <w:szCs w:val="21"/>
                      <w:highlight w:val="none"/>
                      <w:lang w:eastAsia="zh-CN"/>
                    </w:rPr>
                    <w:t>处理（效率</w:t>
                  </w:r>
                  <w:r>
                    <w:rPr>
                      <w:rFonts w:hint="eastAsia" w:ascii="Times New Roman" w:hAnsi="Times New Roman" w:eastAsia="宋体" w:cs="Times New Roman"/>
                      <w:color w:val="auto"/>
                      <w:szCs w:val="21"/>
                      <w:highlight w:val="none"/>
                      <w:lang w:val="en-US" w:eastAsia="zh-CN"/>
                    </w:rPr>
                    <w:t>99</w:t>
                  </w:r>
                  <w:r>
                    <w:rPr>
                      <w:rFonts w:hint="default" w:ascii="Times New Roman" w:hAnsi="Times New Roman" w:eastAsia="宋体" w:cs="Times New Roman"/>
                      <w:color w:val="auto"/>
                      <w:szCs w:val="21"/>
                      <w:highlight w:val="none"/>
                      <w:lang w:eastAsia="zh-CN"/>
                    </w:rPr>
                    <w:t>%），然后通过</w:t>
                  </w:r>
                  <w:r>
                    <w:rPr>
                      <w:rFonts w:hint="eastAsia" w:ascii="Times New Roman" w:hAnsi="Times New Roman" w:eastAsia="宋体" w:cs="Times New Roman"/>
                      <w:color w:val="auto"/>
                      <w:szCs w:val="21"/>
                      <w:highlight w:val="none"/>
                      <w:lang w:val="en-US" w:eastAsia="zh-CN"/>
                    </w:rPr>
                    <w:t>1根</w:t>
                  </w:r>
                  <w:r>
                    <w:rPr>
                      <w:rFonts w:hint="default" w:ascii="Times New Roman" w:hAnsi="Times New Roman" w:eastAsia="宋体" w:cs="Times New Roman"/>
                      <w:color w:val="auto"/>
                      <w:szCs w:val="21"/>
                      <w:highlight w:val="none"/>
                      <w:lang w:eastAsia="zh-CN"/>
                    </w:rPr>
                    <w:t>15m排气筒</w:t>
                  </w:r>
                  <w:r>
                    <w:rPr>
                      <w:rFonts w:hint="eastAsia"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lang w:eastAsia="zh-CN"/>
                    </w:rPr>
                    <w:t>DA00</w:t>
                  </w:r>
                  <w:r>
                    <w:rPr>
                      <w:rFonts w:hint="eastAsia" w:ascii="Times New Roman" w:hAnsi="Times New Roman" w:eastAsia="宋体" w:cs="Times New Roman"/>
                      <w:color w:val="auto"/>
                      <w:szCs w:val="21"/>
                      <w:highlight w:val="none"/>
                      <w:lang w:val="en-US" w:eastAsia="zh-CN"/>
                    </w:rPr>
                    <w:t>3</w:t>
                  </w:r>
                  <w:r>
                    <w:rPr>
                      <w:rFonts w:hint="eastAsia"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lang w:eastAsia="zh-CN"/>
                    </w:rPr>
                    <w:t>排放</w:t>
                  </w:r>
                  <w:r>
                    <w:rPr>
                      <w:rFonts w:hint="eastAsia" w:ascii="Times New Roman" w:hAnsi="Times New Roman" w:eastAsia="宋体" w:cs="Times New Roman"/>
                      <w:color w:val="auto"/>
                      <w:szCs w:val="21"/>
                      <w:highlight w:val="none"/>
                      <w:lang w:eastAsia="zh-CN"/>
                    </w:rPr>
                    <w:t>。</w:t>
                  </w:r>
                </w:p>
              </w:tc>
              <w:tc>
                <w:tcPr>
                  <w:tcW w:w="758" w:type="pct"/>
                  <w:noWrap w:val="0"/>
                  <w:vAlign w:val="center"/>
                </w:tcPr>
                <w:p w14:paraId="71562D55">
                  <w:pPr>
                    <w:pStyle w:val="60"/>
                    <w:spacing w:line="240" w:lineRule="auto"/>
                    <w:jc w:val="center"/>
                    <w:rPr>
                      <w:rFonts w:hint="eastAsia"/>
                      <w:color w:val="auto"/>
                      <w:kern w:val="2"/>
                      <w:szCs w:val="21"/>
                      <w:highlight w:val="none"/>
                      <w:lang w:eastAsia="zh-CN"/>
                    </w:rPr>
                  </w:pPr>
                  <w:r>
                    <w:rPr>
                      <w:rFonts w:hint="eastAsia"/>
                      <w:color w:val="auto"/>
                      <w:kern w:val="2"/>
                      <w:szCs w:val="21"/>
                      <w:highlight w:val="none"/>
                      <w:lang w:val="en-US" w:eastAsia="zh-CN"/>
                    </w:rPr>
                    <w:t>已建</w:t>
                  </w:r>
                </w:p>
              </w:tc>
            </w:tr>
            <w:tr w14:paraId="586C4D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487" w:type="pct"/>
                  <w:vMerge w:val="continue"/>
                  <w:noWrap w:val="0"/>
                  <w:vAlign w:val="center"/>
                </w:tcPr>
                <w:p w14:paraId="1ED14D1F">
                  <w:pPr>
                    <w:pStyle w:val="60"/>
                    <w:spacing w:line="240" w:lineRule="auto"/>
                    <w:jc w:val="center"/>
                    <w:rPr>
                      <w:color w:val="auto"/>
                      <w:kern w:val="2"/>
                      <w:szCs w:val="21"/>
                      <w:highlight w:val="none"/>
                    </w:rPr>
                  </w:pPr>
                </w:p>
              </w:tc>
              <w:tc>
                <w:tcPr>
                  <w:tcW w:w="679" w:type="pct"/>
                  <w:vMerge w:val="continue"/>
                  <w:noWrap w:val="0"/>
                  <w:vAlign w:val="center"/>
                </w:tcPr>
                <w:p w14:paraId="60B77912">
                  <w:pPr>
                    <w:pStyle w:val="60"/>
                    <w:spacing w:line="240" w:lineRule="auto"/>
                    <w:jc w:val="center"/>
                    <w:rPr>
                      <w:color w:val="auto"/>
                      <w:kern w:val="2"/>
                      <w:szCs w:val="21"/>
                      <w:highlight w:val="none"/>
                    </w:rPr>
                  </w:pPr>
                </w:p>
              </w:tc>
              <w:tc>
                <w:tcPr>
                  <w:tcW w:w="772" w:type="pct"/>
                  <w:vMerge w:val="continue"/>
                  <w:noWrap w:val="0"/>
                  <w:vAlign w:val="center"/>
                </w:tcPr>
                <w:p w14:paraId="4DBF7F5D">
                  <w:pPr>
                    <w:pStyle w:val="60"/>
                    <w:spacing w:line="240" w:lineRule="auto"/>
                    <w:jc w:val="center"/>
                    <w:rPr>
                      <w:rFonts w:hint="eastAsia" w:ascii="宋体" w:hAnsi="宋体" w:eastAsia="宋体" w:cs="宋体"/>
                      <w:color w:val="auto"/>
                      <w:szCs w:val="21"/>
                      <w:highlight w:val="none"/>
                      <w:lang w:eastAsia="zh-CN"/>
                    </w:rPr>
                  </w:pPr>
                </w:p>
              </w:tc>
              <w:tc>
                <w:tcPr>
                  <w:tcW w:w="2302" w:type="pct"/>
                  <w:noWrap w:val="0"/>
                  <w:vAlign w:val="center"/>
                </w:tcPr>
                <w:p w14:paraId="6342BD55">
                  <w:pPr>
                    <w:pStyle w:val="60"/>
                    <w:spacing w:line="240" w:lineRule="auto"/>
                    <w:rPr>
                      <w:rFonts w:hint="eastAsia" w:eastAsia="宋体"/>
                      <w:color w:val="auto"/>
                      <w:lang w:eastAsia="zh-CN"/>
                    </w:rPr>
                  </w:pPr>
                  <w:r>
                    <w:rPr>
                      <w:rFonts w:hint="eastAsia"/>
                      <w:color w:val="auto"/>
                      <w:lang w:eastAsia="zh-CN"/>
                    </w:rPr>
                    <w:t>开槽工序产生的颗粒物</w:t>
                  </w:r>
                  <w:r>
                    <w:rPr>
                      <w:rFonts w:hint="eastAsia" w:ascii="宋体" w:hAnsi="宋体" w:eastAsia="宋体" w:cs="宋体"/>
                      <w:color w:val="auto"/>
                      <w:szCs w:val="21"/>
                      <w:highlight w:val="none"/>
                      <w:lang w:eastAsia="zh-CN"/>
                    </w:rPr>
                    <w:t>通过</w:t>
                  </w:r>
                  <w:r>
                    <w:rPr>
                      <w:rFonts w:hint="eastAsia" w:ascii="Times New Roman" w:hAnsi="Times New Roman" w:cs="Times New Roman"/>
                      <w:color w:val="auto"/>
                      <w:sz w:val="21"/>
                      <w:szCs w:val="21"/>
                      <w:lang w:eastAsia="zh-CN"/>
                    </w:rPr>
                    <w:t>集气罩</w:t>
                  </w:r>
                  <w:r>
                    <w:rPr>
                      <w:rFonts w:hint="eastAsia" w:ascii="宋体" w:hAnsi="宋体" w:eastAsia="宋体" w:cs="宋体"/>
                      <w:color w:val="auto"/>
                      <w:szCs w:val="21"/>
                      <w:highlight w:val="none"/>
                      <w:lang w:eastAsia="zh-CN"/>
                    </w:rPr>
                    <w:t>收集（收</w:t>
                  </w:r>
                  <w:r>
                    <w:rPr>
                      <w:rFonts w:hint="default" w:ascii="Times New Roman" w:hAnsi="Times New Roman" w:eastAsia="宋体" w:cs="Times New Roman"/>
                      <w:color w:val="auto"/>
                      <w:szCs w:val="21"/>
                      <w:highlight w:val="none"/>
                      <w:lang w:eastAsia="zh-CN"/>
                    </w:rPr>
                    <w:t>集效率</w:t>
                  </w:r>
                  <w:r>
                    <w:rPr>
                      <w:rFonts w:hint="eastAsia" w:ascii="Times New Roman" w:hAnsi="Times New Roman" w:eastAsia="宋体" w:cs="Times New Roman"/>
                      <w:color w:val="auto"/>
                      <w:szCs w:val="21"/>
                      <w:highlight w:val="none"/>
                      <w:lang w:val="en-US" w:eastAsia="zh-CN"/>
                    </w:rPr>
                    <w:t>8</w:t>
                  </w:r>
                  <w:r>
                    <w:rPr>
                      <w:rFonts w:hint="default" w:ascii="Times New Roman" w:hAnsi="Times New Roman" w:eastAsia="宋体" w:cs="Times New Roman"/>
                      <w:color w:val="auto"/>
                      <w:szCs w:val="21"/>
                      <w:highlight w:val="none"/>
                      <w:lang w:eastAsia="zh-CN"/>
                    </w:rPr>
                    <w:t>0%），进入</w:t>
                  </w:r>
                  <w:r>
                    <w:rPr>
                      <w:rFonts w:hint="eastAsia" w:ascii="Times New Roman" w:hAnsi="Times New Roman" w:eastAsia="宋体" w:cs="Times New Roman"/>
                      <w:color w:val="auto"/>
                      <w:szCs w:val="21"/>
                      <w:highlight w:val="none"/>
                      <w:lang w:eastAsia="zh-CN"/>
                    </w:rPr>
                    <w:t>布袋除尘器</w:t>
                  </w:r>
                  <w:r>
                    <w:rPr>
                      <w:rFonts w:hint="default" w:ascii="Times New Roman" w:hAnsi="Times New Roman" w:eastAsia="宋体" w:cs="Times New Roman"/>
                      <w:color w:val="auto"/>
                      <w:szCs w:val="21"/>
                      <w:highlight w:val="none"/>
                      <w:lang w:eastAsia="zh-CN"/>
                    </w:rPr>
                    <w:t>处理（效率</w:t>
                  </w:r>
                  <w:r>
                    <w:rPr>
                      <w:rFonts w:hint="eastAsia" w:ascii="Times New Roman" w:hAnsi="Times New Roman" w:eastAsia="宋体" w:cs="Times New Roman"/>
                      <w:color w:val="auto"/>
                      <w:szCs w:val="21"/>
                      <w:highlight w:val="none"/>
                      <w:lang w:val="en-US" w:eastAsia="zh-CN"/>
                    </w:rPr>
                    <w:t>99</w:t>
                  </w:r>
                  <w:r>
                    <w:rPr>
                      <w:rFonts w:hint="default" w:ascii="Times New Roman" w:hAnsi="Times New Roman" w:eastAsia="宋体" w:cs="Times New Roman"/>
                      <w:color w:val="auto"/>
                      <w:szCs w:val="21"/>
                      <w:highlight w:val="none"/>
                      <w:lang w:eastAsia="zh-CN"/>
                    </w:rPr>
                    <w:t>%），然后通过</w:t>
                  </w:r>
                  <w:r>
                    <w:rPr>
                      <w:rFonts w:hint="eastAsia" w:ascii="Times New Roman" w:hAnsi="Times New Roman" w:eastAsia="宋体" w:cs="Times New Roman"/>
                      <w:color w:val="auto"/>
                      <w:szCs w:val="21"/>
                      <w:highlight w:val="none"/>
                      <w:lang w:val="en-US" w:eastAsia="zh-CN"/>
                    </w:rPr>
                    <w:t>1根</w:t>
                  </w:r>
                  <w:r>
                    <w:rPr>
                      <w:rFonts w:hint="default" w:ascii="Times New Roman" w:hAnsi="Times New Roman" w:eastAsia="宋体" w:cs="Times New Roman"/>
                      <w:color w:val="auto"/>
                      <w:szCs w:val="21"/>
                      <w:highlight w:val="none"/>
                      <w:lang w:eastAsia="zh-CN"/>
                    </w:rPr>
                    <w:t>15m排气筒</w:t>
                  </w:r>
                  <w:r>
                    <w:rPr>
                      <w:rFonts w:hint="eastAsia"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lang w:eastAsia="zh-CN"/>
                    </w:rPr>
                    <w:t>DA00</w:t>
                  </w:r>
                  <w:r>
                    <w:rPr>
                      <w:rFonts w:hint="eastAsia" w:ascii="Times New Roman" w:hAnsi="Times New Roman" w:eastAsia="宋体" w:cs="Times New Roman"/>
                      <w:color w:val="auto"/>
                      <w:szCs w:val="21"/>
                      <w:highlight w:val="none"/>
                      <w:lang w:val="en-US" w:eastAsia="zh-CN"/>
                    </w:rPr>
                    <w:t>4</w:t>
                  </w:r>
                  <w:r>
                    <w:rPr>
                      <w:rFonts w:hint="eastAsia"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lang w:eastAsia="zh-CN"/>
                    </w:rPr>
                    <w:t>排放</w:t>
                  </w:r>
                  <w:r>
                    <w:rPr>
                      <w:rFonts w:hint="eastAsia" w:ascii="Times New Roman" w:hAnsi="Times New Roman" w:eastAsia="宋体" w:cs="Times New Roman"/>
                      <w:color w:val="auto"/>
                      <w:szCs w:val="21"/>
                      <w:highlight w:val="none"/>
                      <w:lang w:eastAsia="zh-CN"/>
                    </w:rPr>
                    <w:t>。</w:t>
                  </w:r>
                </w:p>
              </w:tc>
              <w:tc>
                <w:tcPr>
                  <w:tcW w:w="758" w:type="pct"/>
                  <w:noWrap w:val="0"/>
                  <w:vAlign w:val="center"/>
                </w:tcPr>
                <w:p w14:paraId="24203F59">
                  <w:pPr>
                    <w:pStyle w:val="60"/>
                    <w:spacing w:line="240" w:lineRule="auto"/>
                    <w:jc w:val="center"/>
                    <w:rPr>
                      <w:rFonts w:hint="eastAsia"/>
                      <w:color w:val="auto"/>
                      <w:kern w:val="2"/>
                      <w:szCs w:val="21"/>
                      <w:highlight w:val="none"/>
                      <w:lang w:eastAsia="zh-CN"/>
                    </w:rPr>
                  </w:pPr>
                  <w:r>
                    <w:rPr>
                      <w:rFonts w:hint="eastAsia"/>
                      <w:color w:val="auto"/>
                      <w:kern w:val="2"/>
                      <w:szCs w:val="21"/>
                      <w:highlight w:val="none"/>
                      <w:lang w:val="en-US" w:eastAsia="zh-CN"/>
                    </w:rPr>
                    <w:t>已建</w:t>
                  </w:r>
                </w:p>
              </w:tc>
            </w:tr>
            <w:tr w14:paraId="568946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487" w:type="pct"/>
                  <w:vMerge w:val="continue"/>
                  <w:noWrap w:val="0"/>
                  <w:vAlign w:val="center"/>
                </w:tcPr>
                <w:p w14:paraId="6CDE0C90">
                  <w:pPr>
                    <w:pStyle w:val="60"/>
                    <w:spacing w:line="240" w:lineRule="auto"/>
                    <w:jc w:val="center"/>
                    <w:rPr>
                      <w:color w:val="auto"/>
                      <w:kern w:val="2"/>
                      <w:szCs w:val="21"/>
                      <w:highlight w:val="none"/>
                    </w:rPr>
                  </w:pPr>
                </w:p>
              </w:tc>
              <w:tc>
                <w:tcPr>
                  <w:tcW w:w="679" w:type="pct"/>
                  <w:vMerge w:val="continue"/>
                  <w:noWrap w:val="0"/>
                  <w:vAlign w:val="center"/>
                </w:tcPr>
                <w:p w14:paraId="480AE9B9">
                  <w:pPr>
                    <w:pStyle w:val="60"/>
                    <w:spacing w:line="240" w:lineRule="auto"/>
                    <w:jc w:val="center"/>
                    <w:rPr>
                      <w:color w:val="auto"/>
                      <w:kern w:val="2"/>
                      <w:szCs w:val="21"/>
                      <w:highlight w:val="none"/>
                    </w:rPr>
                  </w:pPr>
                </w:p>
              </w:tc>
              <w:tc>
                <w:tcPr>
                  <w:tcW w:w="772" w:type="pct"/>
                  <w:vMerge w:val="continue"/>
                  <w:noWrap w:val="0"/>
                  <w:vAlign w:val="center"/>
                </w:tcPr>
                <w:p w14:paraId="1982A7E2">
                  <w:pPr>
                    <w:pStyle w:val="60"/>
                    <w:spacing w:line="240" w:lineRule="auto"/>
                    <w:jc w:val="center"/>
                    <w:rPr>
                      <w:rFonts w:hint="eastAsia" w:ascii="宋体" w:hAnsi="宋体" w:eastAsia="宋体" w:cs="宋体"/>
                      <w:color w:val="auto"/>
                      <w:szCs w:val="21"/>
                      <w:highlight w:val="none"/>
                      <w:lang w:eastAsia="zh-CN"/>
                    </w:rPr>
                  </w:pPr>
                </w:p>
              </w:tc>
              <w:tc>
                <w:tcPr>
                  <w:tcW w:w="2302" w:type="pct"/>
                  <w:noWrap w:val="0"/>
                  <w:vAlign w:val="center"/>
                </w:tcPr>
                <w:p w14:paraId="621DB96F">
                  <w:pPr>
                    <w:pStyle w:val="60"/>
                    <w:spacing w:line="240" w:lineRule="auto"/>
                    <w:rPr>
                      <w:rFonts w:hint="eastAsia" w:ascii="宋体" w:hAnsi="宋体" w:eastAsia="宋体" w:cs="宋体"/>
                      <w:color w:val="auto"/>
                      <w:szCs w:val="21"/>
                      <w:highlight w:val="none"/>
                      <w:lang w:eastAsia="zh-CN"/>
                    </w:rPr>
                  </w:pPr>
                  <w:r>
                    <w:rPr>
                      <w:rFonts w:hint="eastAsia" w:ascii="Times New Roman" w:hAnsi="Times New Roman" w:eastAsia="宋体" w:cs="Times New Roman"/>
                      <w:color w:val="auto"/>
                      <w:szCs w:val="21"/>
                      <w:highlight w:val="none"/>
                      <w:lang w:eastAsia="zh-CN"/>
                    </w:rPr>
                    <w:t>辊漆</w:t>
                  </w:r>
                  <w:r>
                    <w:rPr>
                      <w:rFonts w:hint="eastAsia" w:ascii="Times New Roman" w:hAnsi="Times New Roman" w:eastAsia="宋体" w:cs="Times New Roman"/>
                      <w:color w:val="auto"/>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紫外光固化</w:t>
                  </w:r>
                  <w:r>
                    <w:rPr>
                      <w:rFonts w:hint="eastAsia" w:ascii="Times New Roman" w:hAnsi="Times New Roman" w:eastAsia="宋体" w:cs="Times New Roman"/>
                      <w:color w:val="auto"/>
                      <w:szCs w:val="21"/>
                      <w:highlight w:val="none"/>
                      <w:lang w:val="en-US" w:eastAsia="zh-CN"/>
                    </w:rPr>
                    <w:t>工序</w:t>
                  </w:r>
                  <w:r>
                    <w:rPr>
                      <w:rFonts w:hint="default" w:ascii="Times New Roman" w:hAnsi="Times New Roman" w:eastAsia="宋体" w:cs="Times New Roman"/>
                      <w:color w:val="auto"/>
                      <w:szCs w:val="21"/>
                      <w:highlight w:val="none"/>
                      <w:lang w:eastAsia="zh-CN"/>
                    </w:rPr>
                    <w:t>采用</w:t>
                  </w:r>
                  <w:r>
                    <w:rPr>
                      <w:rFonts w:hint="eastAsia" w:ascii="Times New Roman" w:hAnsi="Times New Roman" w:cs="Times New Roman"/>
                      <w:color w:val="auto"/>
                      <w:sz w:val="21"/>
                      <w:szCs w:val="21"/>
                      <w:lang w:eastAsia="zh-CN"/>
                    </w:rPr>
                    <w:t>集气罩</w:t>
                  </w:r>
                  <w:r>
                    <w:rPr>
                      <w:rFonts w:hint="default" w:ascii="Times New Roman" w:hAnsi="Times New Roman" w:eastAsia="宋体" w:cs="Times New Roman"/>
                      <w:color w:val="auto"/>
                      <w:szCs w:val="21"/>
                      <w:highlight w:val="none"/>
                      <w:lang w:eastAsia="zh-CN"/>
                    </w:rPr>
                    <w:t>收集（收集效率</w:t>
                  </w:r>
                  <w:r>
                    <w:rPr>
                      <w:rFonts w:hint="eastAsia" w:ascii="Times New Roman" w:hAnsi="Times New Roman" w:eastAsia="宋体" w:cs="Times New Roman"/>
                      <w:color w:val="auto"/>
                      <w:szCs w:val="21"/>
                      <w:highlight w:val="none"/>
                      <w:lang w:val="en-US" w:eastAsia="zh-CN"/>
                    </w:rPr>
                    <w:t>8</w:t>
                  </w:r>
                  <w:r>
                    <w:rPr>
                      <w:rFonts w:hint="default" w:ascii="Times New Roman" w:hAnsi="Times New Roman" w:eastAsia="宋体" w:cs="Times New Roman"/>
                      <w:color w:val="auto"/>
                      <w:szCs w:val="21"/>
                      <w:highlight w:val="none"/>
                      <w:lang w:eastAsia="zh-CN"/>
                    </w:rPr>
                    <w:t>0%），</w:t>
                  </w:r>
                  <w:r>
                    <w:rPr>
                      <w:rFonts w:hint="eastAsia" w:ascii="Times New Roman" w:hAnsi="Times New Roman" w:eastAsia="宋体" w:cs="Times New Roman"/>
                      <w:color w:val="auto"/>
                      <w:szCs w:val="21"/>
                      <w:highlight w:val="none"/>
                      <w:lang w:eastAsia="zh-CN"/>
                    </w:rPr>
                    <w:t>通过带有自动控制系统的</w:t>
                  </w:r>
                  <w:r>
                    <w:rPr>
                      <w:rFonts w:hint="eastAsia" w:ascii="Times New Roman" w:hAnsi="Times New Roman" w:eastAsia="宋体" w:cs="Times New Roman"/>
                      <w:color w:val="auto"/>
                      <w:kern w:val="2"/>
                      <w:sz w:val="21"/>
                      <w:szCs w:val="21"/>
                      <w:highlight w:val="none"/>
                      <w:lang w:val="en-US" w:eastAsia="zh-CN" w:bidi="ar-SA"/>
                    </w:rPr>
                    <w:t>二级</w:t>
                  </w:r>
                  <w:r>
                    <w:rPr>
                      <w:rFonts w:hint="eastAsia" w:ascii="Times New Roman" w:hAnsi="Times New Roman" w:eastAsia="宋体" w:cs="Times New Roman"/>
                      <w:color w:val="auto"/>
                      <w:szCs w:val="21"/>
                      <w:highlight w:val="none"/>
                      <w:lang w:eastAsia="zh-CN"/>
                    </w:rPr>
                    <w:t>活性炭吸附</w:t>
                  </w:r>
                  <w:r>
                    <w:rPr>
                      <w:rFonts w:hint="default" w:ascii="Times New Roman" w:hAnsi="Times New Roman" w:eastAsia="宋体" w:cs="Times New Roman"/>
                      <w:color w:val="auto"/>
                      <w:szCs w:val="21"/>
                      <w:highlight w:val="none"/>
                      <w:lang w:eastAsia="zh-CN"/>
                    </w:rPr>
                    <w:t>处理（</w:t>
                  </w:r>
                  <w:r>
                    <w:rPr>
                      <w:rFonts w:hint="eastAsia" w:ascii="Times New Roman" w:hAnsi="Times New Roman" w:eastAsia="宋体" w:cs="Times New Roman"/>
                      <w:color w:val="auto"/>
                      <w:szCs w:val="21"/>
                      <w:highlight w:val="none"/>
                      <w:lang w:eastAsia="zh-CN"/>
                    </w:rPr>
                    <w:t>处理</w:t>
                  </w:r>
                  <w:r>
                    <w:rPr>
                      <w:rFonts w:hint="default" w:ascii="Times New Roman" w:hAnsi="Times New Roman" w:eastAsia="宋体" w:cs="Times New Roman"/>
                      <w:color w:val="auto"/>
                      <w:szCs w:val="21"/>
                      <w:highlight w:val="none"/>
                      <w:lang w:eastAsia="zh-CN"/>
                    </w:rPr>
                    <w:t>效率</w:t>
                  </w:r>
                  <w:r>
                    <w:rPr>
                      <w:rFonts w:hint="eastAsia" w:ascii="Times New Roman" w:hAnsi="Times New Roman" w:eastAsia="宋体" w:cs="Times New Roman"/>
                      <w:color w:val="auto"/>
                      <w:szCs w:val="21"/>
                      <w:highlight w:val="none"/>
                      <w:lang w:val="en-US" w:eastAsia="zh-CN"/>
                    </w:rPr>
                    <w:t>50</w:t>
                  </w:r>
                  <w:r>
                    <w:rPr>
                      <w:rFonts w:hint="default" w:ascii="Times New Roman" w:hAnsi="Times New Roman" w:eastAsia="宋体" w:cs="Times New Roman"/>
                      <w:color w:val="auto"/>
                      <w:szCs w:val="21"/>
                      <w:highlight w:val="none"/>
                      <w:lang w:eastAsia="zh-CN"/>
                    </w:rPr>
                    <w:t>%），然后</w:t>
                  </w:r>
                  <w:r>
                    <w:rPr>
                      <w:rFonts w:hint="eastAsia" w:ascii="Times New Roman" w:hAnsi="Times New Roman" w:eastAsia="宋体" w:cs="Times New Roman"/>
                      <w:color w:val="auto"/>
                      <w:szCs w:val="21"/>
                      <w:highlight w:val="none"/>
                      <w:lang w:eastAsia="zh-CN"/>
                    </w:rPr>
                    <w:t>经</w:t>
                  </w:r>
                  <w:r>
                    <w:rPr>
                      <w:rFonts w:hint="default" w:ascii="Times New Roman" w:hAnsi="Times New Roman" w:eastAsia="宋体" w:cs="Times New Roman"/>
                      <w:color w:val="auto"/>
                      <w:szCs w:val="21"/>
                      <w:highlight w:val="none"/>
                      <w:lang w:eastAsia="zh-CN"/>
                    </w:rPr>
                    <w:t>1根15m</w:t>
                  </w:r>
                  <w:r>
                    <w:rPr>
                      <w:rFonts w:hint="default" w:ascii="Times New Roman" w:hAnsi="Times New Roman" w:eastAsia="宋体" w:cs="Times New Roman"/>
                      <w:color w:val="auto"/>
                      <w:szCs w:val="21"/>
                      <w:highlight w:val="none"/>
                      <w:lang w:eastAsia="zh-CN"/>
                    </w:rPr>
                    <w:t>排气筒</w:t>
                  </w:r>
                  <w:r>
                    <w:rPr>
                      <w:rFonts w:hint="eastAsia"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lang w:eastAsia="zh-CN"/>
                    </w:rPr>
                    <w:t>DA00</w:t>
                  </w:r>
                  <w:r>
                    <w:rPr>
                      <w:rFonts w:hint="eastAsia" w:ascii="Times New Roman" w:hAnsi="Times New Roman" w:eastAsia="宋体" w:cs="Times New Roman"/>
                      <w:color w:val="auto"/>
                      <w:szCs w:val="21"/>
                      <w:highlight w:val="none"/>
                      <w:lang w:val="en-US" w:eastAsia="zh-CN"/>
                    </w:rPr>
                    <w:t>5</w:t>
                  </w:r>
                  <w:r>
                    <w:rPr>
                      <w:rFonts w:hint="eastAsia"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lang w:eastAsia="zh-CN"/>
                    </w:rPr>
                    <w:t>排放</w:t>
                  </w:r>
                  <w:r>
                    <w:rPr>
                      <w:rFonts w:hint="eastAsia" w:ascii="Times New Roman" w:hAnsi="Times New Roman" w:eastAsia="宋体" w:cs="Times New Roman"/>
                      <w:color w:val="auto"/>
                      <w:szCs w:val="21"/>
                      <w:highlight w:val="none"/>
                      <w:lang w:eastAsia="zh-CN"/>
                    </w:rPr>
                    <w:t>。</w:t>
                  </w:r>
                </w:p>
              </w:tc>
              <w:tc>
                <w:tcPr>
                  <w:tcW w:w="758" w:type="pct"/>
                  <w:noWrap w:val="0"/>
                  <w:vAlign w:val="center"/>
                </w:tcPr>
                <w:p w14:paraId="1602E518">
                  <w:pPr>
                    <w:pStyle w:val="60"/>
                    <w:spacing w:line="240" w:lineRule="auto"/>
                    <w:jc w:val="center"/>
                    <w:rPr>
                      <w:color w:val="auto"/>
                      <w:kern w:val="2"/>
                      <w:szCs w:val="21"/>
                      <w:highlight w:val="none"/>
                    </w:rPr>
                  </w:pPr>
                  <w:r>
                    <w:rPr>
                      <w:rFonts w:hint="eastAsia"/>
                      <w:color w:val="auto"/>
                      <w:kern w:val="2"/>
                      <w:szCs w:val="21"/>
                      <w:highlight w:val="none"/>
                      <w:lang w:eastAsia="zh-CN"/>
                    </w:rPr>
                    <w:t>新建</w:t>
                  </w:r>
                </w:p>
              </w:tc>
            </w:tr>
            <w:tr w14:paraId="6C966A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87" w:type="pct"/>
                  <w:vMerge w:val="continue"/>
                  <w:noWrap w:val="0"/>
                  <w:vAlign w:val="center"/>
                </w:tcPr>
                <w:p w14:paraId="5943758F">
                  <w:pPr>
                    <w:pStyle w:val="60"/>
                    <w:spacing w:line="240" w:lineRule="auto"/>
                    <w:jc w:val="center"/>
                    <w:rPr>
                      <w:color w:val="auto"/>
                      <w:kern w:val="2"/>
                      <w:szCs w:val="21"/>
                      <w:highlight w:val="none"/>
                    </w:rPr>
                  </w:pPr>
                </w:p>
              </w:tc>
              <w:tc>
                <w:tcPr>
                  <w:tcW w:w="679" w:type="pct"/>
                  <w:vMerge w:val="continue"/>
                  <w:noWrap w:val="0"/>
                  <w:vAlign w:val="center"/>
                </w:tcPr>
                <w:p w14:paraId="18C36A69">
                  <w:pPr>
                    <w:pStyle w:val="60"/>
                    <w:spacing w:line="240" w:lineRule="auto"/>
                    <w:jc w:val="center"/>
                    <w:rPr>
                      <w:color w:val="auto"/>
                      <w:kern w:val="2"/>
                      <w:szCs w:val="21"/>
                      <w:highlight w:val="none"/>
                    </w:rPr>
                  </w:pPr>
                </w:p>
              </w:tc>
              <w:tc>
                <w:tcPr>
                  <w:tcW w:w="772" w:type="pct"/>
                  <w:noWrap w:val="0"/>
                  <w:vAlign w:val="center"/>
                </w:tcPr>
                <w:p w14:paraId="08669280">
                  <w:pPr>
                    <w:pStyle w:val="60"/>
                    <w:spacing w:line="240" w:lineRule="auto"/>
                    <w:jc w:val="center"/>
                    <w:rPr>
                      <w:rFonts w:hint="eastAsia" w:eastAsia="宋体"/>
                      <w:color w:val="auto"/>
                      <w:kern w:val="2"/>
                      <w:szCs w:val="21"/>
                      <w:highlight w:val="none"/>
                      <w:lang w:eastAsia="zh-CN"/>
                    </w:rPr>
                  </w:pPr>
                  <w:r>
                    <w:rPr>
                      <w:rFonts w:hint="eastAsia"/>
                      <w:color w:val="auto"/>
                      <w:kern w:val="2"/>
                      <w:szCs w:val="21"/>
                      <w:highlight w:val="none"/>
                      <w:lang w:eastAsia="zh-CN"/>
                    </w:rPr>
                    <w:t>无组织</w:t>
                  </w:r>
                </w:p>
              </w:tc>
              <w:tc>
                <w:tcPr>
                  <w:tcW w:w="2302" w:type="pct"/>
                  <w:noWrap w:val="0"/>
                  <w:vAlign w:val="center"/>
                </w:tcPr>
                <w:p w14:paraId="5D90788A">
                  <w:pPr>
                    <w:pStyle w:val="60"/>
                    <w:spacing w:line="240" w:lineRule="auto"/>
                    <w:rPr>
                      <w:rFonts w:hint="eastAsia" w:eastAsia="宋体"/>
                      <w:color w:val="auto"/>
                      <w:szCs w:val="21"/>
                      <w:highlight w:val="none"/>
                      <w:lang w:eastAsia="zh-CN"/>
                    </w:rPr>
                  </w:pPr>
                  <w:r>
                    <w:rPr>
                      <w:color w:val="auto"/>
                      <w:spacing w:val="8"/>
                    </w:rPr>
                    <w:t>设备均建于封闭厂房内</w:t>
                  </w:r>
                  <w:r>
                    <w:rPr>
                      <w:rFonts w:hint="eastAsia"/>
                      <w:color w:val="auto"/>
                      <w:spacing w:val="8"/>
                      <w:lang w:eastAsia="zh-CN"/>
                    </w:rPr>
                    <w:t>，</w:t>
                  </w:r>
                  <w:r>
                    <w:rPr>
                      <w:rFonts w:hint="eastAsia"/>
                      <w:color w:val="auto"/>
                      <w:szCs w:val="21"/>
                      <w:highlight w:val="none"/>
                    </w:rPr>
                    <w:t>洒水抑尘</w:t>
                  </w:r>
                  <w:r>
                    <w:rPr>
                      <w:rFonts w:hint="eastAsia"/>
                      <w:color w:val="auto"/>
                      <w:szCs w:val="21"/>
                      <w:highlight w:val="none"/>
                      <w:lang w:eastAsia="zh-CN"/>
                    </w:rPr>
                    <w:t>。</w:t>
                  </w:r>
                </w:p>
              </w:tc>
              <w:tc>
                <w:tcPr>
                  <w:tcW w:w="758" w:type="pct"/>
                  <w:noWrap w:val="0"/>
                  <w:vAlign w:val="center"/>
                </w:tcPr>
                <w:p w14:paraId="59A7FC05">
                  <w:pPr>
                    <w:pStyle w:val="60"/>
                    <w:spacing w:line="240" w:lineRule="auto"/>
                    <w:jc w:val="center"/>
                    <w:rPr>
                      <w:color w:val="auto"/>
                      <w:kern w:val="2"/>
                      <w:szCs w:val="21"/>
                      <w:highlight w:val="none"/>
                    </w:rPr>
                  </w:pPr>
                  <w:r>
                    <w:rPr>
                      <w:rFonts w:hint="eastAsia"/>
                      <w:color w:val="auto"/>
                      <w:kern w:val="2"/>
                      <w:szCs w:val="21"/>
                      <w:highlight w:val="none"/>
                      <w:lang w:val="en-US" w:eastAsia="zh-CN"/>
                    </w:rPr>
                    <w:t>已建</w:t>
                  </w:r>
                </w:p>
              </w:tc>
            </w:tr>
            <w:tr w14:paraId="14421D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87" w:type="pct"/>
                  <w:vMerge w:val="continue"/>
                  <w:noWrap w:val="0"/>
                  <w:vAlign w:val="center"/>
                </w:tcPr>
                <w:p w14:paraId="0267DB9A">
                  <w:pPr>
                    <w:widowControl/>
                    <w:spacing w:line="240" w:lineRule="auto"/>
                    <w:rPr>
                      <w:color w:val="auto"/>
                      <w:szCs w:val="21"/>
                      <w:highlight w:val="none"/>
                    </w:rPr>
                  </w:pPr>
                </w:p>
              </w:tc>
              <w:tc>
                <w:tcPr>
                  <w:tcW w:w="679" w:type="pct"/>
                  <w:noWrap w:val="0"/>
                  <w:vAlign w:val="center"/>
                </w:tcPr>
                <w:p w14:paraId="4E6B869C">
                  <w:pPr>
                    <w:pStyle w:val="60"/>
                    <w:spacing w:line="240" w:lineRule="auto"/>
                    <w:jc w:val="center"/>
                    <w:rPr>
                      <w:color w:val="auto"/>
                      <w:kern w:val="2"/>
                      <w:szCs w:val="21"/>
                      <w:highlight w:val="none"/>
                    </w:rPr>
                  </w:pPr>
                  <w:r>
                    <w:rPr>
                      <w:color w:val="auto"/>
                      <w:kern w:val="2"/>
                      <w:szCs w:val="21"/>
                      <w:highlight w:val="none"/>
                    </w:rPr>
                    <w:t>废水治理</w:t>
                  </w:r>
                </w:p>
              </w:tc>
              <w:tc>
                <w:tcPr>
                  <w:tcW w:w="3075" w:type="pct"/>
                  <w:gridSpan w:val="2"/>
                  <w:noWrap w:val="0"/>
                  <w:vAlign w:val="center"/>
                </w:tcPr>
                <w:p w14:paraId="692214A0">
                  <w:pPr>
                    <w:pStyle w:val="60"/>
                    <w:spacing w:line="240" w:lineRule="auto"/>
                    <w:rPr>
                      <w:color w:val="auto"/>
                      <w:szCs w:val="21"/>
                      <w:highlight w:val="none"/>
                    </w:rPr>
                  </w:pPr>
                  <w:r>
                    <w:rPr>
                      <w:rFonts w:ascii="Times New Roman" w:hAnsi="Times New Roman" w:eastAsia="宋体" w:cs="Times New Roman"/>
                      <w:color w:val="auto"/>
                    </w:rPr>
                    <w:t>本项目生活污水排入抚顺县救兵镇污水处理厂</w:t>
                  </w:r>
                  <w:r>
                    <w:rPr>
                      <w:rFonts w:hint="eastAsia" w:ascii="Times New Roman" w:hAnsi="Times New Roman" w:cs="Times New Roman"/>
                      <w:color w:val="auto"/>
                      <w:lang w:eastAsia="zh-CN"/>
                    </w:rPr>
                    <w:t>，</w:t>
                  </w:r>
                  <w:r>
                    <w:rPr>
                      <w:rStyle w:val="93"/>
                      <w:rFonts w:hint="eastAsia" w:ascii="Times New Roman" w:hAnsi="Times New Roman" w:cs="Times New Roman"/>
                      <w:color w:val="auto"/>
                      <w:sz w:val="21"/>
                      <w:szCs w:val="21"/>
                      <w:lang w:eastAsia="zh-CN"/>
                    </w:rPr>
                    <w:t>处理达标后排至东洲河</w:t>
                  </w:r>
                  <w:r>
                    <w:rPr>
                      <w:rFonts w:hint="eastAsia"/>
                      <w:color w:val="auto"/>
                      <w:szCs w:val="21"/>
                      <w:highlight w:val="none"/>
                      <w:lang w:eastAsia="zh-CN"/>
                    </w:rPr>
                    <w:t>。</w:t>
                  </w:r>
                </w:p>
              </w:tc>
              <w:tc>
                <w:tcPr>
                  <w:tcW w:w="758" w:type="pct"/>
                  <w:noWrap w:val="0"/>
                  <w:vAlign w:val="center"/>
                </w:tcPr>
                <w:p w14:paraId="5162E4B6">
                  <w:pPr>
                    <w:pStyle w:val="60"/>
                    <w:spacing w:line="240" w:lineRule="auto"/>
                    <w:jc w:val="center"/>
                    <w:rPr>
                      <w:color w:val="auto"/>
                      <w:kern w:val="2"/>
                      <w:szCs w:val="21"/>
                      <w:highlight w:val="none"/>
                    </w:rPr>
                  </w:pPr>
                  <w:r>
                    <w:rPr>
                      <w:rFonts w:hint="eastAsia"/>
                      <w:color w:val="auto"/>
                      <w:kern w:val="2"/>
                      <w:szCs w:val="21"/>
                      <w:highlight w:val="none"/>
                      <w:lang w:val="en-US" w:eastAsia="zh-CN"/>
                    </w:rPr>
                    <w:t>已建</w:t>
                  </w:r>
                </w:p>
              </w:tc>
            </w:tr>
            <w:tr w14:paraId="5FA748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87" w:type="pct"/>
                  <w:vMerge w:val="continue"/>
                  <w:noWrap w:val="0"/>
                  <w:vAlign w:val="center"/>
                </w:tcPr>
                <w:p w14:paraId="6C12E374">
                  <w:pPr>
                    <w:widowControl/>
                    <w:spacing w:line="240" w:lineRule="auto"/>
                    <w:rPr>
                      <w:color w:val="auto"/>
                      <w:szCs w:val="21"/>
                      <w:highlight w:val="none"/>
                    </w:rPr>
                  </w:pPr>
                </w:p>
              </w:tc>
              <w:tc>
                <w:tcPr>
                  <w:tcW w:w="679" w:type="pct"/>
                  <w:noWrap w:val="0"/>
                  <w:vAlign w:val="center"/>
                </w:tcPr>
                <w:p w14:paraId="2E9A9226">
                  <w:pPr>
                    <w:pStyle w:val="60"/>
                    <w:spacing w:line="240" w:lineRule="auto"/>
                    <w:jc w:val="center"/>
                    <w:rPr>
                      <w:color w:val="auto"/>
                      <w:kern w:val="2"/>
                      <w:szCs w:val="21"/>
                      <w:highlight w:val="none"/>
                    </w:rPr>
                  </w:pPr>
                  <w:r>
                    <w:rPr>
                      <w:color w:val="auto"/>
                      <w:kern w:val="2"/>
                      <w:szCs w:val="21"/>
                      <w:highlight w:val="none"/>
                    </w:rPr>
                    <w:t>噪声治理</w:t>
                  </w:r>
                </w:p>
              </w:tc>
              <w:tc>
                <w:tcPr>
                  <w:tcW w:w="3075" w:type="pct"/>
                  <w:gridSpan w:val="2"/>
                  <w:noWrap w:val="0"/>
                  <w:vAlign w:val="center"/>
                </w:tcPr>
                <w:p w14:paraId="4404D108">
                  <w:pPr>
                    <w:pStyle w:val="60"/>
                    <w:spacing w:line="240" w:lineRule="auto"/>
                    <w:rPr>
                      <w:color w:val="auto"/>
                      <w:kern w:val="2"/>
                      <w:szCs w:val="21"/>
                      <w:highlight w:val="none"/>
                    </w:rPr>
                  </w:pPr>
                  <w:r>
                    <w:rPr>
                      <w:rStyle w:val="93"/>
                      <w:rFonts w:hint="eastAsia" w:ascii="Times New Roman" w:hAnsi="Times New Roman" w:cs="Times New Roman"/>
                      <w:color w:val="auto"/>
                      <w:sz w:val="21"/>
                      <w:szCs w:val="21"/>
                      <w:lang w:eastAsia="zh-CN"/>
                    </w:rPr>
                    <w:t>优先</w:t>
                  </w:r>
                  <w:r>
                    <w:rPr>
                      <w:color w:val="auto"/>
                      <w:szCs w:val="21"/>
                      <w:highlight w:val="none"/>
                    </w:rPr>
                    <w:t>采购低噪声设备，</w:t>
                  </w:r>
                  <w:r>
                    <w:rPr>
                      <w:rFonts w:hint="eastAsia"/>
                      <w:color w:val="auto"/>
                      <w:szCs w:val="21"/>
                      <w:highlight w:val="none"/>
                    </w:rPr>
                    <w:t>基础</w:t>
                  </w:r>
                  <w:r>
                    <w:rPr>
                      <w:color w:val="auto"/>
                      <w:szCs w:val="21"/>
                      <w:highlight w:val="none"/>
                    </w:rPr>
                    <w:t>减</w:t>
                  </w:r>
                  <w:r>
                    <w:rPr>
                      <w:rFonts w:hint="eastAsia"/>
                      <w:color w:val="auto"/>
                      <w:szCs w:val="21"/>
                      <w:highlight w:val="none"/>
                    </w:rPr>
                    <w:t>振，建筑隔声，合理布局。</w:t>
                  </w:r>
                </w:p>
              </w:tc>
              <w:tc>
                <w:tcPr>
                  <w:tcW w:w="758" w:type="pct"/>
                  <w:noWrap w:val="0"/>
                  <w:vAlign w:val="center"/>
                </w:tcPr>
                <w:p w14:paraId="5445F312">
                  <w:pPr>
                    <w:pStyle w:val="60"/>
                    <w:spacing w:line="240" w:lineRule="auto"/>
                    <w:jc w:val="center"/>
                    <w:rPr>
                      <w:color w:val="auto"/>
                      <w:kern w:val="2"/>
                      <w:szCs w:val="21"/>
                      <w:highlight w:val="none"/>
                    </w:rPr>
                  </w:pPr>
                  <w:r>
                    <w:rPr>
                      <w:rFonts w:hint="eastAsia"/>
                      <w:color w:val="auto"/>
                      <w:kern w:val="2"/>
                      <w:szCs w:val="21"/>
                      <w:highlight w:val="none"/>
                      <w:lang w:val="en-US" w:eastAsia="zh-CN"/>
                    </w:rPr>
                    <w:t>已建</w:t>
                  </w:r>
                </w:p>
              </w:tc>
            </w:tr>
            <w:tr w14:paraId="1A8CA4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487" w:type="pct"/>
                  <w:vMerge w:val="continue"/>
                  <w:noWrap w:val="0"/>
                  <w:vAlign w:val="center"/>
                </w:tcPr>
                <w:p w14:paraId="21C9650E">
                  <w:pPr>
                    <w:widowControl/>
                    <w:spacing w:line="240" w:lineRule="auto"/>
                    <w:rPr>
                      <w:color w:val="auto"/>
                      <w:szCs w:val="21"/>
                      <w:highlight w:val="none"/>
                    </w:rPr>
                  </w:pPr>
                </w:p>
              </w:tc>
              <w:tc>
                <w:tcPr>
                  <w:tcW w:w="679" w:type="pct"/>
                  <w:vMerge w:val="restart"/>
                  <w:noWrap w:val="0"/>
                  <w:vAlign w:val="center"/>
                </w:tcPr>
                <w:p w14:paraId="0925F844">
                  <w:pPr>
                    <w:pStyle w:val="60"/>
                    <w:spacing w:line="240" w:lineRule="auto"/>
                    <w:jc w:val="center"/>
                    <w:rPr>
                      <w:color w:val="auto"/>
                      <w:kern w:val="2"/>
                      <w:szCs w:val="21"/>
                      <w:highlight w:val="none"/>
                    </w:rPr>
                  </w:pPr>
                  <w:r>
                    <w:rPr>
                      <w:color w:val="auto"/>
                      <w:kern w:val="2"/>
                      <w:szCs w:val="21"/>
                      <w:highlight w:val="none"/>
                    </w:rPr>
                    <w:t>固废治理</w:t>
                  </w:r>
                </w:p>
              </w:tc>
              <w:tc>
                <w:tcPr>
                  <w:tcW w:w="3075" w:type="pct"/>
                  <w:gridSpan w:val="2"/>
                  <w:noWrap w:val="0"/>
                  <w:vAlign w:val="center"/>
                </w:tcPr>
                <w:p w14:paraId="41C28AEC">
                  <w:pPr>
                    <w:pStyle w:val="60"/>
                    <w:spacing w:line="240" w:lineRule="auto"/>
                    <w:rPr>
                      <w:rFonts w:hint="eastAsia" w:eastAsia="宋体"/>
                      <w:color w:val="auto"/>
                      <w:kern w:val="2"/>
                      <w:szCs w:val="21"/>
                      <w:highlight w:val="none"/>
                      <w:lang w:eastAsia="zh-CN"/>
                    </w:rPr>
                  </w:pPr>
                  <w:r>
                    <w:rPr>
                      <w:color w:val="auto"/>
                      <w:spacing w:val="9"/>
                    </w:rPr>
                    <w:t>一般</w:t>
                  </w:r>
                  <w:r>
                    <w:rPr>
                      <w:rFonts w:hint="eastAsia"/>
                      <w:color w:val="auto"/>
                      <w:spacing w:val="9"/>
                      <w:lang w:eastAsia="zh-CN"/>
                    </w:rPr>
                    <w:t>工业</w:t>
                  </w:r>
                  <w:r>
                    <w:rPr>
                      <w:color w:val="auto"/>
                      <w:spacing w:val="9"/>
                    </w:rPr>
                    <w:t>固</w:t>
                  </w:r>
                  <w:r>
                    <w:rPr>
                      <w:rFonts w:hint="eastAsia"/>
                      <w:color w:val="auto"/>
                      <w:spacing w:val="9"/>
                      <w:lang w:eastAsia="zh-CN"/>
                    </w:rPr>
                    <w:t>体废物中</w:t>
                  </w:r>
                  <w:r>
                    <w:rPr>
                      <w:color w:val="auto"/>
                      <w:spacing w:val="9"/>
                    </w:rPr>
                    <w:t>除尘器收尘</w:t>
                  </w:r>
                  <w:r>
                    <w:rPr>
                      <w:rFonts w:hint="eastAsia"/>
                      <w:color w:val="auto"/>
                      <w:spacing w:val="9"/>
                      <w:lang w:eastAsia="zh-CN"/>
                    </w:rPr>
                    <w:t>灰</w:t>
                  </w:r>
                  <w:r>
                    <w:rPr>
                      <w:color w:val="auto"/>
                      <w:spacing w:val="9"/>
                    </w:rPr>
                    <w:t>、</w:t>
                  </w:r>
                  <w:r>
                    <w:rPr>
                      <w:rFonts w:hint="eastAsia"/>
                      <w:color w:val="auto"/>
                      <w:spacing w:val="9"/>
                      <w:lang w:eastAsia="zh-CN"/>
                    </w:rPr>
                    <w:t>废木</w:t>
                  </w:r>
                  <w:r>
                    <w:rPr>
                      <w:color w:val="auto"/>
                      <w:spacing w:val="9"/>
                    </w:rPr>
                    <w:t>料</w:t>
                  </w:r>
                  <w:r>
                    <w:rPr>
                      <w:rFonts w:hint="eastAsia"/>
                      <w:color w:val="auto"/>
                      <w:spacing w:val="9"/>
                      <w:lang w:eastAsia="zh-CN"/>
                    </w:rPr>
                    <w:t>、废包装膜暂存于一般固废暂存间（</w:t>
                  </w:r>
                  <w:r>
                    <w:rPr>
                      <w:rFonts w:hint="eastAsia"/>
                      <w:color w:val="auto"/>
                      <w:spacing w:val="9"/>
                      <w:lang w:val="en-US" w:eastAsia="zh-CN"/>
                    </w:rPr>
                    <w:t>20m</w:t>
                  </w:r>
                  <w:r>
                    <w:rPr>
                      <w:rFonts w:hint="eastAsia"/>
                      <w:color w:val="auto"/>
                      <w:spacing w:val="9"/>
                      <w:vertAlign w:val="superscript"/>
                      <w:lang w:val="en-US" w:eastAsia="zh-CN"/>
                    </w:rPr>
                    <w:t>2</w:t>
                  </w:r>
                  <w:r>
                    <w:rPr>
                      <w:rFonts w:hint="eastAsia"/>
                      <w:color w:val="auto"/>
                      <w:spacing w:val="9"/>
                      <w:lang w:eastAsia="zh-CN"/>
                    </w:rPr>
                    <w:t>）定期外售；</w:t>
                  </w:r>
                  <w:r>
                    <w:rPr>
                      <w:rFonts w:hint="eastAsia" w:cs="Times New Roman"/>
                      <w:color w:val="auto"/>
                      <w:sz w:val="21"/>
                      <w:szCs w:val="21"/>
                      <w:highlight w:val="none"/>
                      <w:lang w:val="en-US" w:eastAsia="zh-CN"/>
                    </w:rPr>
                    <w:t>废布袋定期由厂家更换回收。</w:t>
                  </w:r>
                </w:p>
              </w:tc>
              <w:tc>
                <w:tcPr>
                  <w:tcW w:w="758" w:type="pct"/>
                  <w:noWrap w:val="0"/>
                  <w:vAlign w:val="center"/>
                </w:tcPr>
                <w:p w14:paraId="18709CB7">
                  <w:pPr>
                    <w:pStyle w:val="60"/>
                    <w:spacing w:line="240" w:lineRule="auto"/>
                    <w:jc w:val="center"/>
                    <w:rPr>
                      <w:color w:val="auto"/>
                      <w:kern w:val="2"/>
                      <w:szCs w:val="21"/>
                      <w:highlight w:val="none"/>
                    </w:rPr>
                  </w:pPr>
                  <w:r>
                    <w:rPr>
                      <w:rFonts w:hint="eastAsia"/>
                      <w:color w:val="auto"/>
                      <w:kern w:val="2"/>
                      <w:szCs w:val="21"/>
                      <w:highlight w:val="none"/>
                      <w:lang w:val="en-US" w:eastAsia="zh-CN"/>
                    </w:rPr>
                    <w:t>已建</w:t>
                  </w:r>
                </w:p>
              </w:tc>
            </w:tr>
            <w:tr w14:paraId="0BEECD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487" w:type="pct"/>
                  <w:vMerge w:val="continue"/>
                  <w:noWrap w:val="0"/>
                  <w:vAlign w:val="center"/>
                </w:tcPr>
                <w:p w14:paraId="42AF4C26">
                  <w:pPr>
                    <w:widowControl/>
                    <w:spacing w:line="240" w:lineRule="auto"/>
                    <w:rPr>
                      <w:color w:val="auto"/>
                      <w:szCs w:val="21"/>
                      <w:highlight w:val="none"/>
                    </w:rPr>
                  </w:pPr>
                </w:p>
              </w:tc>
              <w:tc>
                <w:tcPr>
                  <w:tcW w:w="679" w:type="pct"/>
                  <w:vMerge w:val="continue"/>
                  <w:noWrap w:val="0"/>
                  <w:vAlign w:val="center"/>
                </w:tcPr>
                <w:p w14:paraId="7F7CCCD7">
                  <w:pPr>
                    <w:pStyle w:val="60"/>
                    <w:spacing w:line="240" w:lineRule="auto"/>
                    <w:jc w:val="center"/>
                    <w:rPr>
                      <w:color w:val="auto"/>
                      <w:kern w:val="2"/>
                      <w:szCs w:val="21"/>
                      <w:highlight w:val="none"/>
                    </w:rPr>
                  </w:pPr>
                </w:p>
              </w:tc>
              <w:tc>
                <w:tcPr>
                  <w:tcW w:w="3075" w:type="pct"/>
                  <w:gridSpan w:val="2"/>
                  <w:noWrap w:val="0"/>
                  <w:vAlign w:val="center"/>
                </w:tcPr>
                <w:p w14:paraId="0E3B3A0A">
                  <w:pPr>
                    <w:keepNext w:val="0"/>
                    <w:keepLines w:val="0"/>
                    <w:pageBreakBefore w:val="0"/>
                    <w:widowControl/>
                    <w:suppressLineNumbers w:val="0"/>
                    <w:kinsoku/>
                    <w:wordWrap/>
                    <w:overflowPunct/>
                    <w:topLinePunct w:val="0"/>
                    <w:autoSpaceDE/>
                    <w:autoSpaceDN/>
                    <w:bidi w:val="0"/>
                    <w:adjustRightInd/>
                    <w:snapToGrid/>
                    <w:spacing w:before="0" w:beforeLines="0" w:line="240" w:lineRule="auto"/>
                    <w:ind w:left="0" w:leftChars="0" w:firstLine="0" w:firstLineChars="0"/>
                    <w:jc w:val="left"/>
                    <w:textAlignment w:val="auto"/>
                    <w:rPr>
                      <w:rFonts w:hint="eastAsia" w:eastAsia="宋体"/>
                      <w:color w:val="auto"/>
                      <w:kern w:val="2"/>
                      <w:szCs w:val="21"/>
                      <w:highlight w:val="none"/>
                      <w:lang w:eastAsia="zh-CN"/>
                    </w:rPr>
                  </w:pPr>
                  <w:r>
                    <w:rPr>
                      <w:rFonts w:ascii="Times New Roman" w:hAnsi="Times New Roman" w:cs="Times New Roman"/>
                      <w:color w:val="auto"/>
                      <w:spacing w:val="-7"/>
                      <w:sz w:val="21"/>
                      <w:szCs w:val="21"/>
                    </w:rPr>
                    <w:t>废活性炭、</w:t>
                  </w:r>
                  <w:r>
                    <w:rPr>
                      <w:rFonts w:hint="eastAsia"/>
                      <w:color w:val="auto"/>
                      <w:kern w:val="0"/>
                      <w:sz w:val="21"/>
                      <w:szCs w:val="21"/>
                      <w:highlight w:val="none"/>
                      <w:lang w:eastAsia="zh-CN"/>
                    </w:rPr>
                    <w:t>废</w:t>
                  </w:r>
                  <w:r>
                    <w:rPr>
                      <w:rFonts w:hint="eastAsia"/>
                      <w:color w:val="auto"/>
                      <w:kern w:val="0"/>
                      <w:sz w:val="21"/>
                      <w:szCs w:val="21"/>
                      <w:highlight w:val="none"/>
                      <w:lang w:val="en-US" w:eastAsia="zh-CN"/>
                    </w:rPr>
                    <w:t>UV灯管、</w:t>
                  </w:r>
                  <w:r>
                    <w:rPr>
                      <w:rFonts w:hint="eastAsia"/>
                      <w:color w:val="auto"/>
                      <w:kern w:val="0"/>
                      <w:sz w:val="21"/>
                      <w:szCs w:val="21"/>
                      <w:highlight w:val="none"/>
                      <w:lang w:eastAsia="zh-CN"/>
                    </w:rPr>
                    <w:t>废胶渣</w:t>
                  </w:r>
                  <w:r>
                    <w:rPr>
                      <w:rFonts w:hint="eastAsia" w:ascii="Times New Roman" w:hAnsi="Times New Roman" w:cs="Times New Roman"/>
                      <w:color w:val="auto"/>
                      <w:spacing w:val="-7"/>
                      <w:sz w:val="21"/>
                      <w:szCs w:val="21"/>
                      <w:lang w:eastAsia="zh-CN"/>
                    </w:rPr>
                    <w:t>、</w:t>
                  </w:r>
                  <w:r>
                    <w:rPr>
                      <w:rFonts w:hint="eastAsia" w:ascii="Times New Roman" w:hAnsi="Times New Roman" w:eastAsia="宋体" w:cs="Times New Roman"/>
                      <w:color w:val="auto"/>
                      <w:kern w:val="0"/>
                      <w:sz w:val="21"/>
                      <w:szCs w:val="21"/>
                      <w:highlight w:val="none"/>
                      <w:lang w:val="en-US" w:eastAsia="zh-CN"/>
                    </w:rPr>
                    <w:t>废漆（胶）桶、</w:t>
                  </w:r>
                  <w:r>
                    <w:rPr>
                      <w:rFonts w:hint="eastAsia" w:ascii="Times New Roman" w:hAnsi="Times New Roman" w:cs="Times New Roman"/>
                      <w:color w:val="auto"/>
                      <w:spacing w:val="-7"/>
                      <w:sz w:val="21"/>
                      <w:szCs w:val="21"/>
                      <w:lang w:eastAsia="zh-CN"/>
                    </w:rPr>
                    <w:t>漆渣、</w:t>
                  </w:r>
                  <w:r>
                    <w:rPr>
                      <w:rFonts w:hint="eastAsia"/>
                      <w:color w:val="auto"/>
                      <w:spacing w:val="9"/>
                      <w:lang w:eastAsia="zh-CN"/>
                    </w:rPr>
                    <w:t>暂</w:t>
                  </w:r>
                  <w:r>
                    <w:rPr>
                      <w:color w:val="auto"/>
                      <w:spacing w:val="9"/>
                    </w:rPr>
                    <w:t>存于</w:t>
                  </w:r>
                  <w:r>
                    <w:rPr>
                      <w:rFonts w:hint="eastAsia" w:ascii="Times New Roman" w:hAnsi="Times New Roman" w:eastAsia="宋体" w:cs="Times New Roman"/>
                      <w:color w:val="auto"/>
                      <w:spacing w:val="9"/>
                      <w:lang w:val="en-US" w:eastAsia="zh-CN"/>
                    </w:rPr>
                    <w:t>15m</w:t>
                  </w:r>
                  <w:r>
                    <w:rPr>
                      <w:rFonts w:hint="eastAsia" w:ascii="Times New Roman" w:hAnsi="Times New Roman" w:eastAsia="宋体" w:cs="Times New Roman"/>
                      <w:color w:val="auto"/>
                      <w:spacing w:val="9"/>
                      <w:vertAlign w:val="superscript"/>
                      <w:lang w:val="en-US" w:eastAsia="zh-CN"/>
                    </w:rPr>
                    <w:t>2</w:t>
                  </w:r>
                  <w:r>
                    <w:rPr>
                      <w:color w:val="auto"/>
                      <w:spacing w:val="9"/>
                    </w:rPr>
                    <w:t>的</w:t>
                  </w:r>
                  <w:r>
                    <w:rPr>
                      <w:rFonts w:hint="eastAsia"/>
                      <w:color w:val="auto"/>
                      <w:spacing w:val="9"/>
                      <w:lang w:eastAsia="zh-CN"/>
                    </w:rPr>
                    <w:t>危险废物贮存点，定期交有资质单位处置；废辊筒</w:t>
                  </w:r>
                  <w:r>
                    <w:rPr>
                      <w:rFonts w:hint="eastAsia" w:ascii="Times New Roman" w:hAnsi="Times New Roman" w:eastAsia="宋体" w:cs="Times New Roman"/>
                      <w:color w:val="auto"/>
                      <w:kern w:val="0"/>
                      <w:sz w:val="21"/>
                      <w:szCs w:val="21"/>
                      <w:lang w:val="en-US" w:eastAsia="zh-CN" w:bidi="ar"/>
                    </w:rPr>
                    <w:t>不在厂内贮存</w:t>
                  </w:r>
                  <w:r>
                    <w:rPr>
                      <w:rFonts w:hint="default" w:ascii="Times New Roman" w:hAnsi="Times New Roman" w:eastAsia="宋体" w:cs="Times New Roman"/>
                      <w:color w:val="auto"/>
                      <w:kern w:val="0"/>
                      <w:sz w:val="21"/>
                      <w:szCs w:val="21"/>
                      <w:lang w:val="en-US" w:eastAsia="zh-CN" w:bidi="ar"/>
                    </w:rPr>
                    <w:t>，</w:t>
                  </w:r>
                  <w:r>
                    <w:rPr>
                      <w:rFonts w:hint="eastAsia" w:ascii="Times New Roman" w:hAnsi="Times New Roman" w:eastAsia="宋体" w:cs="Times New Roman"/>
                      <w:color w:val="auto"/>
                      <w:kern w:val="0"/>
                      <w:sz w:val="21"/>
                      <w:szCs w:val="21"/>
                      <w:lang w:val="en-US" w:eastAsia="zh-CN" w:bidi="ar"/>
                    </w:rPr>
                    <w:t>由</w:t>
                  </w:r>
                  <w:r>
                    <w:rPr>
                      <w:rFonts w:hint="eastAsia" w:ascii="Times New Roman" w:hAnsi="宋体" w:eastAsia="宋体" w:cs="Times New Roman"/>
                      <w:color w:val="auto"/>
                      <w:kern w:val="0"/>
                      <w:sz w:val="21"/>
                      <w:szCs w:val="21"/>
                      <w:highlight w:val="none"/>
                    </w:rPr>
                    <w:t>委托</w:t>
                  </w:r>
                  <w:r>
                    <w:rPr>
                      <w:rFonts w:hint="eastAsia" w:ascii="Times New Roman" w:hAnsi="宋体" w:eastAsia="宋体" w:cs="Times New Roman"/>
                      <w:color w:val="auto"/>
                      <w:kern w:val="0"/>
                      <w:sz w:val="21"/>
                      <w:szCs w:val="21"/>
                      <w:highlight w:val="none"/>
                      <w:lang w:eastAsia="zh-CN"/>
                    </w:rPr>
                    <w:t>的</w:t>
                  </w:r>
                  <w:r>
                    <w:rPr>
                      <w:rFonts w:hint="eastAsia" w:ascii="Times New Roman" w:hAnsi="宋体" w:eastAsia="宋体" w:cs="Times New Roman"/>
                      <w:color w:val="auto"/>
                      <w:kern w:val="0"/>
                      <w:sz w:val="21"/>
                      <w:szCs w:val="21"/>
                      <w:highlight w:val="none"/>
                    </w:rPr>
                    <w:t>资质单位</w:t>
                  </w:r>
                  <w:r>
                    <w:rPr>
                      <w:rFonts w:hint="eastAsia" w:ascii="Times New Roman" w:hAnsi="宋体" w:eastAsia="宋体" w:cs="Times New Roman"/>
                      <w:color w:val="auto"/>
                      <w:kern w:val="0"/>
                      <w:sz w:val="21"/>
                      <w:szCs w:val="21"/>
                      <w:highlight w:val="none"/>
                      <w:lang w:eastAsia="zh-CN"/>
                    </w:rPr>
                    <w:t>直接运走</w:t>
                  </w:r>
                  <w:r>
                    <w:rPr>
                      <w:rFonts w:hint="eastAsia" w:ascii="Times New Roman" w:hAnsi="宋体" w:eastAsia="宋体" w:cs="Times New Roman"/>
                      <w:color w:val="auto"/>
                      <w:kern w:val="0"/>
                      <w:sz w:val="21"/>
                      <w:szCs w:val="21"/>
                      <w:highlight w:val="none"/>
                    </w:rPr>
                    <w:t>处置</w:t>
                  </w:r>
                  <w:r>
                    <w:rPr>
                      <w:rFonts w:hint="eastAsia" w:ascii="Times New Roman" w:hAnsi="宋体" w:eastAsia="宋体" w:cs="Times New Roman"/>
                      <w:color w:val="auto"/>
                      <w:kern w:val="0"/>
                      <w:sz w:val="21"/>
                      <w:szCs w:val="21"/>
                      <w:highlight w:val="none"/>
                      <w:lang w:eastAsia="zh-CN"/>
                    </w:rPr>
                    <w:t>。</w:t>
                  </w:r>
                </w:p>
              </w:tc>
              <w:tc>
                <w:tcPr>
                  <w:tcW w:w="758" w:type="pct"/>
                  <w:noWrap w:val="0"/>
                  <w:vAlign w:val="center"/>
                </w:tcPr>
                <w:p w14:paraId="0C0BCD70">
                  <w:pPr>
                    <w:pStyle w:val="60"/>
                    <w:spacing w:line="240" w:lineRule="auto"/>
                    <w:jc w:val="center"/>
                    <w:rPr>
                      <w:color w:val="auto"/>
                      <w:kern w:val="2"/>
                      <w:szCs w:val="21"/>
                      <w:highlight w:val="none"/>
                    </w:rPr>
                  </w:pPr>
                  <w:r>
                    <w:rPr>
                      <w:rFonts w:hint="eastAsia"/>
                      <w:color w:val="auto"/>
                      <w:kern w:val="2"/>
                      <w:szCs w:val="21"/>
                      <w:highlight w:val="none"/>
                      <w:lang w:eastAsia="zh-CN"/>
                    </w:rPr>
                    <w:t>新建</w:t>
                  </w:r>
                </w:p>
              </w:tc>
            </w:tr>
            <w:tr w14:paraId="5161E3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487" w:type="pct"/>
                  <w:vMerge w:val="continue"/>
                  <w:noWrap w:val="0"/>
                  <w:vAlign w:val="center"/>
                </w:tcPr>
                <w:p w14:paraId="316CC5DD">
                  <w:pPr>
                    <w:widowControl/>
                    <w:spacing w:line="240" w:lineRule="auto"/>
                    <w:rPr>
                      <w:color w:val="auto"/>
                      <w:szCs w:val="21"/>
                      <w:highlight w:val="none"/>
                    </w:rPr>
                  </w:pPr>
                </w:p>
              </w:tc>
              <w:tc>
                <w:tcPr>
                  <w:tcW w:w="679" w:type="pct"/>
                  <w:vMerge w:val="continue"/>
                  <w:noWrap w:val="0"/>
                  <w:vAlign w:val="center"/>
                </w:tcPr>
                <w:p w14:paraId="30AD8D48">
                  <w:pPr>
                    <w:pStyle w:val="60"/>
                    <w:spacing w:line="240" w:lineRule="auto"/>
                    <w:jc w:val="center"/>
                    <w:rPr>
                      <w:color w:val="auto"/>
                      <w:kern w:val="2"/>
                      <w:szCs w:val="21"/>
                      <w:highlight w:val="none"/>
                    </w:rPr>
                  </w:pPr>
                </w:p>
              </w:tc>
              <w:tc>
                <w:tcPr>
                  <w:tcW w:w="3075" w:type="pct"/>
                  <w:gridSpan w:val="2"/>
                  <w:noWrap w:val="0"/>
                  <w:vAlign w:val="center"/>
                </w:tcPr>
                <w:p w14:paraId="51FF7B0B">
                  <w:pPr>
                    <w:pStyle w:val="60"/>
                    <w:spacing w:line="240" w:lineRule="auto"/>
                    <w:rPr>
                      <w:color w:val="auto"/>
                      <w:spacing w:val="9"/>
                    </w:rPr>
                  </w:pPr>
                  <w:r>
                    <w:rPr>
                      <w:rFonts w:hint="default" w:ascii="Times New Roman" w:hAnsi="Times New Roman" w:cs="Times New Roman"/>
                      <w:color w:val="auto"/>
                      <w:sz w:val="21"/>
                      <w:szCs w:val="21"/>
                    </w:rPr>
                    <w:t>生活垃圾集中收集，由环卫部门统一处理</w:t>
                  </w:r>
                </w:p>
              </w:tc>
              <w:tc>
                <w:tcPr>
                  <w:tcW w:w="758" w:type="pct"/>
                  <w:noWrap w:val="0"/>
                  <w:vAlign w:val="center"/>
                </w:tcPr>
                <w:p w14:paraId="04F952CB">
                  <w:pPr>
                    <w:pStyle w:val="60"/>
                    <w:spacing w:line="240" w:lineRule="auto"/>
                    <w:jc w:val="center"/>
                    <w:rPr>
                      <w:rFonts w:hint="eastAsia"/>
                      <w:color w:val="auto"/>
                      <w:kern w:val="2"/>
                      <w:szCs w:val="21"/>
                      <w:highlight w:val="none"/>
                    </w:rPr>
                  </w:pPr>
                  <w:r>
                    <w:rPr>
                      <w:rFonts w:hint="eastAsia"/>
                      <w:color w:val="auto"/>
                      <w:kern w:val="2"/>
                      <w:szCs w:val="21"/>
                      <w:highlight w:val="none"/>
                      <w:lang w:val="en-US" w:eastAsia="zh-CN"/>
                    </w:rPr>
                    <w:t>已建</w:t>
                  </w:r>
                </w:p>
              </w:tc>
            </w:tr>
            <w:tr w14:paraId="21C520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487" w:type="pct"/>
                  <w:vMerge w:val="continue"/>
                  <w:noWrap w:val="0"/>
                  <w:vAlign w:val="center"/>
                </w:tcPr>
                <w:p w14:paraId="3DDE2924">
                  <w:pPr>
                    <w:pStyle w:val="60"/>
                    <w:spacing w:line="240" w:lineRule="auto"/>
                    <w:rPr>
                      <w:rFonts w:hint="eastAsia" w:ascii="Times New Roman" w:hAnsi="Times New Roman" w:eastAsia="宋体" w:cs="Times New Roman"/>
                      <w:color w:val="auto"/>
                      <w:spacing w:val="9"/>
                      <w:lang w:eastAsia="zh-CN"/>
                    </w:rPr>
                  </w:pPr>
                </w:p>
              </w:tc>
              <w:tc>
                <w:tcPr>
                  <w:tcW w:w="679" w:type="pct"/>
                  <w:noWrap w:val="0"/>
                  <w:vAlign w:val="center"/>
                </w:tcPr>
                <w:p w14:paraId="214B2F81">
                  <w:pPr>
                    <w:pStyle w:val="60"/>
                    <w:spacing w:line="240" w:lineRule="auto"/>
                    <w:jc w:val="center"/>
                    <w:rPr>
                      <w:rFonts w:hint="eastAsia" w:ascii="Times New Roman" w:hAnsi="Times New Roman" w:eastAsia="宋体" w:cs="Times New Roman"/>
                      <w:color w:val="auto"/>
                      <w:spacing w:val="9"/>
                      <w:lang w:eastAsia="zh-CN"/>
                    </w:rPr>
                  </w:pPr>
                  <w:r>
                    <w:rPr>
                      <w:rFonts w:hint="eastAsia" w:ascii="Times New Roman" w:hAnsi="Times New Roman" w:eastAsia="宋体" w:cs="Times New Roman"/>
                      <w:color w:val="auto"/>
                      <w:spacing w:val="9"/>
                      <w:lang w:eastAsia="zh-CN"/>
                    </w:rPr>
                    <w:t>土壤、地下水</w:t>
                  </w:r>
                </w:p>
              </w:tc>
              <w:tc>
                <w:tcPr>
                  <w:tcW w:w="3075" w:type="pct"/>
                  <w:gridSpan w:val="2"/>
                  <w:noWrap w:val="0"/>
                  <w:vAlign w:val="center"/>
                </w:tcPr>
                <w:p w14:paraId="528C39F5">
                  <w:pPr>
                    <w:pStyle w:val="60"/>
                    <w:spacing w:line="240" w:lineRule="auto"/>
                    <w:rPr>
                      <w:rFonts w:hint="eastAsia" w:ascii="Times New Roman" w:hAnsi="Times New Roman" w:eastAsia="宋体" w:cs="Times New Roman"/>
                      <w:color w:val="auto"/>
                      <w:spacing w:val="9"/>
                      <w:lang w:val="en-US" w:eastAsia="zh-CN"/>
                    </w:rPr>
                  </w:pPr>
                  <w:r>
                    <w:rPr>
                      <w:rFonts w:hint="eastAsia" w:ascii="Times New Roman" w:hAnsi="Times New Roman" w:eastAsia="宋体" w:cs="Times New Roman"/>
                      <w:color w:val="auto"/>
                      <w:spacing w:val="9"/>
                      <w:lang w:eastAsia="zh-CN"/>
                    </w:rPr>
                    <w:t>源头预防，分区防渗。厂区地面水泥硬化防渗，</w:t>
                  </w:r>
                  <w:r>
                    <w:rPr>
                      <w:rFonts w:hint="eastAsia"/>
                      <w:color w:val="auto"/>
                      <w:sz w:val="21"/>
                      <w:szCs w:val="21"/>
                      <w:highlight w:val="none"/>
                      <w:lang w:eastAsia="zh-CN"/>
                    </w:rPr>
                    <w:t>生产车间内的危险废物贮存点</w:t>
                  </w:r>
                  <w:r>
                    <w:rPr>
                      <w:rFonts w:hint="eastAsia"/>
                      <w:color w:val="auto"/>
                      <w:sz w:val="21"/>
                      <w:szCs w:val="21"/>
                      <w:highlight w:val="none"/>
                    </w:rPr>
                    <w:t>区域</w:t>
                  </w:r>
                  <w:r>
                    <w:rPr>
                      <w:rFonts w:hint="eastAsia" w:ascii="Times New Roman" w:hAnsi="Times New Roman" w:eastAsia="宋体" w:cs="Times New Roman"/>
                      <w:color w:val="auto"/>
                      <w:spacing w:val="9"/>
                      <w:sz w:val="21"/>
                      <w:szCs w:val="21"/>
                      <w:lang w:eastAsia="zh-CN"/>
                    </w:rPr>
                    <w:t>划分为</w:t>
                  </w:r>
                  <w:r>
                    <w:rPr>
                      <w:rFonts w:hint="eastAsia" w:ascii="Times New Roman" w:hAnsi="Times New Roman" w:eastAsia="宋体" w:cs="Times New Roman"/>
                      <w:color w:val="auto"/>
                      <w:spacing w:val="9"/>
                      <w:lang w:eastAsia="zh-CN"/>
                    </w:rPr>
                    <w:t>重点防渗区，采取重点防渗措施；生产车间（其他区域）、材料库和一般固废暂存间等污染性较小的区域划分为一般防渗区，采取一般防渗措施；</w:t>
                  </w:r>
                  <w:r>
                    <w:rPr>
                      <w:rFonts w:hint="eastAsia"/>
                      <w:color w:val="auto"/>
                      <w:sz w:val="21"/>
                      <w:szCs w:val="21"/>
                      <w:highlight w:val="none"/>
                      <w:lang w:eastAsia="zh-CN"/>
                    </w:rPr>
                    <w:t>办公楼、</w:t>
                  </w:r>
                  <w:r>
                    <w:rPr>
                      <w:rFonts w:hint="eastAsia"/>
                      <w:color w:val="auto"/>
                      <w:sz w:val="21"/>
                      <w:szCs w:val="21"/>
                      <w:highlight w:val="none"/>
                    </w:rPr>
                    <w:t>厂区道路</w:t>
                  </w:r>
                  <w:r>
                    <w:rPr>
                      <w:rFonts w:hint="eastAsia"/>
                      <w:color w:val="auto"/>
                      <w:sz w:val="21"/>
                      <w:szCs w:val="21"/>
                      <w:highlight w:val="none"/>
                      <w:lang w:eastAsia="zh-CN"/>
                    </w:rPr>
                    <w:t>为简单防渗区。</w:t>
                  </w:r>
                </w:p>
              </w:tc>
              <w:tc>
                <w:tcPr>
                  <w:tcW w:w="758" w:type="pct"/>
                  <w:noWrap w:val="0"/>
                  <w:vAlign w:val="center"/>
                </w:tcPr>
                <w:p w14:paraId="7369CB31">
                  <w:pPr>
                    <w:pStyle w:val="60"/>
                    <w:spacing w:line="240" w:lineRule="auto"/>
                    <w:jc w:val="center"/>
                    <w:rPr>
                      <w:rFonts w:hint="eastAsia" w:ascii="Times New Roman" w:hAnsi="Times New Roman" w:eastAsia="宋体" w:cs="Times New Roman"/>
                      <w:color w:val="auto"/>
                      <w:spacing w:val="9"/>
                      <w:lang w:eastAsia="zh-CN"/>
                    </w:rPr>
                  </w:pPr>
                  <w:r>
                    <w:rPr>
                      <w:rFonts w:hint="eastAsia"/>
                      <w:color w:val="auto"/>
                      <w:kern w:val="2"/>
                      <w:szCs w:val="21"/>
                      <w:highlight w:val="none"/>
                      <w:lang w:val="en-US" w:eastAsia="zh-CN"/>
                    </w:rPr>
                    <w:t>已建</w:t>
                  </w:r>
                </w:p>
              </w:tc>
            </w:tr>
            <w:tr w14:paraId="5F7DBD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487" w:type="pct"/>
                  <w:vMerge w:val="continue"/>
                  <w:noWrap w:val="0"/>
                  <w:vAlign w:val="center"/>
                </w:tcPr>
                <w:p w14:paraId="03B8568B">
                  <w:pPr>
                    <w:pStyle w:val="60"/>
                    <w:spacing w:line="240" w:lineRule="auto"/>
                    <w:rPr>
                      <w:rFonts w:hint="eastAsia" w:ascii="Times New Roman" w:hAnsi="Times New Roman" w:eastAsia="宋体" w:cs="Times New Roman"/>
                      <w:color w:val="auto"/>
                      <w:spacing w:val="9"/>
                      <w:lang w:eastAsia="zh-CN"/>
                    </w:rPr>
                  </w:pPr>
                </w:p>
              </w:tc>
              <w:tc>
                <w:tcPr>
                  <w:tcW w:w="679" w:type="pct"/>
                  <w:noWrap w:val="0"/>
                  <w:vAlign w:val="center"/>
                </w:tcPr>
                <w:p w14:paraId="7F0A1D85">
                  <w:pPr>
                    <w:pStyle w:val="60"/>
                    <w:spacing w:line="240" w:lineRule="auto"/>
                    <w:jc w:val="center"/>
                    <w:rPr>
                      <w:rFonts w:hint="eastAsia" w:ascii="Times New Roman" w:hAnsi="Times New Roman" w:eastAsia="宋体" w:cs="Times New Roman"/>
                      <w:color w:val="auto"/>
                      <w:spacing w:val="9"/>
                      <w:lang w:eastAsia="zh-CN"/>
                    </w:rPr>
                  </w:pPr>
                  <w:r>
                    <w:rPr>
                      <w:rFonts w:hint="eastAsia" w:ascii="Times New Roman" w:hAnsi="Times New Roman" w:eastAsia="宋体" w:cs="Times New Roman"/>
                      <w:color w:val="auto"/>
                      <w:spacing w:val="9"/>
                      <w:lang w:eastAsia="zh-CN"/>
                    </w:rPr>
                    <w:t>风险</w:t>
                  </w:r>
                </w:p>
              </w:tc>
              <w:tc>
                <w:tcPr>
                  <w:tcW w:w="3075" w:type="pct"/>
                  <w:gridSpan w:val="2"/>
                  <w:noWrap w:val="0"/>
                  <w:vAlign w:val="center"/>
                </w:tcPr>
                <w:p w14:paraId="3536A455">
                  <w:pPr>
                    <w:pStyle w:val="60"/>
                    <w:spacing w:line="240" w:lineRule="auto"/>
                    <w:rPr>
                      <w:rFonts w:hint="eastAsia" w:ascii="Times New Roman" w:hAnsi="Times New Roman" w:eastAsia="宋体" w:cs="Times New Roman"/>
                      <w:color w:val="auto"/>
                      <w:spacing w:val="9"/>
                      <w:lang w:eastAsia="zh-CN"/>
                    </w:rPr>
                  </w:pPr>
                  <w:r>
                    <w:rPr>
                      <w:rFonts w:hint="eastAsia" w:ascii="Times New Roman" w:hAnsi="Times New Roman" w:eastAsia="宋体" w:cs="Times New Roman"/>
                      <w:color w:val="auto"/>
                      <w:spacing w:val="9"/>
                      <w:lang w:eastAsia="zh-CN"/>
                    </w:rPr>
                    <w:t>本项目环境风险物质主要是漆料，通过加强管理、生产区域定期巡查，危险废物贮存点重点防渗，定期对漆料使用及暂存区域、材料库进行检查，减少突发环境事故带来的影响。</w:t>
                  </w:r>
                </w:p>
              </w:tc>
              <w:tc>
                <w:tcPr>
                  <w:tcW w:w="758" w:type="pct"/>
                  <w:noWrap w:val="0"/>
                  <w:vAlign w:val="center"/>
                </w:tcPr>
                <w:p w14:paraId="55619C0D">
                  <w:pPr>
                    <w:pStyle w:val="60"/>
                    <w:spacing w:line="240" w:lineRule="auto"/>
                    <w:jc w:val="center"/>
                    <w:rPr>
                      <w:rFonts w:hint="eastAsia" w:ascii="Times New Roman" w:hAnsi="Times New Roman" w:eastAsia="宋体" w:cs="Times New Roman"/>
                      <w:color w:val="auto"/>
                      <w:spacing w:val="9"/>
                      <w:lang w:eastAsia="zh-CN"/>
                    </w:rPr>
                  </w:pPr>
                  <w:r>
                    <w:rPr>
                      <w:rFonts w:hint="eastAsia"/>
                      <w:color w:val="auto"/>
                      <w:kern w:val="2"/>
                      <w:szCs w:val="21"/>
                      <w:highlight w:val="none"/>
                      <w:lang w:val="en-US" w:eastAsia="zh-CN"/>
                    </w:rPr>
                    <w:t>已建</w:t>
                  </w:r>
                </w:p>
              </w:tc>
            </w:tr>
          </w:tbl>
          <w:p w14:paraId="3BBA17EB">
            <w:pPr>
              <w:pStyle w:val="62"/>
              <w:jc w:val="both"/>
              <w:rPr>
                <w:rFonts w:hint="eastAsia"/>
                <w:color w:val="auto"/>
                <w:highlight w:val="none"/>
              </w:rPr>
            </w:pPr>
          </w:p>
          <w:p w14:paraId="2BFACFF6">
            <w:pPr>
              <w:pStyle w:val="69"/>
              <w:rPr>
                <w:color w:val="auto"/>
                <w:sz w:val="24"/>
                <w:highlight w:val="none"/>
              </w:rPr>
            </w:pPr>
            <w:r>
              <w:rPr>
                <w:rFonts w:hint="eastAsia"/>
                <w:color w:val="auto"/>
                <w:sz w:val="24"/>
                <w:highlight w:val="none"/>
              </w:rPr>
              <w:t>4、</w:t>
            </w:r>
            <w:r>
              <w:rPr>
                <w:color w:val="auto"/>
                <w:sz w:val="24"/>
                <w:highlight w:val="none"/>
              </w:rPr>
              <w:t>项目原辅材料及能耗</w:t>
            </w:r>
          </w:p>
          <w:p w14:paraId="070BD2A9">
            <w:pPr>
              <w:pStyle w:val="59"/>
              <w:ind w:firstLine="480"/>
              <w:rPr>
                <w:color w:val="auto"/>
                <w:sz w:val="24"/>
                <w:highlight w:val="none"/>
              </w:rPr>
            </w:pPr>
            <w:r>
              <w:rPr>
                <w:color w:val="auto"/>
                <w:sz w:val="24"/>
                <w:highlight w:val="none"/>
              </w:rPr>
              <w:t>本项目主要原辅材料及能源消耗见下表。</w:t>
            </w:r>
          </w:p>
          <w:p w14:paraId="4AFCA401">
            <w:pPr>
              <w:pStyle w:val="68"/>
              <w:numPr>
                <w:ilvl w:val="0"/>
                <w:numId w:val="13"/>
              </w:numPr>
              <w:spacing w:line="360" w:lineRule="auto"/>
              <w:ind w:left="0" w:leftChars="0" w:firstLine="0" w:firstLineChars="0"/>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 项目主要原辅材料及能源消耗</w:t>
            </w:r>
          </w:p>
          <w:tbl>
            <w:tblPr>
              <w:tblStyle w:val="73"/>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72"/>
              <w:gridCol w:w="1478"/>
              <w:gridCol w:w="1495"/>
              <w:gridCol w:w="1167"/>
              <w:gridCol w:w="1366"/>
              <w:gridCol w:w="851"/>
              <w:gridCol w:w="1474"/>
            </w:tblGrid>
            <w:tr w14:paraId="468D46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40" w:type="pct"/>
                  <w:noWrap w:val="0"/>
                  <w:vAlign w:val="center"/>
                </w:tcPr>
                <w:p w14:paraId="6DF461E7">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sz w:val="21"/>
                      <w:szCs w:val="21"/>
                    </w:rPr>
                  </w:pPr>
                  <w:r>
                    <w:rPr>
                      <w:rFonts w:ascii="Times New Roman" w:hAnsi="Times New Roman" w:cs="Times New Roman"/>
                      <w:color w:val="auto"/>
                      <w:sz w:val="21"/>
                      <w:szCs w:val="21"/>
                    </w:rPr>
                    <w:t>序号</w:t>
                  </w:r>
                </w:p>
              </w:tc>
              <w:tc>
                <w:tcPr>
                  <w:tcW w:w="879" w:type="pct"/>
                  <w:noWrap w:val="0"/>
                  <w:vAlign w:val="center"/>
                </w:tcPr>
                <w:p w14:paraId="47272658">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sz w:val="21"/>
                      <w:szCs w:val="21"/>
                    </w:rPr>
                  </w:pPr>
                  <w:r>
                    <w:rPr>
                      <w:rFonts w:ascii="Times New Roman" w:hAnsi="Times New Roman" w:cs="Times New Roman"/>
                      <w:color w:val="auto"/>
                      <w:sz w:val="21"/>
                      <w:szCs w:val="21"/>
                    </w:rPr>
                    <w:t>名称</w:t>
                  </w:r>
                </w:p>
              </w:tc>
              <w:tc>
                <w:tcPr>
                  <w:tcW w:w="889" w:type="pct"/>
                  <w:noWrap w:val="0"/>
                  <w:vAlign w:val="center"/>
                </w:tcPr>
                <w:p w14:paraId="6AA06298">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sz w:val="21"/>
                      <w:szCs w:val="21"/>
                    </w:rPr>
                  </w:pPr>
                  <w:r>
                    <w:rPr>
                      <w:rFonts w:ascii="Times New Roman" w:hAnsi="Times New Roman" w:cs="Times New Roman"/>
                      <w:color w:val="auto"/>
                      <w:sz w:val="21"/>
                      <w:szCs w:val="21"/>
                    </w:rPr>
                    <w:t>年用量</w:t>
                  </w:r>
                </w:p>
              </w:tc>
              <w:tc>
                <w:tcPr>
                  <w:tcW w:w="694" w:type="pct"/>
                  <w:noWrap w:val="0"/>
                  <w:vAlign w:val="center"/>
                </w:tcPr>
                <w:p w14:paraId="4D4E0F07">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最大存储量</w:t>
                  </w:r>
                </w:p>
              </w:tc>
              <w:tc>
                <w:tcPr>
                  <w:tcW w:w="812" w:type="pct"/>
                  <w:noWrap w:val="0"/>
                  <w:vAlign w:val="center"/>
                </w:tcPr>
                <w:p w14:paraId="642A7CE9">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规格</w:t>
                  </w:r>
                </w:p>
              </w:tc>
              <w:tc>
                <w:tcPr>
                  <w:tcW w:w="506" w:type="pct"/>
                  <w:noWrap w:val="0"/>
                  <w:vAlign w:val="center"/>
                </w:tcPr>
                <w:p w14:paraId="36A7D429">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sz w:val="21"/>
                      <w:szCs w:val="21"/>
                    </w:rPr>
                  </w:pPr>
                  <w:r>
                    <w:rPr>
                      <w:rFonts w:ascii="Times New Roman" w:hAnsi="Times New Roman" w:cs="Times New Roman"/>
                      <w:color w:val="auto"/>
                      <w:sz w:val="21"/>
                      <w:szCs w:val="21"/>
                    </w:rPr>
                    <w:t>来源</w:t>
                  </w:r>
                </w:p>
              </w:tc>
              <w:tc>
                <w:tcPr>
                  <w:tcW w:w="877" w:type="pct"/>
                  <w:noWrap w:val="0"/>
                  <w:vAlign w:val="center"/>
                </w:tcPr>
                <w:p w14:paraId="6DDF5F14">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备注</w:t>
                  </w:r>
                </w:p>
              </w:tc>
            </w:tr>
            <w:tr w14:paraId="627AA7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40" w:type="pct"/>
                  <w:noWrap w:val="0"/>
                  <w:vAlign w:val="center"/>
                </w:tcPr>
                <w:p w14:paraId="2302CFA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1</w:t>
                  </w:r>
                </w:p>
              </w:tc>
              <w:tc>
                <w:tcPr>
                  <w:tcW w:w="879" w:type="pct"/>
                  <w:noWrap w:val="0"/>
                  <w:vAlign w:val="center"/>
                </w:tcPr>
                <w:p w14:paraId="50E92682">
                  <w:pPr>
                    <w:pStyle w:val="5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sz w:val="21"/>
                      <w:szCs w:val="21"/>
                      <w:lang w:eastAsia="zh-CN"/>
                    </w:rPr>
                  </w:pPr>
                  <w:r>
                    <w:rPr>
                      <w:rFonts w:hint="eastAsia"/>
                      <w:color w:val="auto"/>
                      <w:sz w:val="21"/>
                      <w:szCs w:val="21"/>
                      <w:highlight w:val="none"/>
                      <w:lang w:eastAsia="zh-CN"/>
                    </w:rPr>
                    <w:t>地板坯</w:t>
                  </w:r>
                </w:p>
              </w:tc>
              <w:tc>
                <w:tcPr>
                  <w:tcW w:w="889" w:type="pct"/>
                  <w:noWrap w:val="0"/>
                  <w:vAlign w:val="center"/>
                </w:tcPr>
                <w:p w14:paraId="7004B578">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val="en-US" w:eastAsia="zh-CN"/>
                    </w:rPr>
                    <w:t>16万</w:t>
                  </w:r>
                  <w:r>
                    <w:rPr>
                      <w:rFonts w:hint="eastAsia" w:ascii="Times New Roman" w:hAnsi="Times New Roman" w:cs="Times New Roman"/>
                      <w:color w:val="auto"/>
                      <w:sz w:val="21"/>
                      <w:szCs w:val="21"/>
                      <w:lang w:eastAsia="zh-CN"/>
                    </w:rPr>
                    <w:t>m</w:t>
                  </w:r>
                  <w:r>
                    <w:rPr>
                      <w:rFonts w:hint="eastAsia" w:ascii="Times New Roman" w:hAnsi="Times New Roman" w:cs="Times New Roman"/>
                      <w:color w:val="auto"/>
                      <w:sz w:val="21"/>
                      <w:szCs w:val="21"/>
                      <w:vertAlign w:val="superscript"/>
                      <w:lang w:val="en-US" w:eastAsia="zh-CN"/>
                    </w:rPr>
                    <w:t>2</w:t>
                  </w:r>
                </w:p>
              </w:tc>
              <w:tc>
                <w:tcPr>
                  <w:tcW w:w="694" w:type="pct"/>
                  <w:noWrap w:val="0"/>
                  <w:vAlign w:val="center"/>
                </w:tcPr>
                <w:p w14:paraId="52392699">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val="en-US" w:eastAsia="zh-CN"/>
                    </w:rPr>
                    <w:t>2万</w:t>
                  </w:r>
                  <w:r>
                    <w:rPr>
                      <w:rFonts w:hint="eastAsia" w:ascii="Times New Roman" w:hAnsi="Times New Roman" w:cs="Times New Roman"/>
                      <w:color w:val="auto"/>
                      <w:sz w:val="21"/>
                      <w:szCs w:val="21"/>
                      <w:lang w:eastAsia="zh-CN"/>
                    </w:rPr>
                    <w:t>m</w:t>
                  </w:r>
                  <w:r>
                    <w:rPr>
                      <w:rFonts w:hint="eastAsia" w:ascii="Times New Roman" w:hAnsi="Times New Roman" w:cs="Times New Roman"/>
                      <w:color w:val="auto"/>
                      <w:sz w:val="21"/>
                      <w:szCs w:val="21"/>
                      <w:vertAlign w:val="superscript"/>
                      <w:lang w:val="en-US" w:eastAsia="zh-CN"/>
                    </w:rPr>
                    <w:t>2</w:t>
                  </w:r>
                </w:p>
              </w:tc>
              <w:tc>
                <w:tcPr>
                  <w:tcW w:w="812" w:type="pct"/>
                  <w:noWrap w:val="0"/>
                  <w:vAlign w:val="center"/>
                </w:tcPr>
                <w:p w14:paraId="0E5D707C">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长1-2m，宽70-100mm，厚23-27mm</w:t>
                  </w:r>
                </w:p>
              </w:tc>
              <w:tc>
                <w:tcPr>
                  <w:tcW w:w="506" w:type="pct"/>
                  <w:noWrap w:val="0"/>
                  <w:vAlign w:val="center"/>
                </w:tcPr>
                <w:p w14:paraId="6569AE69">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外购</w:t>
                  </w:r>
                </w:p>
              </w:tc>
              <w:tc>
                <w:tcPr>
                  <w:tcW w:w="877" w:type="pct"/>
                  <w:noWrap w:val="0"/>
                  <w:vAlign w:val="center"/>
                </w:tcPr>
                <w:p w14:paraId="0827CB22">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材料库、生产车间</w:t>
                  </w:r>
                </w:p>
              </w:tc>
            </w:tr>
            <w:tr w14:paraId="3BF0F4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40" w:type="pct"/>
                  <w:noWrap w:val="0"/>
                  <w:vAlign w:val="center"/>
                </w:tcPr>
                <w:p w14:paraId="1617EE1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2</w:t>
                  </w:r>
                </w:p>
              </w:tc>
              <w:tc>
                <w:tcPr>
                  <w:tcW w:w="879" w:type="pct"/>
                  <w:noWrap w:val="0"/>
                  <w:vAlign w:val="center"/>
                </w:tcPr>
                <w:p w14:paraId="688B3872">
                  <w:pPr>
                    <w:pStyle w:val="5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sz w:val="21"/>
                      <w:szCs w:val="21"/>
                      <w:lang w:eastAsia="zh-CN"/>
                    </w:rPr>
                  </w:pPr>
                  <w:r>
                    <w:rPr>
                      <w:rFonts w:hint="eastAsia" w:ascii="Times New Roman" w:hAnsi="Times New Roman" w:eastAsia="宋体" w:cs="Times New Roman"/>
                      <w:color w:val="auto"/>
                      <w:sz w:val="21"/>
                      <w:szCs w:val="21"/>
                    </w:rPr>
                    <w:t>UV</w:t>
                  </w:r>
                  <w:r>
                    <w:rPr>
                      <w:rFonts w:hint="eastAsia" w:ascii="Times New Roman" w:hAnsi="Times New Roman" w:cs="Times New Roman"/>
                      <w:color w:val="auto"/>
                      <w:sz w:val="21"/>
                      <w:szCs w:val="21"/>
                      <w:lang w:eastAsia="zh-CN"/>
                    </w:rPr>
                    <w:t>底漆</w:t>
                  </w:r>
                </w:p>
              </w:tc>
              <w:tc>
                <w:tcPr>
                  <w:tcW w:w="889" w:type="pct"/>
                  <w:noWrap w:val="0"/>
                  <w:vAlign w:val="center"/>
                </w:tcPr>
                <w:p w14:paraId="3069E2BD">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14.5t</w:t>
                  </w:r>
                </w:p>
              </w:tc>
              <w:tc>
                <w:tcPr>
                  <w:tcW w:w="694" w:type="pct"/>
                  <w:noWrap w:val="0"/>
                  <w:vAlign w:val="center"/>
                </w:tcPr>
                <w:p w14:paraId="7927BFE6">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0.25t</w:t>
                  </w:r>
                </w:p>
              </w:tc>
              <w:tc>
                <w:tcPr>
                  <w:tcW w:w="812" w:type="pct"/>
                  <w:noWrap w:val="0"/>
                  <w:vAlign w:val="center"/>
                </w:tcPr>
                <w:p w14:paraId="767D6142">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val="en-US" w:eastAsia="zh-CN"/>
                    </w:rPr>
                    <w:t>25</w:t>
                  </w:r>
                  <w:r>
                    <w:rPr>
                      <w:rFonts w:hint="eastAsia" w:ascii="Times New Roman" w:hAnsi="Times New Roman" w:cs="Times New Roman"/>
                      <w:color w:val="auto"/>
                      <w:sz w:val="21"/>
                      <w:szCs w:val="21"/>
                      <w:lang w:eastAsia="zh-CN"/>
                    </w:rPr>
                    <w:t>kg/桶</w:t>
                  </w:r>
                </w:p>
              </w:tc>
              <w:tc>
                <w:tcPr>
                  <w:tcW w:w="506" w:type="pct"/>
                  <w:noWrap w:val="0"/>
                  <w:vAlign w:val="center"/>
                </w:tcPr>
                <w:p w14:paraId="51B37A65">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sz w:val="21"/>
                      <w:szCs w:val="21"/>
                    </w:rPr>
                  </w:pPr>
                  <w:r>
                    <w:rPr>
                      <w:rFonts w:ascii="Times New Roman" w:hAnsi="Times New Roman" w:cs="Times New Roman"/>
                      <w:color w:val="auto"/>
                      <w:sz w:val="21"/>
                      <w:szCs w:val="21"/>
                    </w:rPr>
                    <w:t>外购</w:t>
                  </w:r>
                </w:p>
              </w:tc>
              <w:tc>
                <w:tcPr>
                  <w:tcW w:w="877" w:type="pct"/>
                  <w:noWrap w:val="0"/>
                  <w:vAlign w:val="center"/>
                </w:tcPr>
                <w:p w14:paraId="4FE6B2E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eastAsia="zh-CN"/>
                    </w:rPr>
                    <w:t>生产车间</w:t>
                  </w:r>
                </w:p>
              </w:tc>
            </w:tr>
            <w:tr w14:paraId="0CA668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40" w:type="pct"/>
                  <w:noWrap w:val="0"/>
                  <w:vAlign w:val="center"/>
                </w:tcPr>
                <w:p w14:paraId="341624B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3</w:t>
                  </w:r>
                </w:p>
              </w:tc>
              <w:tc>
                <w:tcPr>
                  <w:tcW w:w="879" w:type="pct"/>
                  <w:noWrap w:val="0"/>
                  <w:vAlign w:val="center"/>
                </w:tcPr>
                <w:p w14:paraId="769CCB7C">
                  <w:pPr>
                    <w:pStyle w:val="5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kern w:val="2"/>
                      <w:sz w:val="21"/>
                      <w:szCs w:val="21"/>
                      <w:lang w:val="en-US" w:eastAsia="zh-CN" w:bidi="ar-SA"/>
                    </w:rPr>
                  </w:pPr>
                  <w:r>
                    <w:rPr>
                      <w:rFonts w:hint="eastAsia"/>
                      <w:color w:val="auto"/>
                      <w:sz w:val="21"/>
                      <w:szCs w:val="21"/>
                      <w:highlight w:val="none"/>
                      <w:lang w:val="en-US" w:eastAsia="zh-CN"/>
                    </w:rPr>
                    <w:t>UV面漆</w:t>
                  </w:r>
                </w:p>
              </w:tc>
              <w:tc>
                <w:tcPr>
                  <w:tcW w:w="889" w:type="pct"/>
                  <w:noWrap w:val="0"/>
                  <w:vAlign w:val="center"/>
                </w:tcPr>
                <w:p w14:paraId="6E509058">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2.5t</w:t>
                  </w:r>
                </w:p>
              </w:tc>
              <w:tc>
                <w:tcPr>
                  <w:tcW w:w="694" w:type="pct"/>
                  <w:noWrap w:val="0"/>
                  <w:vAlign w:val="center"/>
                </w:tcPr>
                <w:p w14:paraId="7939C3C2">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0.2</w:t>
                  </w:r>
                  <w:r>
                    <w:rPr>
                      <w:rFonts w:hint="eastAsia" w:ascii="Times New Roman" w:hAnsi="Times New Roman" w:cs="Times New Roman"/>
                      <w:color w:val="auto"/>
                      <w:sz w:val="21"/>
                      <w:szCs w:val="21"/>
                      <w:lang w:val="en-US" w:eastAsia="zh-CN"/>
                    </w:rPr>
                    <w:t>t</w:t>
                  </w:r>
                </w:p>
              </w:tc>
              <w:tc>
                <w:tcPr>
                  <w:tcW w:w="812" w:type="pct"/>
                  <w:noWrap w:val="0"/>
                  <w:vAlign w:val="center"/>
                </w:tcPr>
                <w:p w14:paraId="79745909">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20</w:t>
                  </w:r>
                  <w:r>
                    <w:rPr>
                      <w:rFonts w:hint="eastAsia" w:ascii="Times New Roman" w:hAnsi="Times New Roman" w:cs="Times New Roman"/>
                      <w:color w:val="auto"/>
                      <w:sz w:val="21"/>
                      <w:szCs w:val="21"/>
                      <w:lang w:eastAsia="zh-CN"/>
                    </w:rPr>
                    <w:t>kg/桶</w:t>
                  </w:r>
                </w:p>
              </w:tc>
              <w:tc>
                <w:tcPr>
                  <w:tcW w:w="506" w:type="pct"/>
                  <w:noWrap w:val="0"/>
                  <w:vAlign w:val="center"/>
                </w:tcPr>
                <w:p w14:paraId="0E253A05">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kern w:val="2"/>
                      <w:sz w:val="21"/>
                      <w:szCs w:val="21"/>
                      <w:lang w:val="en-US" w:eastAsia="en-US" w:bidi="ar-SA"/>
                    </w:rPr>
                  </w:pPr>
                  <w:r>
                    <w:rPr>
                      <w:rFonts w:ascii="Times New Roman" w:hAnsi="Times New Roman" w:cs="Times New Roman"/>
                      <w:color w:val="auto"/>
                      <w:sz w:val="21"/>
                      <w:szCs w:val="21"/>
                    </w:rPr>
                    <w:t>外购</w:t>
                  </w:r>
                </w:p>
              </w:tc>
              <w:tc>
                <w:tcPr>
                  <w:tcW w:w="877" w:type="pct"/>
                  <w:noWrap w:val="0"/>
                  <w:vAlign w:val="center"/>
                </w:tcPr>
                <w:p w14:paraId="58DF1B5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eastAsia="zh-CN"/>
                    </w:rPr>
                    <w:t>生产车间</w:t>
                  </w:r>
                </w:p>
              </w:tc>
            </w:tr>
            <w:tr w14:paraId="7BDC58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40" w:type="pct"/>
                  <w:noWrap w:val="0"/>
                  <w:vAlign w:val="center"/>
                </w:tcPr>
                <w:p w14:paraId="27E3E4F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w:t>
                  </w:r>
                </w:p>
              </w:tc>
              <w:tc>
                <w:tcPr>
                  <w:tcW w:w="879" w:type="pct"/>
                  <w:noWrap w:val="0"/>
                  <w:vAlign w:val="center"/>
                </w:tcPr>
                <w:p w14:paraId="05872320">
                  <w:pPr>
                    <w:pStyle w:val="5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kern w:val="2"/>
                      <w:sz w:val="21"/>
                      <w:szCs w:val="21"/>
                      <w:lang w:val="en-US" w:eastAsia="zh-CN" w:bidi="ar-SA"/>
                    </w:rPr>
                  </w:pPr>
                  <w:r>
                    <w:rPr>
                      <w:rFonts w:hint="eastAsia"/>
                      <w:color w:val="auto"/>
                      <w:sz w:val="21"/>
                      <w:szCs w:val="21"/>
                      <w:lang w:eastAsia="zh-CN"/>
                    </w:rPr>
                    <w:t>塑封膜</w:t>
                  </w:r>
                </w:p>
              </w:tc>
              <w:tc>
                <w:tcPr>
                  <w:tcW w:w="889" w:type="pct"/>
                  <w:noWrap w:val="0"/>
                  <w:vAlign w:val="center"/>
                </w:tcPr>
                <w:p w14:paraId="6D60200E">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3.15t</w:t>
                  </w:r>
                </w:p>
              </w:tc>
              <w:tc>
                <w:tcPr>
                  <w:tcW w:w="694" w:type="pct"/>
                  <w:noWrap w:val="0"/>
                  <w:vAlign w:val="center"/>
                </w:tcPr>
                <w:p w14:paraId="424CCAA2">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3.15t</w:t>
                  </w:r>
                </w:p>
              </w:tc>
              <w:tc>
                <w:tcPr>
                  <w:tcW w:w="812" w:type="pct"/>
                  <w:noWrap w:val="0"/>
                  <w:vAlign w:val="center"/>
                </w:tcPr>
                <w:p w14:paraId="5EDE4D92">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21kg</w:t>
                  </w:r>
                  <w:r>
                    <w:rPr>
                      <w:rFonts w:hint="eastAsia" w:ascii="Times New Roman" w:hAnsi="Times New Roman" w:cs="Times New Roman"/>
                      <w:color w:val="auto"/>
                      <w:sz w:val="21"/>
                      <w:szCs w:val="21"/>
                      <w:lang w:eastAsia="zh-CN"/>
                    </w:rPr>
                    <w:t>/卷</w:t>
                  </w:r>
                </w:p>
              </w:tc>
              <w:tc>
                <w:tcPr>
                  <w:tcW w:w="506" w:type="pct"/>
                  <w:noWrap w:val="0"/>
                  <w:vAlign w:val="center"/>
                </w:tcPr>
                <w:p w14:paraId="4A38A965">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kern w:val="2"/>
                      <w:sz w:val="21"/>
                      <w:szCs w:val="21"/>
                      <w:lang w:val="en-US" w:eastAsia="en-US" w:bidi="ar-SA"/>
                    </w:rPr>
                  </w:pPr>
                  <w:r>
                    <w:rPr>
                      <w:rFonts w:ascii="Times New Roman" w:hAnsi="Times New Roman" w:cs="Times New Roman"/>
                      <w:color w:val="auto"/>
                      <w:sz w:val="21"/>
                      <w:szCs w:val="21"/>
                    </w:rPr>
                    <w:t>外购</w:t>
                  </w:r>
                </w:p>
              </w:tc>
              <w:tc>
                <w:tcPr>
                  <w:tcW w:w="877" w:type="pct"/>
                  <w:noWrap w:val="0"/>
                  <w:vAlign w:val="center"/>
                </w:tcPr>
                <w:p w14:paraId="1FC9272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eastAsia="zh-CN"/>
                    </w:rPr>
                    <w:t>生产车间</w:t>
                  </w:r>
                </w:p>
              </w:tc>
            </w:tr>
            <w:tr w14:paraId="5771C2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72" w:type="dxa"/>
                  <w:noWrap w:val="0"/>
                  <w:vAlign w:val="center"/>
                </w:tcPr>
                <w:p w14:paraId="2DBE42F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5</w:t>
                  </w:r>
                </w:p>
              </w:tc>
              <w:tc>
                <w:tcPr>
                  <w:tcW w:w="879" w:type="pct"/>
                  <w:noWrap w:val="0"/>
                  <w:vAlign w:val="center"/>
                </w:tcPr>
                <w:p w14:paraId="3A2F2691">
                  <w:pPr>
                    <w:pStyle w:val="5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kern w:val="2"/>
                      <w:sz w:val="21"/>
                      <w:szCs w:val="21"/>
                      <w:lang w:val="en-US" w:eastAsia="zh-CN" w:bidi="ar-SA"/>
                    </w:rPr>
                  </w:pPr>
                  <w:r>
                    <w:rPr>
                      <w:rFonts w:hint="eastAsia"/>
                      <w:color w:val="auto"/>
                      <w:sz w:val="21"/>
                      <w:szCs w:val="21"/>
                      <w:lang w:eastAsia="zh-CN"/>
                    </w:rPr>
                    <w:t>木工胶（指接用）</w:t>
                  </w:r>
                </w:p>
              </w:tc>
              <w:tc>
                <w:tcPr>
                  <w:tcW w:w="889" w:type="pct"/>
                  <w:noWrap w:val="0"/>
                  <w:vAlign w:val="center"/>
                </w:tcPr>
                <w:p w14:paraId="7D7E4ADD">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kern w:val="2"/>
                      <w:sz w:val="21"/>
                      <w:szCs w:val="21"/>
                      <w:highlight w:val="yellow"/>
                      <w:lang w:val="en-US" w:eastAsia="zh-CN" w:bidi="ar-SA"/>
                    </w:rPr>
                  </w:pPr>
                  <w:r>
                    <w:rPr>
                      <w:rFonts w:hint="eastAsia" w:ascii="Times New Roman" w:hAnsi="Times New Roman" w:cs="Times New Roman"/>
                      <w:color w:val="auto"/>
                      <w:sz w:val="21"/>
                      <w:szCs w:val="21"/>
                      <w:lang w:val="en-US" w:eastAsia="zh-CN"/>
                    </w:rPr>
                    <w:t>0.36t</w:t>
                  </w:r>
                </w:p>
              </w:tc>
              <w:tc>
                <w:tcPr>
                  <w:tcW w:w="694" w:type="pct"/>
                  <w:noWrap w:val="0"/>
                  <w:vAlign w:val="center"/>
                </w:tcPr>
                <w:p w14:paraId="65AA0018">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0.09t</w:t>
                  </w:r>
                </w:p>
              </w:tc>
              <w:tc>
                <w:tcPr>
                  <w:tcW w:w="812" w:type="pct"/>
                  <w:noWrap w:val="0"/>
                  <w:vAlign w:val="center"/>
                </w:tcPr>
                <w:p w14:paraId="5AD430D5">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18</w:t>
                  </w:r>
                  <w:r>
                    <w:rPr>
                      <w:rFonts w:hint="eastAsia" w:ascii="Times New Roman" w:hAnsi="Times New Roman" w:cs="Times New Roman"/>
                      <w:color w:val="auto"/>
                      <w:sz w:val="21"/>
                      <w:szCs w:val="21"/>
                      <w:lang w:eastAsia="zh-CN"/>
                    </w:rPr>
                    <w:t>kg/桶</w:t>
                  </w:r>
                </w:p>
              </w:tc>
              <w:tc>
                <w:tcPr>
                  <w:tcW w:w="506" w:type="pct"/>
                  <w:noWrap w:val="0"/>
                  <w:vAlign w:val="center"/>
                </w:tcPr>
                <w:p w14:paraId="3543FB9D">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kern w:val="2"/>
                      <w:sz w:val="21"/>
                      <w:szCs w:val="21"/>
                      <w:lang w:val="en-US" w:eastAsia="en-US" w:bidi="ar-SA"/>
                    </w:rPr>
                  </w:pPr>
                  <w:r>
                    <w:rPr>
                      <w:rFonts w:ascii="Times New Roman" w:hAnsi="Times New Roman" w:cs="Times New Roman"/>
                      <w:color w:val="auto"/>
                      <w:sz w:val="21"/>
                      <w:szCs w:val="21"/>
                    </w:rPr>
                    <w:t>外购</w:t>
                  </w:r>
                </w:p>
              </w:tc>
              <w:tc>
                <w:tcPr>
                  <w:tcW w:w="877" w:type="pct"/>
                  <w:noWrap w:val="0"/>
                  <w:vAlign w:val="center"/>
                </w:tcPr>
                <w:p w14:paraId="53A25EB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eastAsia="zh-CN"/>
                    </w:rPr>
                    <w:t>生产车间</w:t>
                  </w:r>
                </w:p>
              </w:tc>
            </w:tr>
            <w:tr w14:paraId="5A4189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72" w:type="dxa"/>
                  <w:noWrap w:val="0"/>
                  <w:vAlign w:val="center"/>
                </w:tcPr>
                <w:p w14:paraId="5C0457D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6</w:t>
                  </w:r>
                </w:p>
              </w:tc>
              <w:tc>
                <w:tcPr>
                  <w:tcW w:w="879" w:type="pct"/>
                  <w:noWrap w:val="0"/>
                  <w:vAlign w:val="center"/>
                </w:tcPr>
                <w:p w14:paraId="4F210AA8">
                  <w:pPr>
                    <w:pStyle w:val="5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auto"/>
                      <w:sz w:val="21"/>
                      <w:szCs w:val="21"/>
                      <w:lang w:eastAsia="zh-CN"/>
                    </w:rPr>
                  </w:pPr>
                  <w:r>
                    <w:rPr>
                      <w:rFonts w:hint="eastAsia"/>
                      <w:color w:val="auto"/>
                      <w:sz w:val="21"/>
                      <w:szCs w:val="21"/>
                      <w:lang w:eastAsia="zh-CN"/>
                    </w:rPr>
                    <w:t>活性炭</w:t>
                  </w:r>
                </w:p>
              </w:tc>
              <w:tc>
                <w:tcPr>
                  <w:tcW w:w="889" w:type="pct"/>
                  <w:noWrap w:val="0"/>
                  <w:vAlign w:val="center"/>
                </w:tcPr>
                <w:p w14:paraId="4F5AB6EF">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1.04t</w:t>
                  </w:r>
                </w:p>
              </w:tc>
              <w:tc>
                <w:tcPr>
                  <w:tcW w:w="694" w:type="pct"/>
                  <w:noWrap w:val="0"/>
                  <w:vAlign w:val="center"/>
                </w:tcPr>
                <w:p w14:paraId="4CBD9D15">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1.04t</w:t>
                  </w:r>
                </w:p>
              </w:tc>
              <w:tc>
                <w:tcPr>
                  <w:tcW w:w="812" w:type="pct"/>
                  <w:noWrap w:val="0"/>
                  <w:vAlign w:val="center"/>
                </w:tcPr>
                <w:p w14:paraId="6CF041CD">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c>
                <w:tcPr>
                  <w:tcW w:w="506" w:type="pct"/>
                  <w:noWrap w:val="0"/>
                  <w:vAlign w:val="center"/>
                </w:tcPr>
                <w:p w14:paraId="515A2DEA">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sz w:val="21"/>
                      <w:szCs w:val="21"/>
                    </w:rPr>
                  </w:pPr>
                  <w:r>
                    <w:rPr>
                      <w:rFonts w:ascii="Times New Roman" w:hAnsi="Times New Roman" w:cs="Times New Roman"/>
                      <w:color w:val="auto"/>
                      <w:sz w:val="21"/>
                      <w:szCs w:val="21"/>
                    </w:rPr>
                    <w:t>外购</w:t>
                  </w:r>
                </w:p>
              </w:tc>
              <w:tc>
                <w:tcPr>
                  <w:tcW w:w="877" w:type="pct"/>
                  <w:noWrap w:val="0"/>
                  <w:vAlign w:val="center"/>
                </w:tcPr>
                <w:p w14:paraId="6BCD6E2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生产车间</w:t>
                  </w:r>
                </w:p>
              </w:tc>
            </w:tr>
            <w:tr w14:paraId="7D6597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72" w:type="dxa"/>
                  <w:noWrap w:val="0"/>
                  <w:vAlign w:val="center"/>
                </w:tcPr>
                <w:p w14:paraId="2D30049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7</w:t>
                  </w:r>
                </w:p>
              </w:tc>
              <w:tc>
                <w:tcPr>
                  <w:tcW w:w="879" w:type="pct"/>
                  <w:noWrap w:val="0"/>
                  <w:vAlign w:val="center"/>
                </w:tcPr>
                <w:p w14:paraId="1D3D81E5">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水</w:t>
                  </w:r>
                </w:p>
              </w:tc>
              <w:tc>
                <w:tcPr>
                  <w:tcW w:w="889" w:type="pct"/>
                  <w:noWrap w:val="0"/>
                  <w:vAlign w:val="center"/>
                </w:tcPr>
                <w:p w14:paraId="3F8F06DA">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val="en-US" w:eastAsia="zh-CN"/>
                    </w:rPr>
                    <w:t>3836.76</w:t>
                  </w:r>
                  <w:r>
                    <w:rPr>
                      <w:rFonts w:hint="default" w:ascii="Times New Roman" w:hAnsi="Times New Roman" w:cs="Times New Roman"/>
                      <w:color w:val="auto"/>
                      <w:sz w:val="21"/>
                      <w:szCs w:val="21"/>
                    </w:rPr>
                    <w:t>m</w:t>
                  </w:r>
                  <w:r>
                    <w:rPr>
                      <w:rFonts w:hint="default" w:ascii="Times New Roman" w:hAnsi="Times New Roman" w:cs="Times New Roman"/>
                      <w:color w:val="auto"/>
                      <w:sz w:val="21"/>
                      <w:szCs w:val="21"/>
                      <w:vertAlign w:val="superscript"/>
                    </w:rPr>
                    <w:t>3</w:t>
                  </w:r>
                </w:p>
              </w:tc>
              <w:tc>
                <w:tcPr>
                  <w:tcW w:w="694" w:type="pct"/>
                  <w:noWrap w:val="0"/>
                  <w:vAlign w:val="center"/>
                </w:tcPr>
                <w:p w14:paraId="5CB9D2C2">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w:t>
                  </w:r>
                </w:p>
              </w:tc>
              <w:tc>
                <w:tcPr>
                  <w:tcW w:w="812" w:type="pct"/>
                  <w:noWrap w:val="0"/>
                  <w:vAlign w:val="center"/>
                </w:tcPr>
                <w:p w14:paraId="3627B9AF">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val="en-US" w:eastAsia="zh-CN"/>
                    </w:rPr>
                    <w:t>/</w:t>
                  </w:r>
                </w:p>
              </w:tc>
              <w:tc>
                <w:tcPr>
                  <w:tcW w:w="506" w:type="pct"/>
                  <w:noWrap w:val="0"/>
                  <w:vAlign w:val="center"/>
                </w:tcPr>
                <w:p w14:paraId="47914F72">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w:t>
                  </w:r>
                </w:p>
              </w:tc>
              <w:tc>
                <w:tcPr>
                  <w:tcW w:w="877" w:type="pct"/>
                  <w:noWrap w:val="0"/>
                  <w:vAlign w:val="center"/>
                </w:tcPr>
                <w:p w14:paraId="49F13FC4">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sz w:val="21"/>
                      <w:szCs w:val="21"/>
                      <w:lang w:eastAsia="zh-CN"/>
                    </w:rPr>
                  </w:pPr>
                  <w:r>
                    <w:rPr>
                      <w:rFonts w:hint="eastAsia"/>
                      <w:color w:val="auto"/>
                      <w:sz w:val="21"/>
                      <w:szCs w:val="21"/>
                      <w:lang w:eastAsia="zh-CN"/>
                    </w:rPr>
                    <w:t>市政</w:t>
                  </w:r>
                  <w:r>
                    <w:rPr>
                      <w:color w:val="auto"/>
                      <w:sz w:val="21"/>
                      <w:szCs w:val="21"/>
                    </w:rPr>
                    <w:t>供水管网</w:t>
                  </w:r>
                </w:p>
              </w:tc>
            </w:tr>
            <w:tr w14:paraId="428BE7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72" w:type="dxa"/>
                  <w:noWrap w:val="0"/>
                  <w:vAlign w:val="center"/>
                </w:tcPr>
                <w:p w14:paraId="7AD3A51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w:t>
                  </w:r>
                </w:p>
              </w:tc>
              <w:tc>
                <w:tcPr>
                  <w:tcW w:w="879" w:type="pct"/>
                  <w:noWrap w:val="0"/>
                  <w:vAlign w:val="center"/>
                </w:tcPr>
                <w:p w14:paraId="6CBF3056">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电</w:t>
                  </w:r>
                </w:p>
              </w:tc>
              <w:tc>
                <w:tcPr>
                  <w:tcW w:w="889" w:type="pct"/>
                  <w:noWrap w:val="0"/>
                  <w:vAlign w:val="center"/>
                </w:tcPr>
                <w:p w14:paraId="6D43EC6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21"/>
                      <w:szCs w:val="21"/>
                      <w:lang w:eastAsia="zh-CN"/>
                    </w:rPr>
                  </w:pPr>
                  <w:r>
                    <w:rPr>
                      <w:rFonts w:hint="eastAsia"/>
                      <w:color w:val="auto"/>
                      <w:sz w:val="21"/>
                      <w:szCs w:val="21"/>
                      <w:lang w:val="en-US" w:eastAsia="zh-CN"/>
                    </w:rPr>
                    <w:t>37.5</w:t>
                  </w:r>
                  <w:r>
                    <w:rPr>
                      <w:color w:val="auto"/>
                      <w:sz w:val="21"/>
                      <w:szCs w:val="21"/>
                    </w:rPr>
                    <w:t>万kW·h</w:t>
                  </w:r>
                </w:p>
              </w:tc>
              <w:tc>
                <w:tcPr>
                  <w:tcW w:w="694" w:type="pct"/>
                  <w:noWrap w:val="0"/>
                  <w:vAlign w:val="center"/>
                </w:tcPr>
                <w:p w14:paraId="06CEE6A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812" w:type="pct"/>
                  <w:noWrap w:val="0"/>
                  <w:vAlign w:val="center"/>
                </w:tcPr>
                <w:p w14:paraId="5B5DBEC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val="en-US" w:eastAsia="zh-CN"/>
                    </w:rPr>
                    <w:t>/</w:t>
                  </w:r>
                </w:p>
              </w:tc>
              <w:tc>
                <w:tcPr>
                  <w:tcW w:w="506" w:type="pct"/>
                  <w:noWrap w:val="0"/>
                  <w:vAlign w:val="center"/>
                </w:tcPr>
                <w:p w14:paraId="1F242D8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sz w:val="21"/>
                      <w:szCs w:val="21"/>
                      <w:lang w:eastAsia="zh-CN"/>
                    </w:rPr>
                  </w:pPr>
                  <w:r>
                    <w:rPr>
                      <w:rFonts w:hint="eastAsia" w:ascii="Times New Roman" w:hAnsi="Times New Roman" w:eastAsia="宋体" w:cs="Times New Roman"/>
                      <w:color w:val="auto"/>
                      <w:sz w:val="21"/>
                      <w:szCs w:val="21"/>
                      <w:lang w:val="en-US" w:eastAsia="zh-CN"/>
                    </w:rPr>
                    <w:t>/</w:t>
                  </w:r>
                </w:p>
              </w:tc>
              <w:tc>
                <w:tcPr>
                  <w:tcW w:w="877" w:type="pct"/>
                  <w:noWrap w:val="0"/>
                  <w:vAlign w:val="center"/>
                </w:tcPr>
                <w:p w14:paraId="3FE3D47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21"/>
                      <w:szCs w:val="21"/>
                      <w:lang w:eastAsia="zh-CN"/>
                    </w:rPr>
                  </w:pPr>
                  <w:r>
                    <w:rPr>
                      <w:rFonts w:hint="eastAsia"/>
                      <w:color w:val="auto"/>
                      <w:sz w:val="21"/>
                      <w:szCs w:val="21"/>
                      <w:lang w:eastAsia="zh-CN"/>
                    </w:rPr>
                    <w:t>市政</w:t>
                  </w:r>
                  <w:r>
                    <w:rPr>
                      <w:color w:val="auto"/>
                      <w:sz w:val="21"/>
                      <w:szCs w:val="21"/>
                    </w:rPr>
                    <w:t>供电管网</w:t>
                  </w:r>
                </w:p>
              </w:tc>
            </w:tr>
          </w:tbl>
          <w:p w14:paraId="5B50F661">
            <w:pPr>
              <w:pStyle w:val="69"/>
              <w:rPr>
                <w:rFonts w:hint="eastAsia"/>
                <w:color w:val="auto"/>
                <w:highlight w:val="none"/>
              </w:rPr>
            </w:pPr>
          </w:p>
          <w:p w14:paraId="5970E942">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eastAsia="宋体"/>
                <w:color w:val="auto"/>
                <w:sz w:val="24"/>
                <w:szCs w:val="24"/>
                <w:lang w:val="en-US" w:eastAsia="zh-CN"/>
              </w:rPr>
            </w:pPr>
            <w:r>
              <w:rPr>
                <w:rFonts w:hint="eastAsia"/>
                <w:color w:val="auto"/>
                <w:sz w:val="24"/>
                <w:szCs w:val="24"/>
                <w:lang w:eastAsia="zh-CN"/>
              </w:rPr>
              <w:t>根据企业提供资料，本项目年使用木工胶</w:t>
            </w:r>
            <w:r>
              <w:rPr>
                <w:rFonts w:hint="eastAsia"/>
                <w:color w:val="auto"/>
                <w:sz w:val="24"/>
                <w:szCs w:val="24"/>
                <w:lang w:val="en-US" w:eastAsia="zh-CN"/>
              </w:rPr>
              <w:t>20桶，18kg/桶，木工胶年使用量合计0.36t/a。</w:t>
            </w:r>
          </w:p>
          <w:p w14:paraId="1BA1BFC9">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color w:val="auto"/>
                <w:sz w:val="24"/>
                <w:szCs w:val="24"/>
                <w:lang w:val="en-US" w:eastAsia="zh-CN"/>
              </w:rPr>
            </w:pPr>
            <w:r>
              <w:rPr>
                <w:rFonts w:hint="eastAsia"/>
                <w:color w:val="auto"/>
                <w:sz w:val="24"/>
                <w:szCs w:val="24"/>
              </w:rPr>
              <w:t>本项目</w:t>
            </w:r>
            <w:r>
              <w:rPr>
                <w:rFonts w:hint="eastAsia"/>
                <w:color w:val="auto"/>
                <w:sz w:val="24"/>
                <w:szCs w:val="24"/>
                <w:lang w:val="en-US" w:eastAsia="zh-CN"/>
              </w:rPr>
              <w:t>UV底漆、UV面漆不需进行调配，</w:t>
            </w:r>
            <w:r>
              <w:rPr>
                <w:rFonts w:hint="eastAsia"/>
                <w:color w:val="auto"/>
                <w:sz w:val="24"/>
                <w:szCs w:val="24"/>
              </w:rPr>
              <w:t>根据不同产品的要求涂装的次数也不相同，底漆平均涂装次数为</w:t>
            </w:r>
            <w:r>
              <w:rPr>
                <w:rFonts w:hint="eastAsia"/>
                <w:color w:val="auto"/>
                <w:sz w:val="24"/>
                <w:szCs w:val="24"/>
                <w:lang w:val="en-US" w:eastAsia="zh-CN"/>
              </w:rPr>
              <w:t>5</w:t>
            </w:r>
            <w:r>
              <w:rPr>
                <w:rFonts w:hint="eastAsia"/>
                <w:color w:val="auto"/>
                <w:sz w:val="24"/>
                <w:szCs w:val="24"/>
              </w:rPr>
              <w:t>次，面漆平均涂装次数为2次。</w:t>
            </w:r>
            <w:r>
              <w:rPr>
                <w:rFonts w:hint="eastAsia" w:ascii="Times New Roman" w:hAnsi="Times New Roman" w:eastAsia="宋体" w:cs="Times New Roman"/>
                <w:color w:val="auto"/>
                <w:sz w:val="24"/>
                <w:szCs w:val="24"/>
                <w:lang w:val="en-US" w:eastAsia="zh-CN"/>
              </w:rPr>
              <w:t>漆料使用量计算：</w:t>
            </w:r>
          </w:p>
          <w:p w14:paraId="31CA5FE3">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UV底漆：项目木地板规格</w:t>
            </w:r>
            <w:r>
              <w:rPr>
                <w:rFonts w:hint="eastAsia" w:eastAsia="宋体"/>
                <w:color w:val="auto"/>
                <w:kern w:val="0"/>
                <w:sz w:val="24"/>
                <w:szCs w:val="24"/>
                <w:highlight w:val="none"/>
                <w:lang w:val="en-US" w:eastAsia="zh-CN"/>
              </w:rPr>
              <w:t>1810mm长、60-90mm宽、18-20mm厚</w:t>
            </w:r>
            <w:r>
              <w:rPr>
                <w:rFonts w:hint="eastAsia" w:ascii="Times New Roman" w:hAnsi="Times New Roman" w:eastAsia="宋体" w:cs="Times New Roman"/>
                <w:color w:val="auto"/>
                <w:sz w:val="24"/>
                <w:szCs w:val="24"/>
                <w:highlight w:val="none"/>
                <w:lang w:eastAsia="zh-CN"/>
              </w:rPr>
              <w:t>。年产木地板</w:t>
            </w:r>
            <w:r>
              <w:rPr>
                <w:rFonts w:hint="eastAsia" w:ascii="Times New Roman" w:hAnsi="Times New Roman" w:eastAsia="宋体" w:cs="Times New Roman"/>
                <w:color w:val="auto"/>
                <w:sz w:val="24"/>
                <w:szCs w:val="24"/>
                <w:highlight w:val="none"/>
                <w:lang w:val="en-US" w:eastAsia="zh-CN"/>
              </w:rPr>
              <w:t>15</w:t>
            </w:r>
            <w:r>
              <w:rPr>
                <w:rFonts w:hint="eastAsia" w:ascii="Times New Roman" w:hAnsi="Times New Roman" w:eastAsia="宋体" w:cs="Times New Roman"/>
                <w:color w:val="auto"/>
                <w:sz w:val="24"/>
                <w:szCs w:val="24"/>
                <w:highlight w:val="none"/>
                <w:lang w:eastAsia="zh-CN"/>
              </w:rPr>
              <w:t>万m</w:t>
            </w:r>
            <w:r>
              <w:rPr>
                <w:rFonts w:hint="eastAsia" w:ascii="Times New Roman" w:hAnsi="Times New Roman" w:eastAsia="宋体" w:cs="Times New Roman"/>
                <w:color w:val="auto"/>
                <w:sz w:val="24"/>
                <w:szCs w:val="24"/>
                <w:highlight w:val="none"/>
                <w:vertAlign w:val="superscript"/>
                <w:lang w:eastAsia="zh-CN"/>
              </w:rPr>
              <w:t>2</w:t>
            </w:r>
            <w:r>
              <w:rPr>
                <w:rFonts w:hint="eastAsia" w:ascii="Times New Roman" w:hAnsi="Times New Roman" w:eastAsia="宋体" w:cs="Times New Roman"/>
                <w:color w:val="auto"/>
                <w:sz w:val="24"/>
                <w:szCs w:val="24"/>
                <w:highlight w:val="none"/>
                <w:lang w:eastAsia="zh-CN"/>
              </w:rPr>
              <w:t>采用</w:t>
            </w:r>
            <w:r>
              <w:rPr>
                <w:rFonts w:hint="eastAsia" w:ascii="Times New Roman" w:hAnsi="Times New Roman" w:eastAsia="宋体" w:cs="Times New Roman"/>
                <w:color w:val="auto"/>
                <w:sz w:val="24"/>
                <w:szCs w:val="24"/>
                <w:highlight w:val="none"/>
                <w:lang w:val="en-US" w:eastAsia="zh-CN"/>
              </w:rPr>
              <w:t>5</w:t>
            </w:r>
            <w:r>
              <w:rPr>
                <w:rFonts w:hint="eastAsia" w:ascii="Times New Roman" w:hAnsi="Times New Roman" w:eastAsia="宋体" w:cs="Times New Roman"/>
                <w:color w:val="auto"/>
                <w:sz w:val="24"/>
                <w:szCs w:val="24"/>
                <w:highlight w:val="none"/>
                <w:lang w:eastAsia="zh-CN"/>
              </w:rPr>
              <w:t>道正反UV底漆辊涂，即辊涂面积为</w:t>
            </w:r>
            <w:r>
              <w:rPr>
                <w:rFonts w:hint="eastAsia" w:ascii="Times New Roman" w:hAnsi="Times New Roman" w:eastAsia="宋体" w:cs="Times New Roman"/>
                <w:color w:val="auto"/>
                <w:sz w:val="24"/>
                <w:szCs w:val="24"/>
                <w:highlight w:val="none"/>
                <w:lang w:val="en-US" w:eastAsia="zh-CN"/>
              </w:rPr>
              <w:t>15</w:t>
            </w:r>
            <w:r>
              <w:rPr>
                <w:rFonts w:hint="eastAsia" w:ascii="Times New Roman" w:hAnsi="Times New Roman" w:eastAsia="宋体" w:cs="Times New Roman"/>
                <w:color w:val="auto"/>
                <w:sz w:val="24"/>
                <w:szCs w:val="24"/>
                <w:highlight w:val="none"/>
                <w:lang w:eastAsia="zh-CN"/>
              </w:rPr>
              <w:t>0万m</w:t>
            </w:r>
            <w:r>
              <w:rPr>
                <w:rFonts w:hint="eastAsia" w:ascii="Times New Roman" w:hAnsi="Times New Roman" w:eastAsia="宋体" w:cs="Times New Roman"/>
                <w:color w:val="auto"/>
                <w:sz w:val="24"/>
                <w:szCs w:val="24"/>
                <w:highlight w:val="none"/>
                <w:vertAlign w:val="superscript"/>
                <w:lang w:eastAsia="zh-CN"/>
              </w:rPr>
              <w:t>2</w:t>
            </w:r>
            <w:r>
              <w:rPr>
                <w:rFonts w:hint="eastAsia" w:ascii="Times New Roman" w:hAnsi="Times New Roman" w:eastAsia="宋体" w:cs="Times New Roman"/>
                <w:color w:val="auto"/>
                <w:sz w:val="24"/>
                <w:szCs w:val="24"/>
                <w:highlight w:val="none"/>
                <w:lang w:eastAsia="zh-CN"/>
              </w:rPr>
              <w:t>，单道干漆膜厚度</w:t>
            </w:r>
            <w:r>
              <w:rPr>
                <w:rFonts w:hint="eastAsia" w:ascii="Times New Roman" w:hAnsi="Times New Roman" w:eastAsia="宋体" w:cs="Times New Roman"/>
                <w:color w:val="auto"/>
                <w:sz w:val="24"/>
                <w:szCs w:val="24"/>
                <w:highlight w:val="none"/>
                <w:lang w:val="en-US" w:eastAsia="zh-CN"/>
              </w:rPr>
              <w:t>6.5</w:t>
            </w:r>
            <w:r>
              <w:rPr>
                <w:rFonts w:hint="default" w:ascii="Times New Roman" w:hAnsi="Times New Roman" w:eastAsia="宋体" w:cs="Times New Roman"/>
                <w:color w:val="auto"/>
                <w:sz w:val="24"/>
                <w:szCs w:val="24"/>
                <w:highlight w:val="none"/>
                <w:lang w:eastAsia="zh-CN"/>
              </w:rPr>
              <w:t>μ</w:t>
            </w:r>
            <w:r>
              <w:rPr>
                <w:rFonts w:hint="default" w:ascii="Times New Roman" w:hAnsi="Times New Roman" w:eastAsia="宋体" w:cs="Times New Roman"/>
                <w:color w:val="auto"/>
                <w:sz w:val="24"/>
                <w:szCs w:val="24"/>
                <w:highlight w:val="none"/>
                <w:lang w:val="en-US" w:eastAsia="zh-CN"/>
              </w:rPr>
              <w:t>m</w:t>
            </w:r>
            <w:r>
              <w:rPr>
                <w:rFonts w:hint="eastAsia" w:ascii="Times New Roman" w:hAnsi="Times New Roman" w:eastAsia="宋体" w:cs="Times New Roman"/>
                <w:color w:val="auto"/>
                <w:sz w:val="24"/>
                <w:szCs w:val="24"/>
                <w:highlight w:val="none"/>
                <w:lang w:eastAsia="zh-CN"/>
              </w:rPr>
              <w:t>，干漆膜密度</w:t>
            </w:r>
            <w:r>
              <w:rPr>
                <w:rFonts w:hint="eastAsia" w:ascii="Times New Roman" w:hAnsi="Times New Roman" w:eastAsia="宋体" w:cs="Times New Roman"/>
                <w:color w:val="auto"/>
                <w:sz w:val="24"/>
                <w:szCs w:val="24"/>
                <w:highlight w:val="none"/>
                <w:lang w:val="en-US" w:eastAsia="zh-CN"/>
              </w:rPr>
              <w:t>1.</w:t>
            </w:r>
            <w:r>
              <w:rPr>
                <w:rFonts w:hint="eastAsia" w:ascii="Times New Roman" w:hAnsi="Times New Roman" w:eastAsia="宋体" w:cs="Times New Roman"/>
                <w:color w:val="auto"/>
                <w:sz w:val="24"/>
                <w:szCs w:val="24"/>
                <w:highlight w:val="none"/>
                <w:lang w:eastAsia="zh-CN"/>
              </w:rPr>
              <w:t>32g/cm</w:t>
            </w:r>
            <w:r>
              <w:rPr>
                <w:rFonts w:hint="eastAsia" w:ascii="Times New Roman" w:hAnsi="Times New Roman" w:eastAsia="宋体" w:cs="Times New Roman"/>
                <w:color w:val="auto"/>
                <w:sz w:val="24"/>
                <w:szCs w:val="24"/>
                <w:highlight w:val="none"/>
                <w:vertAlign w:val="superscript"/>
                <w:lang w:val="en-US" w:eastAsia="zh-CN"/>
              </w:rPr>
              <w:t>3</w:t>
            </w:r>
            <w:r>
              <w:rPr>
                <w:rFonts w:hint="eastAsia" w:ascii="Times New Roman" w:hAnsi="Times New Roman" w:eastAsia="宋体" w:cs="Times New Roman"/>
                <w:color w:val="auto"/>
                <w:sz w:val="24"/>
                <w:szCs w:val="24"/>
                <w:highlight w:val="none"/>
                <w:lang w:eastAsia="zh-CN"/>
              </w:rPr>
              <w:t>，UV底漆使用量为</w:t>
            </w:r>
            <w:r>
              <w:rPr>
                <w:rFonts w:hint="eastAsia" w:ascii="Times New Roman" w:hAnsi="Times New Roman" w:eastAsia="宋体" w:cs="Times New Roman"/>
                <w:color w:val="auto"/>
                <w:sz w:val="24"/>
                <w:szCs w:val="24"/>
                <w:highlight w:val="none"/>
                <w:lang w:val="en-US" w:eastAsia="zh-CN"/>
              </w:rPr>
              <w:t>13.55</w:t>
            </w:r>
            <w:r>
              <w:rPr>
                <w:rFonts w:hint="eastAsia" w:ascii="Times New Roman" w:hAnsi="Times New Roman" w:eastAsia="宋体" w:cs="Times New Roman"/>
                <w:color w:val="auto"/>
                <w:sz w:val="24"/>
                <w:szCs w:val="24"/>
                <w:highlight w:val="none"/>
                <w:lang w:eastAsia="zh-CN"/>
              </w:rPr>
              <w:t>t</w:t>
            </w:r>
            <w:r>
              <w:rPr>
                <w:rFonts w:hint="eastAsia" w:ascii="Times New Roman" w:hAnsi="Times New Roman" w:eastAsia="宋体"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lang w:eastAsia="zh-CN"/>
              </w:rPr>
              <w:t>a，设计使用量为</w:t>
            </w:r>
            <w:r>
              <w:rPr>
                <w:rFonts w:hint="eastAsia" w:ascii="Times New Roman" w:hAnsi="Times New Roman" w:eastAsia="宋体" w:cs="Times New Roman"/>
                <w:color w:val="auto"/>
                <w:sz w:val="24"/>
                <w:szCs w:val="24"/>
                <w:highlight w:val="none"/>
                <w:lang w:val="en-US" w:eastAsia="zh-CN"/>
              </w:rPr>
              <w:t>14.5</w:t>
            </w:r>
            <w:r>
              <w:rPr>
                <w:rFonts w:hint="eastAsia" w:ascii="Times New Roman" w:hAnsi="Times New Roman" w:eastAsia="宋体" w:cs="Times New Roman"/>
                <w:color w:val="auto"/>
                <w:sz w:val="24"/>
                <w:szCs w:val="24"/>
                <w:highlight w:val="none"/>
                <w:lang w:eastAsia="zh-CN"/>
              </w:rPr>
              <w:t>t</w:t>
            </w:r>
            <w:r>
              <w:rPr>
                <w:rFonts w:hint="eastAsia" w:ascii="Times New Roman" w:hAnsi="Times New Roman" w:eastAsia="宋体"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lang w:eastAsia="zh-CN"/>
              </w:rPr>
              <w:t>a。</w:t>
            </w:r>
          </w:p>
          <w:p w14:paraId="72145942">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UV面漆：</w:t>
            </w:r>
            <w:r>
              <w:rPr>
                <w:rFonts w:hint="eastAsia" w:ascii="Times New Roman" w:hAnsi="Times New Roman" w:eastAsia="宋体" w:cs="Times New Roman"/>
                <w:color w:val="auto"/>
                <w:sz w:val="24"/>
                <w:szCs w:val="24"/>
                <w:lang w:eastAsia="zh-CN"/>
              </w:rPr>
              <w:t>项目木地板规格</w:t>
            </w:r>
            <w:r>
              <w:rPr>
                <w:rFonts w:hint="eastAsia" w:eastAsia="宋体"/>
                <w:color w:val="auto"/>
                <w:kern w:val="0"/>
                <w:sz w:val="24"/>
                <w:szCs w:val="24"/>
                <w:highlight w:val="none"/>
                <w:lang w:val="en-US" w:eastAsia="zh-CN"/>
              </w:rPr>
              <w:t>1810mm长、60-90mm宽、18-20mm厚</w:t>
            </w: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eastAsia="zh-CN"/>
              </w:rPr>
              <w:t>年产木地板</w:t>
            </w:r>
            <w:r>
              <w:rPr>
                <w:rFonts w:hint="eastAsia" w:ascii="Times New Roman" w:hAnsi="Times New Roman" w:eastAsia="宋体" w:cs="Times New Roman"/>
                <w:color w:val="auto"/>
                <w:sz w:val="24"/>
                <w:szCs w:val="24"/>
                <w:lang w:val="en-US" w:eastAsia="zh-CN"/>
              </w:rPr>
              <w:t>15</w:t>
            </w:r>
            <w:r>
              <w:rPr>
                <w:rFonts w:hint="eastAsia" w:ascii="Times New Roman" w:hAnsi="Times New Roman" w:eastAsia="宋体" w:cs="Times New Roman"/>
                <w:color w:val="auto"/>
                <w:sz w:val="24"/>
                <w:szCs w:val="24"/>
                <w:lang w:eastAsia="zh-CN"/>
              </w:rPr>
              <w:t>万m</w:t>
            </w:r>
            <w:r>
              <w:rPr>
                <w:rFonts w:hint="eastAsia" w:ascii="Times New Roman" w:hAnsi="Times New Roman" w:eastAsia="宋体" w:cs="Times New Roman"/>
                <w:color w:val="auto"/>
                <w:sz w:val="24"/>
                <w:szCs w:val="24"/>
                <w:vertAlign w:val="superscript"/>
                <w:lang w:eastAsia="zh-CN"/>
              </w:rPr>
              <w:t>2</w:t>
            </w:r>
            <w:r>
              <w:rPr>
                <w:rFonts w:hint="eastAsia" w:ascii="Times New Roman" w:hAnsi="Times New Roman" w:eastAsia="宋体" w:cs="Times New Roman"/>
                <w:color w:val="auto"/>
                <w:sz w:val="24"/>
                <w:szCs w:val="24"/>
                <w:lang w:eastAsia="zh-CN"/>
              </w:rPr>
              <w:t>采用</w:t>
            </w:r>
            <w:r>
              <w:rPr>
                <w:rFonts w:hint="eastAsia" w:ascii="Times New Roman" w:hAnsi="Times New Roman" w:eastAsia="宋体" w:cs="Times New Roman"/>
                <w:color w:val="auto"/>
                <w:sz w:val="24"/>
                <w:szCs w:val="24"/>
                <w:lang w:val="en-US" w:eastAsia="zh-CN"/>
              </w:rPr>
              <w:t>2</w:t>
            </w:r>
            <w:r>
              <w:rPr>
                <w:rFonts w:hint="eastAsia" w:ascii="Times New Roman" w:hAnsi="Times New Roman" w:eastAsia="宋体" w:cs="Times New Roman"/>
                <w:color w:val="auto"/>
                <w:sz w:val="24"/>
                <w:szCs w:val="24"/>
                <w:lang w:eastAsia="zh-CN"/>
              </w:rPr>
              <w:t>道正反UV底漆辊涂，即辊涂面积为</w:t>
            </w:r>
            <w:r>
              <w:rPr>
                <w:rFonts w:hint="eastAsia" w:ascii="Times New Roman" w:hAnsi="Times New Roman" w:eastAsia="宋体" w:cs="Times New Roman"/>
                <w:color w:val="auto"/>
                <w:sz w:val="24"/>
                <w:szCs w:val="24"/>
                <w:lang w:val="en-US" w:eastAsia="zh-CN"/>
              </w:rPr>
              <w:t>60</w:t>
            </w:r>
            <w:r>
              <w:rPr>
                <w:rFonts w:hint="eastAsia" w:ascii="Times New Roman" w:hAnsi="Times New Roman" w:eastAsia="宋体" w:cs="Times New Roman"/>
                <w:color w:val="auto"/>
                <w:sz w:val="24"/>
                <w:szCs w:val="24"/>
                <w:lang w:eastAsia="zh-CN"/>
              </w:rPr>
              <w:t>万m</w:t>
            </w:r>
            <w:r>
              <w:rPr>
                <w:rFonts w:hint="eastAsia" w:ascii="Times New Roman" w:hAnsi="Times New Roman" w:eastAsia="宋体" w:cs="Times New Roman"/>
                <w:color w:val="auto"/>
                <w:sz w:val="24"/>
                <w:szCs w:val="24"/>
                <w:vertAlign w:val="superscript"/>
                <w:lang w:eastAsia="zh-CN"/>
              </w:rPr>
              <w:t>2</w:t>
            </w:r>
            <w:r>
              <w:rPr>
                <w:rFonts w:hint="eastAsia" w:ascii="Times New Roman" w:hAnsi="Times New Roman" w:eastAsia="宋体" w:cs="Times New Roman"/>
                <w:color w:val="auto"/>
                <w:sz w:val="24"/>
                <w:szCs w:val="24"/>
                <w:lang w:eastAsia="zh-CN"/>
              </w:rPr>
              <w:t>，干漆膜厚度</w:t>
            </w:r>
            <w:r>
              <w:rPr>
                <w:rFonts w:hint="eastAsia" w:ascii="Times New Roman" w:hAnsi="Times New Roman" w:eastAsia="宋体" w:cs="Times New Roman"/>
                <w:color w:val="auto"/>
                <w:sz w:val="24"/>
                <w:szCs w:val="24"/>
                <w:lang w:val="en-US" w:eastAsia="zh-CN"/>
              </w:rPr>
              <w:t>3</w:t>
            </w:r>
            <w:r>
              <w:rPr>
                <w:rFonts w:hint="default" w:ascii="Times New Roman" w:hAnsi="Times New Roman" w:eastAsia="宋体" w:cs="Times New Roman"/>
                <w:color w:val="auto"/>
                <w:sz w:val="24"/>
                <w:szCs w:val="24"/>
                <w:lang w:eastAsia="zh-CN"/>
              </w:rPr>
              <w:t>μ</w:t>
            </w:r>
            <w:r>
              <w:rPr>
                <w:rFonts w:hint="default" w:ascii="Times New Roman" w:hAnsi="Times New Roman" w:eastAsia="宋体" w:cs="Times New Roman"/>
                <w:color w:val="auto"/>
                <w:sz w:val="24"/>
                <w:szCs w:val="24"/>
                <w:lang w:val="en-US" w:eastAsia="zh-CN"/>
              </w:rPr>
              <w:t>m</w:t>
            </w:r>
            <w:r>
              <w:rPr>
                <w:rFonts w:hint="eastAsia" w:ascii="Times New Roman" w:hAnsi="Times New Roman" w:eastAsia="宋体" w:cs="Times New Roman"/>
                <w:color w:val="auto"/>
                <w:sz w:val="24"/>
                <w:szCs w:val="24"/>
                <w:lang w:eastAsia="zh-CN"/>
              </w:rPr>
              <w:t>，干漆膜密度1.</w:t>
            </w:r>
            <w:r>
              <w:rPr>
                <w:rFonts w:hint="eastAsia" w:ascii="Times New Roman" w:hAnsi="Times New Roman" w:eastAsia="宋体" w:cs="Times New Roman"/>
                <w:color w:val="auto"/>
                <w:sz w:val="24"/>
                <w:szCs w:val="24"/>
                <w:lang w:val="en-US" w:eastAsia="zh-CN"/>
              </w:rPr>
              <w:t>25</w:t>
            </w:r>
            <w:r>
              <w:rPr>
                <w:rFonts w:hint="eastAsia" w:ascii="Times New Roman" w:hAnsi="Times New Roman" w:eastAsia="宋体" w:cs="Times New Roman"/>
                <w:color w:val="auto"/>
                <w:sz w:val="24"/>
                <w:szCs w:val="24"/>
                <w:lang w:eastAsia="zh-CN"/>
              </w:rPr>
              <w:t>g/cm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eastAsia="zh-CN"/>
              </w:rPr>
              <w:t>，UV面</w:t>
            </w:r>
            <w:r>
              <w:rPr>
                <w:rFonts w:hint="eastAsia" w:ascii="Times New Roman" w:hAnsi="Times New Roman" w:eastAsia="宋体" w:cs="Times New Roman"/>
                <w:color w:val="auto"/>
                <w:sz w:val="24"/>
                <w:szCs w:val="24"/>
                <w:lang w:eastAsia="zh-CN"/>
              </w:rPr>
              <w:t>漆</w:t>
            </w:r>
            <w:r>
              <w:rPr>
                <w:rFonts w:hint="eastAsia" w:ascii="Times New Roman" w:hAnsi="Times New Roman" w:eastAsia="宋体" w:cs="Times New Roman"/>
                <w:color w:val="auto"/>
                <w:sz w:val="24"/>
                <w:szCs w:val="24"/>
                <w:lang w:eastAsia="zh-CN"/>
              </w:rPr>
              <w:t>使用量为</w:t>
            </w:r>
            <w:r>
              <w:rPr>
                <w:rFonts w:hint="eastAsia" w:ascii="Times New Roman" w:hAnsi="Times New Roman" w:eastAsia="宋体" w:cs="Times New Roman"/>
                <w:color w:val="auto"/>
                <w:sz w:val="24"/>
                <w:szCs w:val="24"/>
                <w:lang w:val="en-US" w:eastAsia="zh-CN"/>
              </w:rPr>
              <w:t>2.37</w:t>
            </w:r>
            <w:r>
              <w:rPr>
                <w:rFonts w:hint="eastAsia" w:ascii="Times New Roman" w:hAnsi="Times New Roman" w:eastAsia="宋体" w:cs="Times New Roman"/>
                <w:color w:val="auto"/>
                <w:sz w:val="24"/>
                <w:szCs w:val="24"/>
                <w:lang w:eastAsia="zh-CN"/>
              </w:rPr>
              <w:t>t</w:t>
            </w:r>
            <w:r>
              <w:rPr>
                <w:rFonts w:hint="eastAsia" w:ascii="Times New Roman" w:hAnsi="Times New Roman" w:eastAsia="宋体" w:cs="Times New Roman"/>
                <w:color w:val="auto"/>
                <w:sz w:val="24"/>
                <w:szCs w:val="24"/>
                <w:lang w:val="en-US" w:eastAsia="zh-CN"/>
              </w:rPr>
              <w:t>/</w:t>
            </w:r>
            <w:r>
              <w:rPr>
                <w:rFonts w:hint="eastAsia" w:ascii="Times New Roman" w:hAnsi="Times New Roman" w:eastAsia="宋体" w:cs="Times New Roman"/>
                <w:color w:val="auto"/>
                <w:sz w:val="24"/>
                <w:szCs w:val="24"/>
                <w:lang w:eastAsia="zh-CN"/>
              </w:rPr>
              <w:t>a，折算固含后使用为</w:t>
            </w:r>
            <w:r>
              <w:rPr>
                <w:rFonts w:hint="eastAsia" w:ascii="Times New Roman" w:hAnsi="Times New Roman" w:eastAsia="宋体" w:cs="Times New Roman"/>
                <w:color w:val="auto"/>
                <w:sz w:val="24"/>
                <w:szCs w:val="24"/>
                <w:lang w:val="en-US" w:eastAsia="zh-CN"/>
              </w:rPr>
              <w:t>2.5</w:t>
            </w:r>
            <w:r>
              <w:rPr>
                <w:rFonts w:hint="eastAsia" w:ascii="Times New Roman" w:hAnsi="Times New Roman" w:eastAsia="宋体" w:cs="Times New Roman"/>
                <w:color w:val="auto"/>
                <w:sz w:val="24"/>
                <w:szCs w:val="24"/>
                <w:lang w:eastAsia="zh-CN"/>
              </w:rPr>
              <w:t>t/a。</w:t>
            </w:r>
          </w:p>
          <w:p w14:paraId="1A237EB5">
            <w:pPr>
              <w:pStyle w:val="68"/>
              <w:numPr>
                <w:ilvl w:val="0"/>
                <w:numId w:val="13"/>
              </w:numPr>
              <w:spacing w:line="360" w:lineRule="auto"/>
              <w:ind w:left="0" w:leftChars="0" w:firstLine="0" w:firstLineChars="0"/>
              <w:jc w:val="center"/>
              <w:rPr>
                <w:rFonts w:hint="eastAsia" w:ascii="Times New Roman" w:hAnsi="Times New Roman" w:eastAsia="宋体" w:cs="Times New Roman"/>
                <w:color w:val="auto"/>
                <w:sz w:val="24"/>
                <w:szCs w:val="24"/>
                <w:lang w:eastAsia="zh-CN"/>
              </w:rPr>
            </w:pPr>
            <w:r>
              <w:rPr>
                <w:rFonts w:hint="eastAsia" w:ascii="Times New Roman" w:hAnsi="Times New Roman" w:eastAsia="宋体" w:cs="Times New Roman"/>
                <w:color w:val="auto"/>
                <w:highlight w:val="none"/>
                <w:lang w:val="en-US" w:eastAsia="zh-CN"/>
              </w:rPr>
              <w:t xml:space="preserve"> 辊涂面积核算表</w:t>
            </w:r>
          </w:p>
          <w:tbl>
            <w:tblPr>
              <w:tblStyle w:val="2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17"/>
              <w:gridCol w:w="997"/>
              <w:gridCol w:w="1367"/>
              <w:gridCol w:w="2169"/>
              <w:gridCol w:w="2155"/>
            </w:tblGrid>
            <w:tr w14:paraId="104B35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021" w:type="pct"/>
                  <w:noWrap w:val="0"/>
                  <w:vAlign w:val="center"/>
                </w:tcPr>
                <w:p w14:paraId="49ED0255">
                  <w:pPr>
                    <w:tabs>
                      <w:tab w:val="left" w:pos="7890"/>
                    </w:tabs>
                    <w:spacing w:line="240" w:lineRule="auto"/>
                    <w:jc w:val="center"/>
                    <w:rPr>
                      <w:b/>
                      <w:color w:val="auto"/>
                      <w:sz w:val="21"/>
                      <w:szCs w:val="21"/>
                    </w:rPr>
                  </w:pPr>
                  <w:r>
                    <w:rPr>
                      <w:b/>
                      <w:color w:val="auto"/>
                      <w:sz w:val="21"/>
                      <w:szCs w:val="21"/>
                    </w:rPr>
                    <w:t>涂料品种</w:t>
                  </w:r>
                </w:p>
              </w:tc>
              <w:tc>
                <w:tcPr>
                  <w:tcW w:w="593" w:type="pct"/>
                  <w:noWrap w:val="0"/>
                  <w:vAlign w:val="center"/>
                </w:tcPr>
                <w:p w14:paraId="299E6781">
                  <w:pPr>
                    <w:tabs>
                      <w:tab w:val="left" w:pos="7890"/>
                    </w:tabs>
                    <w:spacing w:line="240" w:lineRule="auto"/>
                    <w:jc w:val="center"/>
                    <w:rPr>
                      <w:b/>
                      <w:color w:val="auto"/>
                      <w:sz w:val="21"/>
                      <w:szCs w:val="21"/>
                    </w:rPr>
                  </w:pPr>
                  <w:r>
                    <w:rPr>
                      <w:b/>
                      <w:color w:val="auto"/>
                      <w:sz w:val="21"/>
                      <w:szCs w:val="21"/>
                    </w:rPr>
                    <w:t>喷涂面</w:t>
                  </w:r>
                </w:p>
              </w:tc>
              <w:tc>
                <w:tcPr>
                  <w:tcW w:w="813" w:type="pct"/>
                  <w:noWrap w:val="0"/>
                  <w:vAlign w:val="center"/>
                </w:tcPr>
                <w:p w14:paraId="4E83BA82">
                  <w:pPr>
                    <w:tabs>
                      <w:tab w:val="left" w:pos="7890"/>
                    </w:tabs>
                    <w:spacing w:line="240" w:lineRule="auto"/>
                    <w:jc w:val="center"/>
                    <w:rPr>
                      <w:b/>
                      <w:color w:val="auto"/>
                      <w:sz w:val="21"/>
                      <w:szCs w:val="21"/>
                    </w:rPr>
                  </w:pPr>
                  <w:r>
                    <w:rPr>
                      <w:rFonts w:hint="eastAsia"/>
                      <w:b/>
                      <w:color w:val="auto"/>
                      <w:sz w:val="21"/>
                      <w:szCs w:val="21"/>
                    </w:rPr>
                    <w:t>辊涂</w:t>
                  </w:r>
                  <w:r>
                    <w:rPr>
                      <w:b/>
                      <w:color w:val="auto"/>
                      <w:sz w:val="21"/>
                      <w:szCs w:val="21"/>
                    </w:rPr>
                    <w:t>道数</w:t>
                  </w:r>
                </w:p>
              </w:tc>
              <w:tc>
                <w:tcPr>
                  <w:tcW w:w="1290" w:type="pct"/>
                  <w:noWrap w:val="0"/>
                  <w:vAlign w:val="center"/>
                </w:tcPr>
                <w:p w14:paraId="20259694">
                  <w:pPr>
                    <w:tabs>
                      <w:tab w:val="left" w:pos="7890"/>
                    </w:tabs>
                    <w:spacing w:line="240" w:lineRule="auto"/>
                    <w:jc w:val="center"/>
                    <w:rPr>
                      <w:b/>
                      <w:color w:val="auto"/>
                      <w:sz w:val="21"/>
                      <w:szCs w:val="21"/>
                    </w:rPr>
                  </w:pPr>
                  <w:r>
                    <w:rPr>
                      <w:rFonts w:hint="eastAsia"/>
                      <w:b/>
                      <w:color w:val="auto"/>
                      <w:sz w:val="21"/>
                      <w:szCs w:val="21"/>
                    </w:rPr>
                    <w:t>单道辊涂</w:t>
                  </w:r>
                  <w:r>
                    <w:rPr>
                      <w:b/>
                      <w:color w:val="auto"/>
                      <w:sz w:val="21"/>
                      <w:szCs w:val="21"/>
                    </w:rPr>
                    <w:t>面积（m</w:t>
                  </w:r>
                  <w:r>
                    <w:rPr>
                      <w:b/>
                      <w:color w:val="auto"/>
                      <w:sz w:val="21"/>
                      <w:szCs w:val="21"/>
                      <w:vertAlign w:val="superscript"/>
                    </w:rPr>
                    <w:t>2</w:t>
                  </w:r>
                  <w:r>
                    <w:rPr>
                      <w:b/>
                      <w:color w:val="auto"/>
                      <w:sz w:val="21"/>
                      <w:szCs w:val="21"/>
                    </w:rPr>
                    <w:t>）</w:t>
                  </w:r>
                </w:p>
              </w:tc>
              <w:tc>
                <w:tcPr>
                  <w:tcW w:w="1281" w:type="pct"/>
                  <w:noWrap w:val="0"/>
                  <w:vAlign w:val="center"/>
                </w:tcPr>
                <w:p w14:paraId="01377C7C">
                  <w:pPr>
                    <w:tabs>
                      <w:tab w:val="left" w:pos="7890"/>
                    </w:tabs>
                    <w:spacing w:line="240" w:lineRule="auto"/>
                    <w:jc w:val="center"/>
                    <w:rPr>
                      <w:rFonts w:hint="eastAsia"/>
                      <w:b/>
                      <w:color w:val="auto"/>
                      <w:sz w:val="21"/>
                      <w:szCs w:val="21"/>
                    </w:rPr>
                  </w:pPr>
                  <w:r>
                    <w:rPr>
                      <w:rFonts w:hint="eastAsia"/>
                      <w:b/>
                      <w:color w:val="auto"/>
                      <w:sz w:val="21"/>
                      <w:szCs w:val="21"/>
                    </w:rPr>
                    <w:t>合计</w:t>
                  </w:r>
                  <w:r>
                    <w:rPr>
                      <w:b/>
                      <w:color w:val="auto"/>
                      <w:sz w:val="21"/>
                      <w:szCs w:val="21"/>
                    </w:rPr>
                    <w:t>涂装面积（m</w:t>
                  </w:r>
                  <w:r>
                    <w:rPr>
                      <w:b/>
                      <w:color w:val="auto"/>
                      <w:sz w:val="21"/>
                      <w:szCs w:val="21"/>
                      <w:vertAlign w:val="superscript"/>
                    </w:rPr>
                    <w:t>2</w:t>
                  </w:r>
                  <w:r>
                    <w:rPr>
                      <w:b/>
                      <w:color w:val="auto"/>
                      <w:sz w:val="21"/>
                      <w:szCs w:val="21"/>
                    </w:rPr>
                    <w:t>）</w:t>
                  </w:r>
                </w:p>
              </w:tc>
            </w:tr>
            <w:tr w14:paraId="1DC192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021" w:type="pct"/>
                  <w:noWrap w:val="0"/>
                  <w:vAlign w:val="center"/>
                </w:tcPr>
                <w:p w14:paraId="4D4F8CBE">
                  <w:pPr>
                    <w:widowControl/>
                    <w:spacing w:line="240" w:lineRule="auto"/>
                    <w:jc w:val="center"/>
                    <w:rPr>
                      <w:bCs/>
                      <w:color w:val="auto"/>
                      <w:sz w:val="21"/>
                      <w:szCs w:val="21"/>
                    </w:rPr>
                  </w:pPr>
                  <w:r>
                    <w:rPr>
                      <w:rFonts w:hint="eastAsia"/>
                      <w:color w:val="auto"/>
                      <w:sz w:val="21"/>
                      <w:szCs w:val="21"/>
                    </w:rPr>
                    <w:t>UV底漆</w:t>
                  </w:r>
                </w:p>
              </w:tc>
              <w:tc>
                <w:tcPr>
                  <w:tcW w:w="593" w:type="pct"/>
                  <w:noWrap w:val="0"/>
                  <w:vAlign w:val="center"/>
                </w:tcPr>
                <w:p w14:paraId="1DC36B92">
                  <w:pPr>
                    <w:widowControl/>
                    <w:spacing w:line="240" w:lineRule="auto"/>
                    <w:jc w:val="center"/>
                    <w:textAlignment w:val="center"/>
                    <w:rPr>
                      <w:color w:val="auto"/>
                      <w:sz w:val="21"/>
                      <w:szCs w:val="21"/>
                    </w:rPr>
                  </w:pPr>
                  <w:r>
                    <w:rPr>
                      <w:rFonts w:hint="eastAsia"/>
                      <w:color w:val="auto"/>
                      <w:kern w:val="0"/>
                      <w:sz w:val="21"/>
                      <w:szCs w:val="21"/>
                      <w:lang w:eastAsia="zh-CN" w:bidi="ar"/>
                    </w:rPr>
                    <w:t>双</w:t>
                  </w:r>
                  <w:r>
                    <w:rPr>
                      <w:rFonts w:hint="eastAsia"/>
                      <w:color w:val="auto"/>
                      <w:kern w:val="0"/>
                      <w:sz w:val="21"/>
                      <w:szCs w:val="21"/>
                      <w:lang w:bidi="ar"/>
                    </w:rPr>
                    <w:t>面</w:t>
                  </w:r>
                </w:p>
              </w:tc>
              <w:tc>
                <w:tcPr>
                  <w:tcW w:w="813" w:type="pct"/>
                  <w:noWrap w:val="0"/>
                  <w:vAlign w:val="center"/>
                </w:tcPr>
                <w:p w14:paraId="6F21ED42">
                  <w:pPr>
                    <w:tabs>
                      <w:tab w:val="left" w:pos="7890"/>
                    </w:tabs>
                    <w:spacing w:line="240" w:lineRule="auto"/>
                    <w:jc w:val="center"/>
                    <w:rPr>
                      <w:rFonts w:hint="eastAsia" w:eastAsia="宋体"/>
                      <w:bCs/>
                      <w:color w:val="auto"/>
                      <w:sz w:val="21"/>
                      <w:szCs w:val="21"/>
                      <w:lang w:eastAsia="zh-CN"/>
                    </w:rPr>
                  </w:pPr>
                  <w:r>
                    <w:rPr>
                      <w:rFonts w:hint="eastAsia"/>
                      <w:bCs/>
                      <w:color w:val="auto"/>
                      <w:sz w:val="21"/>
                      <w:szCs w:val="21"/>
                      <w:lang w:val="en-US" w:eastAsia="zh-CN"/>
                    </w:rPr>
                    <w:t>5</w:t>
                  </w:r>
                </w:p>
              </w:tc>
              <w:tc>
                <w:tcPr>
                  <w:tcW w:w="1290" w:type="pct"/>
                  <w:noWrap w:val="0"/>
                  <w:vAlign w:val="center"/>
                </w:tcPr>
                <w:p w14:paraId="43C88789">
                  <w:pPr>
                    <w:tabs>
                      <w:tab w:val="left" w:pos="7890"/>
                    </w:tabs>
                    <w:spacing w:line="240" w:lineRule="auto"/>
                    <w:jc w:val="center"/>
                    <w:rPr>
                      <w:rFonts w:hint="default"/>
                      <w:bCs/>
                      <w:color w:val="auto"/>
                      <w:sz w:val="21"/>
                      <w:szCs w:val="21"/>
                      <w:lang w:val="en-US"/>
                    </w:rPr>
                  </w:pPr>
                  <w:r>
                    <w:rPr>
                      <w:rFonts w:hint="eastAsia"/>
                      <w:bCs/>
                      <w:color w:val="auto"/>
                      <w:sz w:val="21"/>
                      <w:szCs w:val="21"/>
                      <w:lang w:val="en-US" w:eastAsia="zh-CN"/>
                    </w:rPr>
                    <w:t>150000</w:t>
                  </w:r>
                </w:p>
              </w:tc>
              <w:tc>
                <w:tcPr>
                  <w:tcW w:w="1281" w:type="pct"/>
                  <w:noWrap w:val="0"/>
                  <w:vAlign w:val="center"/>
                </w:tcPr>
                <w:p w14:paraId="6741A992">
                  <w:pPr>
                    <w:tabs>
                      <w:tab w:val="left" w:pos="7890"/>
                    </w:tabs>
                    <w:spacing w:line="240" w:lineRule="auto"/>
                    <w:jc w:val="center"/>
                    <w:rPr>
                      <w:rFonts w:hint="default"/>
                      <w:bCs/>
                      <w:color w:val="auto"/>
                      <w:sz w:val="21"/>
                      <w:szCs w:val="21"/>
                      <w:lang w:val="en-US"/>
                    </w:rPr>
                  </w:pPr>
                  <w:r>
                    <w:rPr>
                      <w:rFonts w:hint="eastAsia"/>
                      <w:bCs/>
                      <w:color w:val="auto"/>
                      <w:sz w:val="21"/>
                      <w:szCs w:val="21"/>
                      <w:lang w:val="en-US" w:eastAsia="zh-CN"/>
                    </w:rPr>
                    <w:t>1500000</w:t>
                  </w:r>
                </w:p>
              </w:tc>
            </w:tr>
            <w:tr w14:paraId="50BCA9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021" w:type="pct"/>
                  <w:noWrap w:val="0"/>
                  <w:vAlign w:val="center"/>
                </w:tcPr>
                <w:p w14:paraId="743F3207">
                  <w:pPr>
                    <w:widowControl/>
                    <w:spacing w:line="240" w:lineRule="auto"/>
                    <w:jc w:val="center"/>
                    <w:rPr>
                      <w:bCs/>
                      <w:color w:val="auto"/>
                      <w:sz w:val="21"/>
                      <w:szCs w:val="21"/>
                    </w:rPr>
                  </w:pPr>
                  <w:r>
                    <w:rPr>
                      <w:rFonts w:hint="eastAsia"/>
                      <w:color w:val="auto"/>
                      <w:sz w:val="21"/>
                      <w:szCs w:val="21"/>
                    </w:rPr>
                    <w:t>UV面漆</w:t>
                  </w:r>
                </w:p>
              </w:tc>
              <w:tc>
                <w:tcPr>
                  <w:tcW w:w="593" w:type="pct"/>
                  <w:noWrap w:val="0"/>
                  <w:vAlign w:val="center"/>
                </w:tcPr>
                <w:p w14:paraId="37CA7956">
                  <w:pPr>
                    <w:widowControl/>
                    <w:spacing w:line="240" w:lineRule="auto"/>
                    <w:jc w:val="center"/>
                    <w:textAlignment w:val="center"/>
                    <w:rPr>
                      <w:color w:val="auto"/>
                      <w:sz w:val="21"/>
                      <w:szCs w:val="21"/>
                    </w:rPr>
                  </w:pPr>
                  <w:r>
                    <w:rPr>
                      <w:rFonts w:hint="eastAsia"/>
                      <w:color w:val="auto"/>
                      <w:kern w:val="0"/>
                      <w:sz w:val="21"/>
                      <w:szCs w:val="21"/>
                      <w:lang w:eastAsia="zh-CN" w:bidi="ar"/>
                    </w:rPr>
                    <w:t>双</w:t>
                  </w:r>
                  <w:r>
                    <w:rPr>
                      <w:rFonts w:hint="eastAsia"/>
                      <w:color w:val="auto"/>
                      <w:kern w:val="0"/>
                      <w:sz w:val="21"/>
                      <w:szCs w:val="21"/>
                      <w:lang w:bidi="ar"/>
                    </w:rPr>
                    <w:t>面</w:t>
                  </w:r>
                </w:p>
              </w:tc>
              <w:tc>
                <w:tcPr>
                  <w:tcW w:w="813" w:type="pct"/>
                  <w:noWrap w:val="0"/>
                  <w:vAlign w:val="center"/>
                </w:tcPr>
                <w:p w14:paraId="5E900130">
                  <w:pPr>
                    <w:tabs>
                      <w:tab w:val="left" w:pos="7890"/>
                    </w:tabs>
                    <w:spacing w:line="240" w:lineRule="auto"/>
                    <w:jc w:val="center"/>
                    <w:rPr>
                      <w:rFonts w:hint="eastAsia" w:eastAsia="宋体"/>
                      <w:bCs/>
                      <w:color w:val="auto"/>
                      <w:sz w:val="21"/>
                      <w:szCs w:val="21"/>
                      <w:lang w:eastAsia="zh-CN"/>
                    </w:rPr>
                  </w:pPr>
                  <w:r>
                    <w:rPr>
                      <w:rFonts w:hint="eastAsia"/>
                      <w:bCs/>
                      <w:color w:val="auto"/>
                      <w:sz w:val="21"/>
                      <w:szCs w:val="21"/>
                      <w:lang w:val="en-US" w:eastAsia="zh-CN"/>
                    </w:rPr>
                    <w:t>2</w:t>
                  </w:r>
                </w:p>
              </w:tc>
              <w:tc>
                <w:tcPr>
                  <w:tcW w:w="1290" w:type="pct"/>
                  <w:noWrap w:val="0"/>
                  <w:vAlign w:val="center"/>
                </w:tcPr>
                <w:p w14:paraId="64467971">
                  <w:pPr>
                    <w:tabs>
                      <w:tab w:val="left" w:pos="7890"/>
                    </w:tabs>
                    <w:spacing w:line="240" w:lineRule="auto"/>
                    <w:jc w:val="center"/>
                    <w:rPr>
                      <w:bCs/>
                      <w:color w:val="auto"/>
                      <w:sz w:val="21"/>
                      <w:szCs w:val="21"/>
                    </w:rPr>
                  </w:pPr>
                  <w:r>
                    <w:rPr>
                      <w:rFonts w:hint="eastAsia"/>
                      <w:bCs/>
                      <w:color w:val="auto"/>
                      <w:sz w:val="21"/>
                      <w:szCs w:val="21"/>
                      <w:lang w:val="en-US" w:eastAsia="zh-CN"/>
                    </w:rPr>
                    <w:t>150000</w:t>
                  </w:r>
                </w:p>
              </w:tc>
              <w:tc>
                <w:tcPr>
                  <w:tcW w:w="1281" w:type="pct"/>
                  <w:noWrap w:val="0"/>
                  <w:vAlign w:val="center"/>
                </w:tcPr>
                <w:p w14:paraId="4049B7C4">
                  <w:pPr>
                    <w:tabs>
                      <w:tab w:val="left" w:pos="7890"/>
                    </w:tabs>
                    <w:spacing w:line="240" w:lineRule="auto"/>
                    <w:jc w:val="center"/>
                    <w:rPr>
                      <w:rFonts w:hint="default"/>
                      <w:bCs/>
                      <w:color w:val="auto"/>
                      <w:sz w:val="21"/>
                      <w:szCs w:val="21"/>
                      <w:lang w:val="en-US"/>
                    </w:rPr>
                  </w:pPr>
                  <w:r>
                    <w:rPr>
                      <w:rFonts w:hint="eastAsia"/>
                      <w:bCs/>
                      <w:color w:val="auto"/>
                      <w:sz w:val="21"/>
                      <w:szCs w:val="21"/>
                      <w:lang w:val="en-US" w:eastAsia="zh-CN"/>
                    </w:rPr>
                    <w:t>600000</w:t>
                  </w:r>
                </w:p>
              </w:tc>
            </w:tr>
          </w:tbl>
          <w:p w14:paraId="33EED968">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Times New Roman" w:hAnsi="Times New Roman" w:eastAsia="宋体" w:cs="Times New Roman"/>
                <w:color w:val="auto"/>
                <w:sz w:val="24"/>
                <w:szCs w:val="24"/>
                <w:lang w:eastAsia="zh-CN"/>
              </w:rPr>
            </w:pPr>
          </w:p>
          <w:p w14:paraId="3456E08D">
            <w:pPr>
              <w:pStyle w:val="68"/>
              <w:numPr>
                <w:ilvl w:val="0"/>
                <w:numId w:val="13"/>
              </w:numPr>
              <w:spacing w:line="360" w:lineRule="auto"/>
              <w:ind w:left="0" w:leftChars="0" w:firstLine="0" w:firstLineChars="0"/>
              <w:jc w:val="center"/>
              <w:rPr>
                <w:rFonts w:hint="eastAsia" w:ascii="Times New Roman" w:hAnsi="Times New Roman" w:eastAsia="宋体" w:cs="Times New Roman"/>
                <w:color w:val="auto"/>
                <w:sz w:val="24"/>
                <w:szCs w:val="24"/>
                <w:lang w:eastAsia="zh-CN"/>
              </w:rPr>
            </w:pPr>
            <w:r>
              <w:rPr>
                <w:rFonts w:hint="eastAsia" w:ascii="Times New Roman" w:hAnsi="Times New Roman" w:eastAsia="宋体" w:cs="Times New Roman"/>
                <w:color w:val="auto"/>
                <w:highlight w:val="none"/>
                <w:lang w:val="en-US" w:eastAsia="zh-CN"/>
              </w:rPr>
              <w:t xml:space="preserve"> 漆料消耗量核算表</w:t>
            </w:r>
          </w:p>
          <w:tbl>
            <w:tblPr>
              <w:tblStyle w:val="25"/>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06"/>
              <w:gridCol w:w="930"/>
              <w:gridCol w:w="797"/>
              <w:gridCol w:w="1105"/>
              <w:gridCol w:w="1212"/>
              <w:gridCol w:w="1204"/>
              <w:gridCol w:w="1162"/>
              <w:gridCol w:w="985"/>
            </w:tblGrid>
            <w:tr w14:paraId="54F244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599" w:type="pct"/>
                  <w:noWrap w:val="0"/>
                  <w:vAlign w:val="center"/>
                </w:tcPr>
                <w:p w14:paraId="558EDD56">
                  <w:pPr>
                    <w:tabs>
                      <w:tab w:val="left" w:pos="7890"/>
                    </w:tabs>
                    <w:spacing w:line="240" w:lineRule="auto"/>
                    <w:jc w:val="center"/>
                    <w:rPr>
                      <w:b/>
                      <w:color w:val="auto"/>
                      <w:sz w:val="21"/>
                      <w:szCs w:val="21"/>
                    </w:rPr>
                  </w:pPr>
                  <w:r>
                    <w:rPr>
                      <w:b/>
                      <w:color w:val="auto"/>
                      <w:sz w:val="21"/>
                      <w:szCs w:val="21"/>
                    </w:rPr>
                    <w:t>涂料品种</w:t>
                  </w:r>
                </w:p>
              </w:tc>
              <w:tc>
                <w:tcPr>
                  <w:tcW w:w="553" w:type="pct"/>
                  <w:noWrap w:val="0"/>
                  <w:vAlign w:val="center"/>
                </w:tcPr>
                <w:p w14:paraId="61D3575F">
                  <w:pPr>
                    <w:tabs>
                      <w:tab w:val="left" w:pos="7890"/>
                    </w:tabs>
                    <w:spacing w:line="240" w:lineRule="auto"/>
                    <w:jc w:val="center"/>
                    <w:rPr>
                      <w:rFonts w:hint="eastAsia"/>
                      <w:b/>
                      <w:color w:val="auto"/>
                      <w:sz w:val="21"/>
                      <w:szCs w:val="21"/>
                    </w:rPr>
                  </w:pPr>
                  <w:r>
                    <w:rPr>
                      <w:rFonts w:hint="eastAsia"/>
                      <w:b/>
                      <w:color w:val="auto"/>
                      <w:sz w:val="21"/>
                      <w:szCs w:val="21"/>
                    </w:rPr>
                    <w:t>辊涂上漆率</w:t>
                  </w:r>
                </w:p>
              </w:tc>
              <w:tc>
                <w:tcPr>
                  <w:tcW w:w="474" w:type="pct"/>
                  <w:noWrap w:val="0"/>
                  <w:vAlign w:val="center"/>
                </w:tcPr>
                <w:p w14:paraId="4CB04AB5">
                  <w:pPr>
                    <w:tabs>
                      <w:tab w:val="left" w:pos="7890"/>
                    </w:tabs>
                    <w:spacing w:line="240" w:lineRule="auto"/>
                    <w:jc w:val="center"/>
                    <w:rPr>
                      <w:rFonts w:hint="eastAsia"/>
                      <w:b/>
                      <w:color w:val="auto"/>
                      <w:sz w:val="21"/>
                      <w:szCs w:val="21"/>
                    </w:rPr>
                  </w:pPr>
                  <w:r>
                    <w:rPr>
                      <w:rFonts w:hint="eastAsia"/>
                      <w:b/>
                      <w:color w:val="auto"/>
                      <w:sz w:val="21"/>
                      <w:szCs w:val="21"/>
                    </w:rPr>
                    <w:t>成膜物含量</w:t>
                  </w:r>
                </w:p>
              </w:tc>
              <w:tc>
                <w:tcPr>
                  <w:tcW w:w="657" w:type="pct"/>
                  <w:noWrap w:val="0"/>
                  <w:vAlign w:val="center"/>
                </w:tcPr>
                <w:p w14:paraId="15A0E751">
                  <w:pPr>
                    <w:tabs>
                      <w:tab w:val="left" w:pos="7890"/>
                    </w:tabs>
                    <w:spacing w:line="240" w:lineRule="auto"/>
                    <w:jc w:val="center"/>
                    <w:rPr>
                      <w:b/>
                      <w:color w:val="auto"/>
                      <w:sz w:val="21"/>
                      <w:szCs w:val="21"/>
                    </w:rPr>
                  </w:pPr>
                  <w:r>
                    <w:rPr>
                      <w:rFonts w:hint="eastAsia"/>
                      <w:b/>
                      <w:color w:val="auto"/>
                      <w:sz w:val="21"/>
                      <w:szCs w:val="21"/>
                    </w:rPr>
                    <w:t>辊涂</w:t>
                  </w:r>
                  <w:r>
                    <w:rPr>
                      <w:b/>
                      <w:color w:val="auto"/>
                      <w:sz w:val="21"/>
                      <w:szCs w:val="21"/>
                    </w:rPr>
                    <w:t>面积（m</w:t>
                  </w:r>
                  <w:r>
                    <w:rPr>
                      <w:b/>
                      <w:color w:val="auto"/>
                      <w:sz w:val="21"/>
                      <w:szCs w:val="21"/>
                      <w:vertAlign w:val="superscript"/>
                    </w:rPr>
                    <w:t>2</w:t>
                  </w:r>
                  <w:r>
                    <w:rPr>
                      <w:b/>
                      <w:color w:val="auto"/>
                      <w:sz w:val="21"/>
                      <w:szCs w:val="21"/>
                    </w:rPr>
                    <w:t>/a）</w:t>
                  </w:r>
                </w:p>
              </w:tc>
              <w:tc>
                <w:tcPr>
                  <w:tcW w:w="721" w:type="pct"/>
                  <w:noWrap w:val="0"/>
                  <w:vAlign w:val="center"/>
                </w:tcPr>
                <w:p w14:paraId="560A0612">
                  <w:pPr>
                    <w:tabs>
                      <w:tab w:val="left" w:pos="7890"/>
                    </w:tabs>
                    <w:spacing w:line="240" w:lineRule="auto"/>
                    <w:jc w:val="center"/>
                    <w:rPr>
                      <w:b/>
                      <w:color w:val="auto"/>
                      <w:sz w:val="21"/>
                      <w:szCs w:val="21"/>
                    </w:rPr>
                  </w:pPr>
                  <w:r>
                    <w:rPr>
                      <w:b/>
                      <w:color w:val="auto"/>
                      <w:sz w:val="21"/>
                      <w:szCs w:val="21"/>
                    </w:rPr>
                    <w:t>单道漆膜厚度（μm）</w:t>
                  </w:r>
                </w:p>
              </w:tc>
              <w:tc>
                <w:tcPr>
                  <w:tcW w:w="716" w:type="pct"/>
                  <w:noWrap w:val="0"/>
                  <w:vAlign w:val="center"/>
                </w:tcPr>
                <w:p w14:paraId="269A425B">
                  <w:pPr>
                    <w:tabs>
                      <w:tab w:val="left" w:pos="7890"/>
                    </w:tabs>
                    <w:spacing w:line="240" w:lineRule="auto"/>
                    <w:jc w:val="center"/>
                    <w:rPr>
                      <w:b/>
                      <w:color w:val="auto"/>
                      <w:sz w:val="21"/>
                      <w:szCs w:val="21"/>
                    </w:rPr>
                  </w:pPr>
                  <w:r>
                    <w:rPr>
                      <w:b/>
                      <w:color w:val="auto"/>
                      <w:sz w:val="21"/>
                      <w:szCs w:val="21"/>
                    </w:rPr>
                    <w:t>涂料密度（g/cm</w:t>
                  </w:r>
                  <w:r>
                    <w:rPr>
                      <w:b/>
                      <w:color w:val="auto"/>
                      <w:sz w:val="21"/>
                      <w:szCs w:val="21"/>
                      <w:vertAlign w:val="superscript"/>
                    </w:rPr>
                    <w:t>3</w:t>
                  </w:r>
                  <w:r>
                    <w:rPr>
                      <w:b/>
                      <w:color w:val="auto"/>
                      <w:sz w:val="21"/>
                      <w:szCs w:val="21"/>
                    </w:rPr>
                    <w:t>）</w:t>
                  </w:r>
                </w:p>
              </w:tc>
              <w:tc>
                <w:tcPr>
                  <w:tcW w:w="691" w:type="pct"/>
                  <w:noWrap w:val="0"/>
                  <w:vAlign w:val="center"/>
                </w:tcPr>
                <w:p w14:paraId="455F3D8B">
                  <w:pPr>
                    <w:tabs>
                      <w:tab w:val="left" w:pos="7890"/>
                    </w:tabs>
                    <w:spacing w:line="240" w:lineRule="auto"/>
                    <w:jc w:val="center"/>
                    <w:rPr>
                      <w:b/>
                      <w:color w:val="auto"/>
                      <w:sz w:val="21"/>
                      <w:szCs w:val="21"/>
                    </w:rPr>
                  </w:pPr>
                  <w:r>
                    <w:rPr>
                      <w:b/>
                      <w:color w:val="auto"/>
                      <w:sz w:val="21"/>
                      <w:szCs w:val="21"/>
                    </w:rPr>
                    <w:t>涂料消耗量（t/a）</w:t>
                  </w:r>
                </w:p>
              </w:tc>
              <w:tc>
                <w:tcPr>
                  <w:tcW w:w="586" w:type="pct"/>
                  <w:noWrap w:val="0"/>
                  <w:vAlign w:val="center"/>
                </w:tcPr>
                <w:p w14:paraId="7FCD10C5">
                  <w:pPr>
                    <w:tabs>
                      <w:tab w:val="left" w:pos="7890"/>
                    </w:tabs>
                    <w:spacing w:line="240" w:lineRule="auto"/>
                    <w:jc w:val="center"/>
                    <w:rPr>
                      <w:rFonts w:hint="eastAsia"/>
                      <w:b/>
                      <w:color w:val="auto"/>
                      <w:sz w:val="21"/>
                      <w:szCs w:val="21"/>
                    </w:rPr>
                  </w:pPr>
                  <w:r>
                    <w:rPr>
                      <w:rFonts w:hint="eastAsia"/>
                      <w:b/>
                      <w:color w:val="auto"/>
                      <w:sz w:val="21"/>
                      <w:szCs w:val="21"/>
                    </w:rPr>
                    <w:t>设计用量</w:t>
                  </w:r>
                  <w:r>
                    <w:rPr>
                      <w:b/>
                      <w:color w:val="auto"/>
                      <w:sz w:val="21"/>
                      <w:szCs w:val="21"/>
                    </w:rPr>
                    <w:t>（t/a）</w:t>
                  </w:r>
                </w:p>
              </w:tc>
            </w:tr>
            <w:tr w14:paraId="0B356F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599" w:type="pct"/>
                  <w:noWrap w:val="0"/>
                  <w:vAlign w:val="center"/>
                </w:tcPr>
                <w:p w14:paraId="5E9922DE">
                  <w:pPr>
                    <w:widowControl/>
                    <w:spacing w:line="240" w:lineRule="auto"/>
                    <w:jc w:val="center"/>
                    <w:rPr>
                      <w:rFonts w:hint="eastAsia"/>
                      <w:color w:val="auto"/>
                      <w:sz w:val="21"/>
                      <w:szCs w:val="21"/>
                    </w:rPr>
                  </w:pPr>
                  <w:r>
                    <w:rPr>
                      <w:rFonts w:hint="eastAsia"/>
                      <w:color w:val="auto"/>
                      <w:sz w:val="21"/>
                      <w:szCs w:val="21"/>
                    </w:rPr>
                    <w:t>UV底漆</w:t>
                  </w:r>
                </w:p>
              </w:tc>
              <w:tc>
                <w:tcPr>
                  <w:tcW w:w="553" w:type="pct"/>
                  <w:noWrap w:val="0"/>
                  <w:vAlign w:val="center"/>
                </w:tcPr>
                <w:p w14:paraId="202503FB">
                  <w:pPr>
                    <w:widowControl/>
                    <w:spacing w:line="240" w:lineRule="auto"/>
                    <w:jc w:val="center"/>
                    <w:rPr>
                      <w:rFonts w:hint="eastAsia"/>
                      <w:color w:val="auto"/>
                      <w:sz w:val="21"/>
                      <w:szCs w:val="21"/>
                    </w:rPr>
                  </w:pPr>
                  <w:r>
                    <w:rPr>
                      <w:rFonts w:hint="eastAsia"/>
                      <w:color w:val="auto"/>
                      <w:sz w:val="21"/>
                      <w:szCs w:val="21"/>
                    </w:rPr>
                    <w:t>9</w:t>
                  </w:r>
                  <w:r>
                    <w:rPr>
                      <w:rFonts w:hint="eastAsia"/>
                      <w:color w:val="auto"/>
                      <w:sz w:val="21"/>
                      <w:szCs w:val="21"/>
                      <w:lang w:val="en-US" w:eastAsia="zh-CN"/>
                    </w:rPr>
                    <w:t>9</w:t>
                  </w:r>
                  <w:r>
                    <w:rPr>
                      <w:rFonts w:hint="eastAsia"/>
                      <w:color w:val="auto"/>
                      <w:sz w:val="21"/>
                      <w:szCs w:val="21"/>
                    </w:rPr>
                    <w:t>%</w:t>
                  </w:r>
                </w:p>
              </w:tc>
              <w:tc>
                <w:tcPr>
                  <w:tcW w:w="474" w:type="pct"/>
                  <w:noWrap w:val="0"/>
                  <w:vAlign w:val="center"/>
                </w:tcPr>
                <w:p w14:paraId="5D5EA105">
                  <w:pPr>
                    <w:widowControl/>
                    <w:spacing w:line="240" w:lineRule="auto"/>
                    <w:jc w:val="center"/>
                    <w:rPr>
                      <w:rFonts w:hint="eastAsia" w:eastAsia="宋体"/>
                      <w:color w:val="auto"/>
                      <w:sz w:val="21"/>
                      <w:szCs w:val="21"/>
                      <w:lang w:eastAsia="zh-CN"/>
                    </w:rPr>
                  </w:pPr>
                  <w:r>
                    <w:rPr>
                      <w:rFonts w:hint="eastAsia"/>
                      <w:color w:val="auto"/>
                      <w:sz w:val="21"/>
                      <w:szCs w:val="21"/>
                    </w:rPr>
                    <w:t>0.9</w:t>
                  </w:r>
                  <w:r>
                    <w:rPr>
                      <w:rFonts w:hint="eastAsia"/>
                      <w:color w:val="auto"/>
                      <w:sz w:val="21"/>
                      <w:szCs w:val="21"/>
                      <w:lang w:val="en-US" w:eastAsia="zh-CN"/>
                    </w:rPr>
                    <w:t>4</w:t>
                  </w:r>
                </w:p>
              </w:tc>
              <w:tc>
                <w:tcPr>
                  <w:tcW w:w="1105" w:type="dxa"/>
                  <w:noWrap w:val="0"/>
                  <w:vAlign w:val="center"/>
                </w:tcPr>
                <w:p w14:paraId="746E7384">
                  <w:pPr>
                    <w:tabs>
                      <w:tab w:val="left" w:pos="7890"/>
                    </w:tabs>
                    <w:spacing w:line="240" w:lineRule="auto"/>
                    <w:jc w:val="center"/>
                    <w:rPr>
                      <w:rFonts w:hint="eastAsia"/>
                      <w:bCs/>
                      <w:color w:val="auto"/>
                      <w:sz w:val="21"/>
                      <w:szCs w:val="21"/>
                    </w:rPr>
                  </w:pPr>
                  <w:r>
                    <w:rPr>
                      <w:rFonts w:hint="eastAsia"/>
                      <w:bCs/>
                      <w:color w:val="auto"/>
                      <w:sz w:val="21"/>
                      <w:szCs w:val="21"/>
                      <w:lang w:val="en-US" w:eastAsia="zh-CN"/>
                    </w:rPr>
                    <w:t>1500000</w:t>
                  </w:r>
                </w:p>
              </w:tc>
              <w:tc>
                <w:tcPr>
                  <w:tcW w:w="721" w:type="pct"/>
                  <w:noWrap w:val="0"/>
                  <w:vAlign w:val="center"/>
                </w:tcPr>
                <w:p w14:paraId="1844F543">
                  <w:pPr>
                    <w:tabs>
                      <w:tab w:val="left" w:pos="7890"/>
                    </w:tabs>
                    <w:spacing w:line="240" w:lineRule="auto"/>
                    <w:jc w:val="center"/>
                    <w:rPr>
                      <w:rFonts w:hint="default" w:eastAsia="宋体"/>
                      <w:bCs/>
                      <w:color w:val="auto"/>
                      <w:sz w:val="21"/>
                      <w:szCs w:val="21"/>
                      <w:lang w:val="en-US" w:eastAsia="zh-CN"/>
                    </w:rPr>
                  </w:pPr>
                  <w:r>
                    <w:rPr>
                      <w:rFonts w:hint="eastAsia"/>
                      <w:bCs/>
                      <w:color w:val="auto"/>
                      <w:sz w:val="21"/>
                      <w:szCs w:val="21"/>
                      <w:lang w:val="en-US" w:eastAsia="zh-CN"/>
                    </w:rPr>
                    <w:t>6.5</w:t>
                  </w:r>
                </w:p>
              </w:tc>
              <w:tc>
                <w:tcPr>
                  <w:tcW w:w="716" w:type="pct"/>
                  <w:noWrap w:val="0"/>
                  <w:vAlign w:val="center"/>
                </w:tcPr>
                <w:p w14:paraId="0BF80E11">
                  <w:pPr>
                    <w:tabs>
                      <w:tab w:val="left" w:pos="7890"/>
                    </w:tabs>
                    <w:spacing w:line="240" w:lineRule="auto"/>
                    <w:jc w:val="center"/>
                    <w:rPr>
                      <w:rFonts w:hint="default" w:eastAsia="宋体"/>
                      <w:bCs/>
                      <w:color w:val="auto"/>
                      <w:sz w:val="21"/>
                      <w:szCs w:val="21"/>
                      <w:lang w:val="en-US" w:eastAsia="zh-CN"/>
                    </w:rPr>
                  </w:pPr>
                  <w:r>
                    <w:rPr>
                      <w:bCs/>
                      <w:color w:val="auto"/>
                      <w:sz w:val="21"/>
                      <w:szCs w:val="21"/>
                    </w:rPr>
                    <w:t>1.</w:t>
                  </w:r>
                  <w:r>
                    <w:rPr>
                      <w:rFonts w:hint="eastAsia"/>
                      <w:bCs/>
                      <w:color w:val="auto"/>
                      <w:sz w:val="21"/>
                      <w:szCs w:val="21"/>
                      <w:lang w:val="en-US" w:eastAsia="zh-CN"/>
                    </w:rPr>
                    <w:t>32</w:t>
                  </w:r>
                </w:p>
              </w:tc>
              <w:tc>
                <w:tcPr>
                  <w:tcW w:w="691" w:type="pct"/>
                  <w:noWrap w:val="0"/>
                  <w:vAlign w:val="center"/>
                </w:tcPr>
                <w:p w14:paraId="3668B76B">
                  <w:pPr>
                    <w:tabs>
                      <w:tab w:val="left" w:pos="7890"/>
                    </w:tabs>
                    <w:spacing w:line="240" w:lineRule="auto"/>
                    <w:jc w:val="center"/>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13.55</w:t>
                  </w:r>
                </w:p>
              </w:tc>
              <w:tc>
                <w:tcPr>
                  <w:tcW w:w="586" w:type="pct"/>
                  <w:noWrap w:val="0"/>
                  <w:vAlign w:val="center"/>
                </w:tcPr>
                <w:p w14:paraId="60ACA08A">
                  <w:pPr>
                    <w:tabs>
                      <w:tab w:val="left" w:pos="7890"/>
                    </w:tabs>
                    <w:spacing w:line="240" w:lineRule="auto"/>
                    <w:jc w:val="center"/>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14.5</w:t>
                  </w:r>
                </w:p>
              </w:tc>
            </w:tr>
            <w:tr w14:paraId="1A9EC2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599" w:type="pct"/>
                  <w:noWrap w:val="0"/>
                  <w:vAlign w:val="center"/>
                </w:tcPr>
                <w:p w14:paraId="166A924A">
                  <w:pPr>
                    <w:widowControl/>
                    <w:spacing w:line="240" w:lineRule="auto"/>
                    <w:jc w:val="center"/>
                    <w:rPr>
                      <w:rFonts w:hint="eastAsia"/>
                      <w:color w:val="auto"/>
                      <w:sz w:val="21"/>
                      <w:szCs w:val="21"/>
                    </w:rPr>
                  </w:pPr>
                  <w:r>
                    <w:rPr>
                      <w:rFonts w:hint="eastAsia"/>
                      <w:color w:val="auto"/>
                      <w:sz w:val="21"/>
                      <w:szCs w:val="21"/>
                    </w:rPr>
                    <w:t>UV面漆</w:t>
                  </w:r>
                </w:p>
              </w:tc>
              <w:tc>
                <w:tcPr>
                  <w:tcW w:w="553" w:type="pct"/>
                  <w:noWrap w:val="0"/>
                  <w:vAlign w:val="center"/>
                </w:tcPr>
                <w:p w14:paraId="7CB02271">
                  <w:pPr>
                    <w:widowControl/>
                    <w:spacing w:line="240" w:lineRule="auto"/>
                    <w:jc w:val="center"/>
                    <w:rPr>
                      <w:rFonts w:hint="eastAsia"/>
                      <w:color w:val="auto"/>
                      <w:sz w:val="21"/>
                      <w:szCs w:val="21"/>
                    </w:rPr>
                  </w:pPr>
                  <w:r>
                    <w:rPr>
                      <w:rFonts w:hint="eastAsia"/>
                      <w:color w:val="auto"/>
                      <w:sz w:val="21"/>
                      <w:szCs w:val="21"/>
                    </w:rPr>
                    <w:t>9</w:t>
                  </w:r>
                  <w:r>
                    <w:rPr>
                      <w:rFonts w:hint="eastAsia"/>
                      <w:color w:val="auto"/>
                      <w:sz w:val="21"/>
                      <w:szCs w:val="21"/>
                      <w:lang w:val="en-US" w:eastAsia="zh-CN"/>
                    </w:rPr>
                    <w:t>9</w:t>
                  </w:r>
                  <w:r>
                    <w:rPr>
                      <w:rFonts w:hint="eastAsia"/>
                      <w:color w:val="auto"/>
                      <w:sz w:val="21"/>
                      <w:szCs w:val="21"/>
                    </w:rPr>
                    <w:t>%</w:t>
                  </w:r>
                </w:p>
              </w:tc>
              <w:tc>
                <w:tcPr>
                  <w:tcW w:w="474" w:type="pct"/>
                  <w:noWrap w:val="0"/>
                  <w:vAlign w:val="center"/>
                </w:tcPr>
                <w:p w14:paraId="18012E9F">
                  <w:pPr>
                    <w:widowControl/>
                    <w:spacing w:line="240" w:lineRule="auto"/>
                    <w:jc w:val="center"/>
                    <w:rPr>
                      <w:rFonts w:hint="eastAsia" w:eastAsia="宋体"/>
                      <w:color w:val="auto"/>
                      <w:sz w:val="21"/>
                      <w:szCs w:val="21"/>
                      <w:lang w:eastAsia="zh-CN"/>
                    </w:rPr>
                  </w:pPr>
                  <w:r>
                    <w:rPr>
                      <w:rFonts w:hint="eastAsia"/>
                      <w:color w:val="auto"/>
                      <w:sz w:val="21"/>
                      <w:szCs w:val="21"/>
                    </w:rPr>
                    <w:t>0.9</w:t>
                  </w:r>
                  <w:r>
                    <w:rPr>
                      <w:rFonts w:hint="eastAsia"/>
                      <w:color w:val="auto"/>
                      <w:sz w:val="21"/>
                      <w:szCs w:val="21"/>
                      <w:lang w:val="en-US" w:eastAsia="zh-CN"/>
                    </w:rPr>
                    <w:t>4</w:t>
                  </w:r>
                </w:p>
              </w:tc>
              <w:tc>
                <w:tcPr>
                  <w:tcW w:w="1105" w:type="dxa"/>
                  <w:noWrap w:val="0"/>
                  <w:vAlign w:val="center"/>
                </w:tcPr>
                <w:p w14:paraId="2B5BFBD8">
                  <w:pPr>
                    <w:tabs>
                      <w:tab w:val="left" w:pos="7890"/>
                    </w:tabs>
                    <w:spacing w:line="240" w:lineRule="auto"/>
                    <w:jc w:val="center"/>
                    <w:rPr>
                      <w:rFonts w:hint="eastAsia"/>
                      <w:bCs/>
                      <w:color w:val="auto"/>
                      <w:sz w:val="21"/>
                      <w:szCs w:val="21"/>
                    </w:rPr>
                  </w:pPr>
                  <w:r>
                    <w:rPr>
                      <w:rFonts w:hint="eastAsia"/>
                      <w:bCs/>
                      <w:color w:val="auto"/>
                      <w:sz w:val="21"/>
                      <w:szCs w:val="21"/>
                      <w:lang w:val="en-US" w:eastAsia="zh-CN"/>
                    </w:rPr>
                    <w:t>600000</w:t>
                  </w:r>
                </w:p>
              </w:tc>
              <w:tc>
                <w:tcPr>
                  <w:tcW w:w="721" w:type="pct"/>
                  <w:noWrap w:val="0"/>
                  <w:vAlign w:val="center"/>
                </w:tcPr>
                <w:p w14:paraId="06257617">
                  <w:pPr>
                    <w:tabs>
                      <w:tab w:val="left" w:pos="7890"/>
                    </w:tabs>
                    <w:spacing w:line="240" w:lineRule="auto"/>
                    <w:jc w:val="center"/>
                    <w:rPr>
                      <w:rFonts w:hint="eastAsia" w:eastAsia="宋体"/>
                      <w:bCs/>
                      <w:color w:val="auto"/>
                      <w:sz w:val="21"/>
                      <w:szCs w:val="21"/>
                      <w:lang w:eastAsia="zh-CN"/>
                    </w:rPr>
                  </w:pPr>
                  <w:r>
                    <w:rPr>
                      <w:rFonts w:hint="eastAsia"/>
                      <w:bCs/>
                      <w:color w:val="auto"/>
                      <w:sz w:val="21"/>
                      <w:szCs w:val="21"/>
                      <w:lang w:val="en-US" w:eastAsia="zh-CN"/>
                    </w:rPr>
                    <w:t>3</w:t>
                  </w:r>
                </w:p>
              </w:tc>
              <w:tc>
                <w:tcPr>
                  <w:tcW w:w="716" w:type="pct"/>
                  <w:noWrap w:val="0"/>
                  <w:vAlign w:val="center"/>
                </w:tcPr>
                <w:p w14:paraId="65D1385C">
                  <w:pPr>
                    <w:tabs>
                      <w:tab w:val="left" w:pos="7890"/>
                    </w:tabs>
                    <w:spacing w:line="240" w:lineRule="auto"/>
                    <w:jc w:val="center"/>
                    <w:rPr>
                      <w:rFonts w:hint="default" w:eastAsia="宋体"/>
                      <w:bCs/>
                      <w:color w:val="auto"/>
                      <w:sz w:val="21"/>
                      <w:szCs w:val="21"/>
                      <w:lang w:val="en-US" w:eastAsia="zh-CN"/>
                    </w:rPr>
                  </w:pPr>
                  <w:r>
                    <w:rPr>
                      <w:bCs/>
                      <w:color w:val="auto"/>
                      <w:sz w:val="21"/>
                      <w:szCs w:val="21"/>
                    </w:rPr>
                    <w:t>1.</w:t>
                  </w:r>
                  <w:r>
                    <w:rPr>
                      <w:rFonts w:hint="eastAsia"/>
                      <w:bCs/>
                      <w:color w:val="auto"/>
                      <w:sz w:val="21"/>
                      <w:szCs w:val="21"/>
                      <w:lang w:val="en-US" w:eastAsia="zh-CN"/>
                    </w:rPr>
                    <w:t>25</w:t>
                  </w:r>
                </w:p>
              </w:tc>
              <w:tc>
                <w:tcPr>
                  <w:tcW w:w="691" w:type="pct"/>
                  <w:noWrap w:val="0"/>
                  <w:vAlign w:val="center"/>
                </w:tcPr>
                <w:p w14:paraId="2BCC8AF1">
                  <w:pPr>
                    <w:tabs>
                      <w:tab w:val="left" w:pos="7890"/>
                    </w:tabs>
                    <w:spacing w:line="240" w:lineRule="auto"/>
                    <w:jc w:val="center"/>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2.37</w:t>
                  </w:r>
                </w:p>
              </w:tc>
              <w:tc>
                <w:tcPr>
                  <w:tcW w:w="586" w:type="pct"/>
                  <w:noWrap w:val="0"/>
                  <w:vAlign w:val="center"/>
                </w:tcPr>
                <w:p w14:paraId="653C8A93">
                  <w:pPr>
                    <w:tabs>
                      <w:tab w:val="left" w:pos="7890"/>
                    </w:tabs>
                    <w:spacing w:line="240" w:lineRule="auto"/>
                    <w:jc w:val="center"/>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2.5</w:t>
                  </w:r>
                </w:p>
              </w:tc>
            </w:tr>
          </w:tbl>
          <w:p w14:paraId="03507BC3">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Times New Roman" w:hAnsi="Times New Roman" w:eastAsia="宋体" w:cs="Times New Roman"/>
                <w:color w:val="auto"/>
                <w:sz w:val="24"/>
                <w:szCs w:val="24"/>
                <w:lang w:eastAsia="zh-CN"/>
              </w:rPr>
            </w:pPr>
          </w:p>
          <w:p w14:paraId="64BD205F">
            <w:pPr>
              <w:spacing w:beforeLines="50" w:line="360" w:lineRule="auto"/>
              <w:ind w:firstLine="480" w:firstLineChars="200"/>
              <w:jc w:val="both"/>
              <w:rPr>
                <w:rFonts w:ascii="Times New Roman" w:hAnsi="Times New Roman" w:eastAsia="宋体" w:cs="Times New Roman"/>
                <w:color w:val="auto"/>
                <w:sz w:val="24"/>
                <w:szCs w:val="24"/>
                <w:lang w:eastAsia="zh-CN"/>
              </w:rPr>
            </w:pPr>
            <w:r>
              <w:rPr>
                <w:rFonts w:ascii="Times New Roman" w:hAnsi="Times New Roman" w:eastAsia="宋体" w:cs="Times New Roman"/>
                <w:color w:val="auto"/>
                <w:sz w:val="24"/>
                <w:szCs w:val="24"/>
                <w:lang w:eastAsia="zh-CN"/>
              </w:rPr>
              <w:t>根据建设单位提供资料，本项目使用</w:t>
            </w:r>
            <w:r>
              <w:rPr>
                <w:rFonts w:hint="eastAsia" w:ascii="Times New Roman" w:hAnsi="Times New Roman" w:eastAsia="宋体" w:cs="Times New Roman"/>
                <w:color w:val="auto"/>
                <w:sz w:val="24"/>
                <w:szCs w:val="24"/>
                <w:lang w:eastAsia="zh-CN"/>
              </w:rPr>
              <w:t>木工胶及</w:t>
            </w:r>
            <w:r>
              <w:rPr>
                <w:rFonts w:hint="eastAsia"/>
                <w:color w:val="auto"/>
                <w:sz w:val="24"/>
                <w:szCs w:val="24"/>
                <w:highlight w:val="none"/>
                <w:lang w:val="en-US" w:eastAsia="zh-CN"/>
              </w:rPr>
              <w:t>漆料主要</w:t>
            </w:r>
            <w:r>
              <w:rPr>
                <w:rFonts w:hint="eastAsia"/>
                <w:color w:val="auto"/>
                <w:sz w:val="24"/>
                <w:highlight w:val="none"/>
                <w:lang w:val="en-US" w:eastAsia="zh-CN"/>
              </w:rPr>
              <w:t>组成</w:t>
            </w:r>
            <w:r>
              <w:rPr>
                <w:rFonts w:hint="eastAsia"/>
                <w:color w:val="auto"/>
                <w:sz w:val="24"/>
                <w:highlight w:val="none"/>
                <w:lang w:eastAsia="zh-CN"/>
              </w:rPr>
              <w:t>见下表</w:t>
            </w:r>
            <w:r>
              <w:rPr>
                <w:rFonts w:ascii="Times New Roman" w:hAnsi="Times New Roman" w:eastAsia="宋体" w:cs="Times New Roman"/>
                <w:color w:val="auto"/>
                <w:sz w:val="24"/>
                <w:szCs w:val="24"/>
                <w:lang w:eastAsia="zh-CN"/>
              </w:rPr>
              <w:t>。</w:t>
            </w:r>
          </w:p>
          <w:p w14:paraId="44941A66">
            <w:pPr>
              <w:pStyle w:val="68"/>
              <w:numPr>
                <w:ilvl w:val="0"/>
                <w:numId w:val="13"/>
              </w:numPr>
              <w:spacing w:line="360" w:lineRule="auto"/>
              <w:ind w:left="0" w:leftChars="0" w:firstLine="0" w:firstLineChars="0"/>
              <w:jc w:val="center"/>
              <w:rPr>
                <w:rFonts w:ascii="Times New Roman" w:hAnsi="Times New Roman" w:eastAsia="宋体" w:cs="Times New Roman"/>
                <w:color w:val="auto"/>
                <w:sz w:val="24"/>
                <w:szCs w:val="24"/>
                <w:lang w:eastAsia="zh-CN"/>
              </w:rPr>
            </w:pPr>
            <w:r>
              <w:rPr>
                <w:rFonts w:hint="eastAsia" w:ascii="Times New Roman" w:hAnsi="Times New Roman" w:eastAsia="宋体" w:cs="Times New Roman"/>
                <w:color w:val="auto"/>
                <w:highlight w:val="none"/>
                <w:lang w:val="en-US" w:eastAsia="zh-CN"/>
              </w:rPr>
              <w:t xml:space="preserve"> 项目所用辅料主要成分一览表</w:t>
            </w:r>
          </w:p>
          <w:tbl>
            <w:tblPr>
              <w:tblStyle w:val="25"/>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313"/>
              <w:gridCol w:w="7092"/>
            </w:tblGrid>
            <w:tr w14:paraId="0B85386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97" w:hRule="atLeast"/>
                <w:tblHeader/>
                <w:jc w:val="center"/>
              </w:trPr>
              <w:tc>
                <w:tcPr>
                  <w:tcW w:w="781" w:type="pct"/>
                  <w:noWrap w:val="0"/>
                  <w:vAlign w:val="center"/>
                </w:tcPr>
                <w:p w14:paraId="57A21119">
                  <w:pPr>
                    <w:spacing w:line="240" w:lineRule="auto"/>
                    <w:jc w:val="center"/>
                    <w:rPr>
                      <w:b/>
                      <w:color w:val="auto"/>
                      <w:sz w:val="21"/>
                      <w:szCs w:val="21"/>
                    </w:rPr>
                  </w:pPr>
                  <w:r>
                    <w:rPr>
                      <w:b/>
                      <w:color w:val="auto"/>
                      <w:sz w:val="21"/>
                      <w:szCs w:val="21"/>
                    </w:rPr>
                    <w:t>名称</w:t>
                  </w:r>
                </w:p>
              </w:tc>
              <w:tc>
                <w:tcPr>
                  <w:tcW w:w="4218" w:type="pct"/>
                  <w:noWrap w:val="0"/>
                  <w:vAlign w:val="center"/>
                </w:tcPr>
                <w:p w14:paraId="53B75ED8">
                  <w:pPr>
                    <w:spacing w:line="240" w:lineRule="auto"/>
                    <w:jc w:val="center"/>
                    <w:rPr>
                      <w:b/>
                      <w:color w:val="auto"/>
                      <w:sz w:val="21"/>
                      <w:szCs w:val="21"/>
                    </w:rPr>
                  </w:pPr>
                  <w:r>
                    <w:rPr>
                      <w:b/>
                      <w:color w:val="auto"/>
                      <w:sz w:val="21"/>
                      <w:szCs w:val="21"/>
                    </w:rPr>
                    <w:t>主要成分</w:t>
                  </w:r>
                </w:p>
              </w:tc>
            </w:tr>
            <w:tr w14:paraId="3238BD3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97" w:hRule="atLeast"/>
                <w:jc w:val="center"/>
              </w:trPr>
              <w:tc>
                <w:tcPr>
                  <w:tcW w:w="781" w:type="pct"/>
                  <w:noWrap w:val="0"/>
                  <w:vAlign w:val="center"/>
                </w:tcPr>
                <w:p w14:paraId="6A7CD125">
                  <w:pPr>
                    <w:widowControl/>
                    <w:spacing w:line="240" w:lineRule="auto"/>
                    <w:jc w:val="center"/>
                    <w:rPr>
                      <w:rFonts w:hint="eastAsia"/>
                      <w:color w:val="auto"/>
                      <w:sz w:val="21"/>
                      <w:szCs w:val="21"/>
                    </w:rPr>
                  </w:pPr>
                  <w:r>
                    <w:rPr>
                      <w:rFonts w:hint="eastAsia"/>
                      <w:color w:val="auto"/>
                      <w:sz w:val="21"/>
                      <w:szCs w:val="21"/>
                    </w:rPr>
                    <w:t>木工胶</w:t>
                  </w:r>
                </w:p>
              </w:tc>
              <w:tc>
                <w:tcPr>
                  <w:tcW w:w="4218" w:type="pct"/>
                  <w:noWrap w:val="0"/>
                  <w:vAlign w:val="center"/>
                </w:tcPr>
                <w:p w14:paraId="3E531FDD">
                  <w:pPr>
                    <w:spacing w:line="240" w:lineRule="auto"/>
                    <w:jc w:val="center"/>
                    <w:rPr>
                      <w:rFonts w:hint="default" w:eastAsia="宋体"/>
                      <w:color w:val="auto"/>
                      <w:sz w:val="21"/>
                      <w:szCs w:val="21"/>
                      <w:lang w:val="en-US" w:eastAsia="zh-CN"/>
                    </w:rPr>
                  </w:pPr>
                  <w:r>
                    <w:rPr>
                      <w:rFonts w:hint="eastAsia"/>
                      <w:color w:val="auto"/>
                      <w:sz w:val="21"/>
                      <w:szCs w:val="21"/>
                    </w:rPr>
                    <w:t>聚醋酸乙烯树酯</w:t>
                  </w:r>
                  <w:r>
                    <w:rPr>
                      <w:rFonts w:hint="eastAsia"/>
                      <w:color w:val="auto"/>
                      <w:sz w:val="21"/>
                      <w:szCs w:val="21"/>
                      <w:lang w:val="en-US" w:eastAsia="zh-CN"/>
                    </w:rPr>
                    <w:t>43-47%</w:t>
                  </w:r>
                  <w:r>
                    <w:rPr>
                      <w:rFonts w:hint="eastAsia"/>
                      <w:color w:val="auto"/>
                      <w:sz w:val="21"/>
                      <w:szCs w:val="21"/>
                      <w:lang w:eastAsia="zh-CN"/>
                    </w:rPr>
                    <w:t>、水</w:t>
                  </w:r>
                  <w:r>
                    <w:rPr>
                      <w:rFonts w:hint="eastAsia"/>
                      <w:color w:val="auto"/>
                      <w:sz w:val="21"/>
                      <w:szCs w:val="21"/>
                      <w:lang w:val="en-US" w:eastAsia="zh-CN"/>
                    </w:rPr>
                    <w:t>53-57%</w:t>
                  </w:r>
                </w:p>
              </w:tc>
            </w:tr>
            <w:tr w14:paraId="1768BF2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97" w:hRule="atLeast"/>
                <w:jc w:val="center"/>
              </w:trPr>
              <w:tc>
                <w:tcPr>
                  <w:tcW w:w="781" w:type="pct"/>
                  <w:noWrap w:val="0"/>
                  <w:vAlign w:val="center"/>
                </w:tcPr>
                <w:p w14:paraId="2EEF4601">
                  <w:pPr>
                    <w:widowControl/>
                    <w:spacing w:line="240" w:lineRule="auto"/>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UV底漆</w:t>
                  </w:r>
                </w:p>
              </w:tc>
              <w:tc>
                <w:tcPr>
                  <w:tcW w:w="4218" w:type="pct"/>
                  <w:noWrap w:val="0"/>
                  <w:vAlign w:val="center"/>
                </w:tcPr>
                <w:p w14:paraId="1FC0A5E3">
                  <w:pPr>
                    <w:widowControl/>
                    <w:spacing w:line="240" w:lineRule="auto"/>
                    <w:jc w:val="center"/>
                    <w:rPr>
                      <w:rFonts w:hint="default"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eastAsia="zh-CN"/>
                    </w:rPr>
                    <w:t>环氧丙烯酸树脂32%</w:t>
                  </w: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lang w:val="en-US" w:eastAsia="zh-CN"/>
                    </w:rPr>
                    <w:t>聚氨酯丙烯酸酯20%</w:t>
                  </w: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lang w:val="en-US" w:eastAsia="zh-CN"/>
                    </w:rPr>
                    <w:t>聚酯丙烯酸酯14.8%、三氧化二铝粉15%</w:t>
                  </w:r>
                </w:p>
              </w:tc>
            </w:tr>
            <w:tr w14:paraId="45F788C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397" w:hRule="atLeast"/>
                <w:jc w:val="center"/>
              </w:trPr>
              <w:tc>
                <w:tcPr>
                  <w:tcW w:w="781" w:type="pct"/>
                  <w:noWrap w:val="0"/>
                  <w:vAlign w:val="center"/>
                </w:tcPr>
                <w:p w14:paraId="3AAAA9D9">
                  <w:pPr>
                    <w:widowControl/>
                    <w:spacing w:line="240" w:lineRule="auto"/>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UV面漆</w:t>
                  </w:r>
                </w:p>
              </w:tc>
              <w:tc>
                <w:tcPr>
                  <w:tcW w:w="4218" w:type="pct"/>
                  <w:noWrap w:val="0"/>
                  <w:vAlign w:val="center"/>
                </w:tcPr>
                <w:p w14:paraId="5569F391">
                  <w:pPr>
                    <w:widowControl/>
                    <w:spacing w:line="240" w:lineRule="auto"/>
                    <w:jc w:val="center"/>
                    <w:rPr>
                      <w:rFonts w:hint="default"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eastAsia="zh-CN"/>
                    </w:rPr>
                    <w:t>聚氨酯丙烯酸酯50%、氧代二（甲基-2，1-亚乙基）二-2-丙</w:t>
                  </w:r>
                  <w:r>
                    <w:rPr>
                      <w:rFonts w:hint="default" w:ascii="Times New Roman" w:hAnsi="Times New Roman" w:eastAsia="宋体" w:cs="Times New Roman"/>
                      <w:color w:val="auto"/>
                      <w:sz w:val="21"/>
                      <w:szCs w:val="21"/>
                      <w:lang w:val="en-US" w:eastAsia="zh-CN"/>
                    </w:rPr>
                    <w:t>烯酸20%、α，α’，α’’-1，2，3-三丙基三[w-[（1-氧代-2-丙烯基）羟基]-聚[氧化（</w:t>
                  </w:r>
                  <w:r>
                    <w:rPr>
                      <w:rFonts w:hint="eastAsia" w:ascii="Times New Roman" w:hAnsi="Times New Roman" w:eastAsia="宋体" w:cs="Times New Roman"/>
                      <w:color w:val="auto"/>
                      <w:sz w:val="21"/>
                      <w:szCs w:val="21"/>
                      <w:lang w:val="en-US" w:eastAsia="zh-CN"/>
                    </w:rPr>
                    <w:t>甲</w:t>
                  </w:r>
                  <w:r>
                    <w:rPr>
                      <w:rFonts w:hint="default" w:ascii="Times New Roman" w:hAnsi="Times New Roman" w:eastAsia="宋体" w:cs="Times New Roman"/>
                      <w:color w:val="auto"/>
                      <w:sz w:val="21"/>
                      <w:szCs w:val="21"/>
                      <w:lang w:val="en-US" w:eastAsia="zh-CN"/>
                    </w:rPr>
                    <w:t>基-1</w:t>
                  </w:r>
                  <w:r>
                    <w:rPr>
                      <w:rFonts w:hint="eastAsia"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1"/>
                      <w:szCs w:val="21"/>
                      <w:lang w:val="en-US" w:eastAsia="zh-CN"/>
                    </w:rPr>
                    <w:t>2-亚乙基）20%</w:t>
                  </w:r>
                </w:p>
              </w:tc>
            </w:tr>
          </w:tbl>
          <w:p w14:paraId="126BB096">
            <w:pPr>
              <w:spacing w:beforeLines="50" w:line="360" w:lineRule="auto"/>
              <w:jc w:val="both"/>
              <w:rPr>
                <w:rFonts w:ascii="Times New Roman" w:hAnsi="Times New Roman" w:eastAsia="宋体" w:cs="Times New Roman"/>
                <w:color w:val="auto"/>
                <w:sz w:val="24"/>
                <w:szCs w:val="24"/>
                <w:lang w:eastAsia="zh-CN"/>
              </w:rPr>
            </w:pPr>
          </w:p>
          <w:p w14:paraId="1B6EE2FA">
            <w:pPr>
              <w:pStyle w:val="68"/>
              <w:numPr>
                <w:ilvl w:val="0"/>
                <w:numId w:val="13"/>
              </w:numPr>
              <w:spacing w:line="360" w:lineRule="auto"/>
              <w:ind w:left="0" w:leftChars="0" w:firstLine="0" w:firstLineChars="0"/>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 涉及主要成分理化性质情况</w:t>
            </w:r>
          </w:p>
          <w:tbl>
            <w:tblPr>
              <w:tblStyle w:val="2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61"/>
              <w:gridCol w:w="4960"/>
              <w:gridCol w:w="1035"/>
              <w:gridCol w:w="1349"/>
            </w:tblGrid>
            <w:tr w14:paraId="57FAA3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631" w:type="pct"/>
                  <w:noWrap w:val="0"/>
                  <w:vAlign w:val="center"/>
                </w:tcPr>
                <w:p w14:paraId="4A9C73DE">
                  <w:pPr>
                    <w:adjustRightInd w:val="0"/>
                    <w:snapToGrid w:val="0"/>
                    <w:spacing w:line="240" w:lineRule="auto"/>
                    <w:jc w:val="center"/>
                    <w:rPr>
                      <w:rFonts w:hint="eastAsia" w:ascii="Times New Roman" w:hAnsi="Times New Roman" w:eastAsia="宋体" w:cs="Times New Roman"/>
                      <w:b/>
                      <w:bCs/>
                      <w:color w:val="auto"/>
                      <w:sz w:val="21"/>
                      <w:szCs w:val="21"/>
                    </w:rPr>
                  </w:pPr>
                  <w:r>
                    <w:rPr>
                      <w:rFonts w:hint="eastAsia" w:ascii="Times New Roman" w:hAnsi="Times New Roman" w:eastAsia="宋体" w:cs="Times New Roman"/>
                      <w:b/>
                      <w:bCs/>
                      <w:color w:val="auto"/>
                      <w:sz w:val="21"/>
                      <w:szCs w:val="21"/>
                    </w:rPr>
                    <w:t>名称</w:t>
                  </w:r>
                </w:p>
              </w:tc>
              <w:tc>
                <w:tcPr>
                  <w:tcW w:w="2950" w:type="pct"/>
                  <w:noWrap w:val="0"/>
                  <w:vAlign w:val="center"/>
                </w:tcPr>
                <w:p w14:paraId="38336D11">
                  <w:pPr>
                    <w:adjustRightInd w:val="0"/>
                    <w:snapToGrid w:val="0"/>
                    <w:spacing w:line="240" w:lineRule="auto"/>
                    <w:jc w:val="center"/>
                    <w:rPr>
                      <w:rFonts w:hint="eastAsia" w:ascii="Times New Roman" w:hAnsi="Times New Roman" w:eastAsia="宋体" w:cs="Times New Roman"/>
                      <w:b/>
                      <w:bCs/>
                      <w:color w:val="auto"/>
                      <w:sz w:val="21"/>
                      <w:szCs w:val="21"/>
                    </w:rPr>
                  </w:pPr>
                  <w:r>
                    <w:rPr>
                      <w:rFonts w:hint="eastAsia" w:ascii="Times New Roman" w:hAnsi="Times New Roman" w:eastAsia="宋体" w:cs="Times New Roman"/>
                      <w:b/>
                      <w:bCs/>
                      <w:color w:val="auto"/>
                      <w:sz w:val="21"/>
                      <w:szCs w:val="21"/>
                    </w:rPr>
                    <w:t>理化特性</w:t>
                  </w:r>
                </w:p>
              </w:tc>
              <w:tc>
                <w:tcPr>
                  <w:tcW w:w="615" w:type="pct"/>
                  <w:noWrap w:val="0"/>
                  <w:vAlign w:val="center"/>
                </w:tcPr>
                <w:p w14:paraId="2ABA4E96">
                  <w:pPr>
                    <w:adjustRightInd w:val="0"/>
                    <w:snapToGrid w:val="0"/>
                    <w:spacing w:line="240" w:lineRule="auto"/>
                    <w:jc w:val="center"/>
                    <w:rPr>
                      <w:rFonts w:hint="eastAsia" w:ascii="Times New Roman" w:hAnsi="Times New Roman" w:eastAsia="宋体" w:cs="Times New Roman"/>
                      <w:b/>
                      <w:bCs/>
                      <w:color w:val="auto"/>
                      <w:sz w:val="21"/>
                      <w:szCs w:val="21"/>
                    </w:rPr>
                  </w:pPr>
                  <w:r>
                    <w:rPr>
                      <w:rFonts w:hint="eastAsia" w:ascii="Times New Roman" w:hAnsi="Times New Roman" w:eastAsia="宋体" w:cs="Times New Roman"/>
                      <w:b/>
                      <w:bCs/>
                      <w:color w:val="auto"/>
                      <w:sz w:val="21"/>
                      <w:szCs w:val="21"/>
                    </w:rPr>
                    <w:t>危险特性</w:t>
                  </w:r>
                </w:p>
              </w:tc>
              <w:tc>
                <w:tcPr>
                  <w:tcW w:w="802" w:type="pct"/>
                  <w:noWrap w:val="0"/>
                  <w:vAlign w:val="center"/>
                </w:tcPr>
                <w:p w14:paraId="628E3B86">
                  <w:pPr>
                    <w:adjustRightInd w:val="0"/>
                    <w:snapToGrid w:val="0"/>
                    <w:spacing w:line="240" w:lineRule="auto"/>
                    <w:jc w:val="center"/>
                    <w:rPr>
                      <w:rFonts w:hint="eastAsia" w:ascii="Times New Roman" w:hAnsi="Times New Roman" w:eastAsia="宋体" w:cs="Times New Roman"/>
                      <w:b/>
                      <w:bCs/>
                      <w:color w:val="auto"/>
                      <w:sz w:val="21"/>
                      <w:szCs w:val="21"/>
                    </w:rPr>
                  </w:pPr>
                  <w:r>
                    <w:rPr>
                      <w:rFonts w:hint="eastAsia" w:ascii="Times New Roman" w:hAnsi="Times New Roman" w:eastAsia="宋体" w:cs="Times New Roman"/>
                      <w:b/>
                      <w:bCs/>
                      <w:color w:val="auto"/>
                      <w:sz w:val="21"/>
                      <w:szCs w:val="21"/>
                    </w:rPr>
                    <w:t>毒性毒理</w:t>
                  </w:r>
                </w:p>
              </w:tc>
            </w:tr>
            <w:tr w14:paraId="0CC870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9" w:hRule="atLeast"/>
                <w:jc w:val="center"/>
              </w:trPr>
              <w:tc>
                <w:tcPr>
                  <w:tcW w:w="631" w:type="pct"/>
                  <w:noWrap w:val="0"/>
                  <w:vAlign w:val="center"/>
                </w:tcPr>
                <w:p w14:paraId="194D812F">
                  <w:pPr>
                    <w:adjustRightInd w:val="0"/>
                    <w:snapToGrid w:val="0"/>
                    <w:spacing w:line="240" w:lineRule="auto"/>
                    <w:jc w:val="center"/>
                    <w:rPr>
                      <w:rFonts w:hint="eastAsia" w:ascii="Times New Roman" w:hAnsi="Times New Roman" w:eastAsia="宋体" w:cs="Times New Roman"/>
                      <w:color w:val="auto"/>
                      <w:sz w:val="21"/>
                      <w:szCs w:val="21"/>
                    </w:rPr>
                  </w:pPr>
                  <w:r>
                    <w:rPr>
                      <w:rFonts w:hint="eastAsia"/>
                      <w:color w:val="auto"/>
                      <w:sz w:val="21"/>
                      <w:szCs w:val="21"/>
                    </w:rPr>
                    <w:t>聚醋酸乙烯树酯</w:t>
                  </w:r>
                </w:p>
              </w:tc>
              <w:tc>
                <w:tcPr>
                  <w:tcW w:w="2950" w:type="pct"/>
                  <w:noWrap w:val="0"/>
                  <w:vAlign w:val="center"/>
                </w:tcPr>
                <w:p w14:paraId="19070C00">
                  <w:pPr>
                    <w:adjustRightInd w:val="0"/>
                    <w:snapToGrid w:val="0"/>
                    <w:spacing w:line="240" w:lineRule="auto"/>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外观与性状：乳白色粘稠液体；pH值（指明浓度</w:t>
                  </w: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lang w:eastAsia="zh-CN"/>
                    </w:rPr>
                    <w:t>：约5；沸点、初沸点和沸程（℃</w:t>
                  </w: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lang w:eastAsia="zh-CN"/>
                    </w:rPr>
                    <w:t>：约100；相对密度（水=1</w:t>
                  </w: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lang w:eastAsia="zh-CN"/>
                    </w:rPr>
                    <w:t>：约1.05；气味：稍有气味；熔点/凝固点（℃</w:t>
                  </w: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lang w:eastAsia="zh-CN"/>
                    </w:rPr>
                    <w:t>：约0</w:t>
                  </w:r>
                </w:p>
              </w:tc>
              <w:tc>
                <w:tcPr>
                  <w:tcW w:w="615" w:type="pct"/>
                  <w:noWrap w:val="0"/>
                  <w:vAlign w:val="center"/>
                </w:tcPr>
                <w:p w14:paraId="576D22E5">
                  <w:pPr>
                    <w:adjustRightInd w:val="0"/>
                    <w:snapToGrid w:val="0"/>
                    <w:spacing w:line="240" w:lineRule="auto"/>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val="en-US" w:eastAsia="zh-CN"/>
                    </w:rPr>
                    <w:t>/</w:t>
                  </w:r>
                </w:p>
              </w:tc>
              <w:tc>
                <w:tcPr>
                  <w:tcW w:w="802" w:type="pct"/>
                  <w:noWrap w:val="0"/>
                  <w:vAlign w:val="center"/>
                </w:tcPr>
                <w:p w14:paraId="095A1379">
                  <w:pPr>
                    <w:adjustRightInd w:val="0"/>
                    <w:snapToGrid w:val="0"/>
                    <w:spacing w:line="240" w:lineRule="auto"/>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val="en-US" w:eastAsia="zh-CN"/>
                    </w:rPr>
                    <w:t>/</w:t>
                  </w:r>
                </w:p>
              </w:tc>
            </w:tr>
            <w:tr w14:paraId="0C639F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631" w:type="pct"/>
                  <w:noWrap w:val="0"/>
                  <w:vAlign w:val="center"/>
                </w:tcPr>
                <w:p w14:paraId="77726F88">
                  <w:pPr>
                    <w:adjustRightInd w:val="0"/>
                    <w:snapToGrid w:val="0"/>
                    <w:spacing w:line="240" w:lineRule="auto"/>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聚氨酯丙烯酸酯</w:t>
                  </w:r>
                </w:p>
              </w:tc>
              <w:tc>
                <w:tcPr>
                  <w:tcW w:w="2950" w:type="pct"/>
                  <w:noWrap w:val="0"/>
                  <w:vAlign w:val="center"/>
                </w:tcPr>
                <w:p w14:paraId="087A1729">
                  <w:pPr>
                    <w:adjustRightInd w:val="0"/>
                    <w:snapToGrid w:val="0"/>
                    <w:spacing w:line="240" w:lineRule="auto"/>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rPr>
                    <w:t>无色或淡黄色，密度</w:t>
                  </w: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rPr>
                    <w:t>一般在1.0~1.2g/cm</w:t>
                  </w:r>
                  <w:r>
                    <w:rPr>
                      <w:rFonts w:hint="eastAsia" w:ascii="Times New Roman" w:hAnsi="Times New Roman" w:eastAsia="宋体" w:cs="Times New Roman"/>
                      <w:color w:val="auto"/>
                      <w:sz w:val="21"/>
                      <w:szCs w:val="21"/>
                      <w:vertAlign w:val="superscript"/>
                      <w:lang w:val="en-US" w:eastAsia="zh-CN"/>
                    </w:rPr>
                    <w:t>3</w:t>
                  </w:r>
                </w:p>
              </w:tc>
              <w:tc>
                <w:tcPr>
                  <w:tcW w:w="615" w:type="pct"/>
                  <w:noWrap w:val="0"/>
                  <w:vAlign w:val="center"/>
                </w:tcPr>
                <w:p w14:paraId="7A61EEF3">
                  <w:pPr>
                    <w:adjustRightInd w:val="0"/>
                    <w:snapToGrid w:val="0"/>
                    <w:spacing w:line="240" w:lineRule="auto"/>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可燃</w:t>
                  </w:r>
                </w:p>
              </w:tc>
              <w:tc>
                <w:tcPr>
                  <w:tcW w:w="802" w:type="pct"/>
                  <w:noWrap w:val="0"/>
                  <w:vAlign w:val="center"/>
                </w:tcPr>
                <w:p w14:paraId="5C0F7DD6">
                  <w:pPr>
                    <w:adjustRightInd w:val="0"/>
                    <w:snapToGrid w:val="0"/>
                    <w:spacing w:line="240" w:lineRule="auto"/>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w:t>
                  </w:r>
                </w:p>
              </w:tc>
            </w:tr>
            <w:tr w14:paraId="23CABF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631" w:type="pct"/>
                  <w:noWrap w:val="0"/>
                  <w:vAlign w:val="center"/>
                </w:tcPr>
                <w:p w14:paraId="01B27170">
                  <w:pPr>
                    <w:adjustRightInd w:val="0"/>
                    <w:snapToGrid w:val="0"/>
                    <w:spacing w:line="240" w:lineRule="auto"/>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氧代二（甲基-2，1-亚乙基）二-2-丙</w:t>
                  </w:r>
                  <w:r>
                    <w:rPr>
                      <w:rFonts w:hint="default" w:ascii="Times New Roman" w:hAnsi="Times New Roman" w:eastAsia="宋体" w:cs="Times New Roman"/>
                      <w:color w:val="auto"/>
                      <w:sz w:val="21"/>
                      <w:szCs w:val="21"/>
                      <w:lang w:val="en-US" w:eastAsia="zh-CN"/>
                    </w:rPr>
                    <w:t>烯酸</w:t>
                  </w:r>
                </w:p>
              </w:tc>
              <w:tc>
                <w:tcPr>
                  <w:tcW w:w="2950" w:type="pct"/>
                  <w:noWrap w:val="0"/>
                  <w:vAlign w:val="center"/>
                </w:tcPr>
                <w:p w14:paraId="18029942">
                  <w:pPr>
                    <w:adjustRightInd w:val="0"/>
                    <w:snapToGrid w:val="0"/>
                    <w:spacing w:line="240" w:lineRule="auto"/>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无色至黄色液体，分子式C</w:t>
                  </w:r>
                  <w:r>
                    <w:rPr>
                      <w:rFonts w:hint="eastAsia" w:ascii="Times New Roman" w:hAnsi="Times New Roman" w:eastAsia="宋体" w:cs="Times New Roman"/>
                      <w:color w:val="auto"/>
                      <w:sz w:val="21"/>
                      <w:szCs w:val="21"/>
                      <w:vertAlign w:val="subscript"/>
                      <w:lang w:val="en-US" w:eastAsia="zh-CN"/>
                    </w:rPr>
                    <w:t>12</w:t>
                  </w:r>
                  <w:r>
                    <w:rPr>
                      <w:rFonts w:hint="eastAsia" w:ascii="Times New Roman" w:hAnsi="Times New Roman" w:eastAsia="宋体" w:cs="Times New Roman"/>
                      <w:color w:val="auto"/>
                      <w:sz w:val="21"/>
                      <w:szCs w:val="21"/>
                    </w:rPr>
                    <w:t>H</w:t>
                  </w:r>
                  <w:r>
                    <w:rPr>
                      <w:rFonts w:hint="eastAsia" w:ascii="Times New Roman" w:hAnsi="Times New Roman" w:eastAsia="宋体" w:cs="Times New Roman"/>
                      <w:color w:val="auto"/>
                      <w:sz w:val="21"/>
                      <w:szCs w:val="21"/>
                      <w:vertAlign w:val="subscript"/>
                      <w:lang w:val="en-US" w:eastAsia="zh-CN"/>
                    </w:rPr>
                    <w:t>18</w:t>
                  </w:r>
                  <w:r>
                    <w:rPr>
                      <w:rFonts w:hint="eastAsia" w:ascii="Times New Roman" w:hAnsi="Times New Roman" w:eastAsia="宋体" w:cs="Times New Roman"/>
                      <w:color w:val="auto"/>
                      <w:sz w:val="21"/>
                      <w:szCs w:val="21"/>
                    </w:rPr>
                    <w:t>O</w:t>
                  </w:r>
                  <w:r>
                    <w:rPr>
                      <w:rFonts w:hint="eastAsia" w:ascii="Times New Roman" w:hAnsi="Times New Roman" w:eastAsia="宋体" w:cs="Times New Roman"/>
                      <w:color w:val="auto"/>
                      <w:sz w:val="21"/>
                      <w:szCs w:val="21"/>
                      <w:vertAlign w:val="subscript"/>
                      <w:lang w:val="en-US" w:eastAsia="zh-CN"/>
                    </w:rPr>
                    <w:t>5</w:t>
                  </w:r>
                  <w:r>
                    <w:rPr>
                      <w:rFonts w:hint="eastAsia" w:ascii="Times New Roman" w:hAnsi="Times New Roman" w:eastAsia="宋体" w:cs="Times New Roman"/>
                      <w:color w:val="auto"/>
                      <w:sz w:val="21"/>
                      <w:szCs w:val="21"/>
                    </w:rPr>
                    <w:t>，分子量242</w:t>
                  </w:r>
                  <w:r>
                    <w:rPr>
                      <w:rFonts w:hint="eastAsia" w:ascii="Times New Roman" w:hAnsi="Times New Roman" w:eastAsia="宋体" w:cs="Times New Roman"/>
                      <w:color w:val="auto"/>
                      <w:sz w:val="21"/>
                      <w:szCs w:val="21"/>
                      <w:lang w:val="en-US" w:eastAsia="zh-CN"/>
                    </w:rPr>
                    <w:t>.</w:t>
                  </w:r>
                  <w:r>
                    <w:rPr>
                      <w:rFonts w:hint="eastAsia" w:ascii="Times New Roman" w:hAnsi="Times New Roman" w:eastAsia="宋体" w:cs="Times New Roman"/>
                      <w:color w:val="auto"/>
                      <w:sz w:val="21"/>
                      <w:szCs w:val="21"/>
                    </w:rPr>
                    <w:t>27</w:t>
                  </w:r>
                  <w:r>
                    <w:rPr>
                      <w:rFonts w:hint="eastAsia" w:ascii="Times New Roman" w:hAnsi="Times New Roman" w:eastAsia="宋体" w:cs="Times New Roman"/>
                      <w:color w:val="auto"/>
                      <w:sz w:val="21"/>
                      <w:szCs w:val="21"/>
                      <w:lang w:eastAsia="zh-CN"/>
                    </w:rPr>
                    <w:t>；蒸气压</w:t>
                  </w:r>
                  <w:r>
                    <w:rPr>
                      <w:rFonts w:hint="eastAsia" w:ascii="Times New Roman" w:hAnsi="Times New Roman" w:eastAsia="宋体" w:cs="Times New Roman"/>
                      <w:color w:val="auto"/>
                      <w:sz w:val="21"/>
                      <w:szCs w:val="21"/>
                    </w:rPr>
                    <w:t>0.085kPa/20</w:t>
                  </w: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rPr>
                    <w:t>，闪点110℃，密度1.05，沸点119-121</w:t>
                  </w: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rPr>
                    <w:t>水溶性5.2g/</w:t>
                  </w:r>
                  <w:r>
                    <w:rPr>
                      <w:rFonts w:hint="eastAsia" w:ascii="Times New Roman" w:hAnsi="Times New Roman" w:eastAsia="宋体" w:cs="Times New Roman"/>
                      <w:color w:val="auto"/>
                      <w:sz w:val="21"/>
                      <w:szCs w:val="21"/>
                      <w:lang w:val="en-US" w:eastAsia="zh-CN"/>
                    </w:rPr>
                    <w:t>L/</w:t>
                  </w:r>
                  <w:r>
                    <w:rPr>
                      <w:rFonts w:hint="eastAsia" w:ascii="Times New Roman" w:hAnsi="Times New Roman" w:eastAsia="宋体" w:cs="Times New Roman"/>
                      <w:color w:val="auto"/>
                      <w:sz w:val="21"/>
                      <w:szCs w:val="21"/>
                    </w:rPr>
                    <w:t>20</w:t>
                  </w: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rPr>
                    <w:t>溶解度丙酮</w:t>
                  </w: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rPr>
                    <w:t>微溶</w:t>
                  </w: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rPr>
                    <w:t>、苯</w:t>
                  </w: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rPr>
                    <w:t>折射率1.4500-1.4540</w:t>
                  </w:r>
                </w:p>
              </w:tc>
              <w:tc>
                <w:tcPr>
                  <w:tcW w:w="615" w:type="pct"/>
                  <w:noWrap w:val="0"/>
                  <w:vAlign w:val="center"/>
                </w:tcPr>
                <w:p w14:paraId="4DFA87D2">
                  <w:pPr>
                    <w:adjustRightInd w:val="0"/>
                    <w:snapToGrid w:val="0"/>
                    <w:spacing w:line="240" w:lineRule="auto"/>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易燃</w:t>
                  </w:r>
                </w:p>
              </w:tc>
              <w:tc>
                <w:tcPr>
                  <w:tcW w:w="802" w:type="pct"/>
                  <w:noWrap w:val="0"/>
                  <w:vAlign w:val="center"/>
                </w:tcPr>
                <w:p w14:paraId="302FAE72">
                  <w:pPr>
                    <w:adjustRightInd w:val="0"/>
                    <w:snapToGrid w:val="0"/>
                    <w:spacing w:line="240" w:lineRule="auto"/>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r>
            <w:tr w14:paraId="69D945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631" w:type="pct"/>
                  <w:noWrap w:val="0"/>
                  <w:vAlign w:val="center"/>
                </w:tcPr>
                <w:p w14:paraId="24C83609">
                  <w:pPr>
                    <w:adjustRightInd w:val="0"/>
                    <w:snapToGrid w:val="0"/>
                    <w:spacing w:line="24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三氧化二铝</w:t>
                  </w:r>
                </w:p>
              </w:tc>
              <w:tc>
                <w:tcPr>
                  <w:tcW w:w="2950" w:type="pct"/>
                  <w:noWrap w:val="0"/>
                  <w:vAlign w:val="center"/>
                </w:tcPr>
                <w:p w14:paraId="18DC0786">
                  <w:pPr>
                    <w:adjustRightInd w:val="0"/>
                    <w:snapToGrid w:val="0"/>
                    <w:spacing w:line="240" w:lineRule="auto"/>
                    <w:jc w:val="center"/>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白色粉末，熔点20</w:t>
                  </w:r>
                  <w:r>
                    <w:rPr>
                      <w:rFonts w:hint="eastAsia" w:ascii="Times New Roman" w:hAnsi="Times New Roman" w:eastAsia="宋体" w:cs="Times New Roman"/>
                      <w:color w:val="auto"/>
                      <w:sz w:val="21"/>
                      <w:szCs w:val="21"/>
                      <w:lang w:val="en-US" w:eastAsia="zh-CN"/>
                    </w:rPr>
                    <w:t>10-2050</w:t>
                  </w:r>
                  <w:r>
                    <w:rPr>
                      <w:rFonts w:hint="eastAsia" w:ascii="Times New Roman" w:hAnsi="Times New Roman" w:eastAsia="宋体" w:cs="Times New Roman"/>
                      <w:color w:val="auto"/>
                      <w:sz w:val="21"/>
                      <w:szCs w:val="21"/>
                    </w:rPr>
                    <w:t>℃，相对密度</w:t>
                  </w: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rPr>
                    <w:t>水</w:t>
                  </w:r>
                  <w:r>
                    <w:rPr>
                      <w:rFonts w:hint="eastAsia" w:ascii="Times New Roman" w:hAnsi="Times New Roman" w:eastAsia="宋体" w:cs="Times New Roman"/>
                      <w:color w:val="auto"/>
                      <w:sz w:val="21"/>
                      <w:szCs w:val="21"/>
                      <w:lang w:val="en-US" w:eastAsia="zh-CN"/>
                    </w:rPr>
                    <w:t>=</w:t>
                  </w:r>
                  <w:r>
                    <w:rPr>
                      <w:rFonts w:hint="eastAsia" w:ascii="Times New Roman" w:hAnsi="Times New Roman" w:eastAsia="宋体" w:cs="Times New Roman"/>
                      <w:color w:val="auto"/>
                      <w:sz w:val="21"/>
                      <w:szCs w:val="21"/>
                    </w:rPr>
                    <w:t>1</w:t>
                  </w: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rPr>
                    <w:t>3</w:t>
                  </w:r>
                  <w:r>
                    <w:rPr>
                      <w:rFonts w:hint="eastAsia" w:ascii="Times New Roman" w:hAnsi="Times New Roman" w:eastAsia="宋体" w:cs="Times New Roman"/>
                      <w:color w:val="auto"/>
                      <w:sz w:val="21"/>
                      <w:szCs w:val="21"/>
                      <w:lang w:val="en-US" w:eastAsia="zh-CN"/>
                    </w:rPr>
                    <w:t>97-4.0</w:t>
                  </w:r>
                  <w:r>
                    <w:rPr>
                      <w:rFonts w:hint="eastAsia" w:ascii="Times New Roman" w:hAnsi="Times New Roman" w:eastAsia="宋体" w:cs="Times New Roman"/>
                      <w:color w:val="auto"/>
                      <w:sz w:val="21"/>
                      <w:szCs w:val="21"/>
                    </w:rPr>
                    <w:t>，沸点2980℃，溶解性</w:t>
                  </w: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rPr>
                    <w:t>不溶于水，微溶于无机酸、碱液</w:t>
                  </w:r>
                </w:p>
              </w:tc>
              <w:tc>
                <w:tcPr>
                  <w:tcW w:w="615" w:type="pct"/>
                  <w:noWrap w:val="0"/>
                  <w:vAlign w:val="center"/>
                </w:tcPr>
                <w:p w14:paraId="21178929">
                  <w:pPr>
                    <w:adjustRightInd w:val="0"/>
                    <w:snapToGrid w:val="0"/>
                    <w:spacing w:line="240" w:lineRule="auto"/>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rPr>
                    <w:t>不燃烧，</w:t>
                  </w:r>
                  <w:r>
                    <w:rPr>
                      <w:rFonts w:hint="eastAsia" w:ascii="Times New Roman" w:hAnsi="Times New Roman" w:eastAsia="宋体" w:cs="Times New Roman"/>
                      <w:color w:val="auto"/>
                      <w:sz w:val="21"/>
                      <w:szCs w:val="21"/>
                      <w:lang w:eastAsia="zh-CN"/>
                    </w:rPr>
                    <w:t>具刺激性</w:t>
                  </w:r>
                </w:p>
              </w:tc>
              <w:tc>
                <w:tcPr>
                  <w:tcW w:w="802" w:type="pct"/>
                  <w:noWrap w:val="0"/>
                  <w:vAlign w:val="center"/>
                </w:tcPr>
                <w:p w14:paraId="02F5B695">
                  <w:pPr>
                    <w:adjustRightInd w:val="0"/>
                    <w:snapToGrid w:val="0"/>
                    <w:spacing w:line="240" w:lineRule="auto"/>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r>
          </w:tbl>
          <w:p w14:paraId="6FD8E0E6">
            <w:pPr>
              <w:spacing w:beforeLines="50" w:line="360" w:lineRule="auto"/>
              <w:jc w:val="both"/>
              <w:rPr>
                <w:rFonts w:ascii="Times New Roman" w:hAnsi="Times New Roman" w:eastAsia="宋体" w:cs="Times New Roman"/>
                <w:color w:val="auto"/>
                <w:sz w:val="24"/>
                <w:szCs w:val="24"/>
                <w:lang w:eastAsia="zh-CN"/>
              </w:rPr>
            </w:pPr>
          </w:p>
          <w:p w14:paraId="6CCEF800">
            <w:pPr>
              <w:pStyle w:val="68"/>
              <w:numPr>
                <w:ilvl w:val="0"/>
                <w:numId w:val="13"/>
              </w:numPr>
              <w:spacing w:line="360" w:lineRule="auto"/>
              <w:ind w:left="0" w:leftChars="0" w:firstLine="0" w:firstLineChars="0"/>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 UV底漆主要组成及含量</w:t>
            </w:r>
          </w:p>
          <w:tbl>
            <w:tblPr>
              <w:tblStyle w:val="26"/>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201"/>
              <w:gridCol w:w="5204"/>
            </w:tblGrid>
            <w:tr w14:paraId="1EB04A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04" w:type="pct"/>
                  <w:tcBorders>
                    <w:tl2br w:val="nil"/>
                    <w:tr2bl w:val="nil"/>
                  </w:tcBorders>
                  <w:noWrap w:val="0"/>
                  <w:vAlign w:val="center"/>
                </w:tcPr>
                <w:p w14:paraId="12D50336">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lang w:eastAsia="zh-CN"/>
                    </w:rPr>
                  </w:pPr>
                  <w:r>
                    <w:rPr>
                      <w:rFonts w:hint="eastAsia" w:ascii="Times New Roman" w:hAnsi="Times New Roman" w:eastAsia="宋体" w:cs="Times New Roman"/>
                      <w:color w:val="auto"/>
                      <w:lang w:eastAsia="zh-CN"/>
                    </w:rPr>
                    <w:t>名称</w:t>
                  </w:r>
                </w:p>
              </w:tc>
              <w:tc>
                <w:tcPr>
                  <w:tcW w:w="3095" w:type="pct"/>
                  <w:tcBorders>
                    <w:tl2br w:val="nil"/>
                    <w:tr2bl w:val="nil"/>
                  </w:tcBorders>
                  <w:noWrap w:val="0"/>
                  <w:vAlign w:val="center"/>
                </w:tcPr>
                <w:p w14:paraId="25739B1A">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lang w:eastAsia="zh-CN"/>
                    </w:rPr>
                  </w:pPr>
                  <w:r>
                    <w:rPr>
                      <w:rFonts w:hint="eastAsia" w:ascii="Times New Roman" w:hAnsi="Times New Roman" w:eastAsia="宋体" w:cs="Times New Roman"/>
                      <w:color w:val="auto"/>
                      <w:lang w:eastAsia="zh-CN"/>
                    </w:rPr>
                    <w:t>含量</w:t>
                  </w:r>
                </w:p>
              </w:tc>
            </w:tr>
            <w:tr w14:paraId="6CC6E9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04" w:type="pct"/>
                  <w:tcBorders>
                    <w:tl2br w:val="nil"/>
                    <w:tr2bl w:val="nil"/>
                  </w:tcBorders>
                  <w:noWrap w:val="0"/>
                  <w:vAlign w:val="center"/>
                </w:tcPr>
                <w:p w14:paraId="524232EA">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lang w:eastAsia="zh-CN"/>
                    </w:rPr>
                  </w:pPr>
                  <w:r>
                    <w:rPr>
                      <w:rFonts w:hint="eastAsia" w:ascii="Times New Roman" w:hAnsi="Times New Roman" w:eastAsia="宋体" w:cs="Times New Roman"/>
                      <w:color w:val="auto"/>
                      <w:lang w:eastAsia="zh-CN"/>
                    </w:rPr>
                    <w:t>挥发性有机物</w:t>
                  </w:r>
                </w:p>
              </w:tc>
              <w:tc>
                <w:tcPr>
                  <w:tcW w:w="3095" w:type="pct"/>
                  <w:tcBorders>
                    <w:tl2br w:val="nil"/>
                    <w:tr2bl w:val="nil"/>
                  </w:tcBorders>
                  <w:noWrap w:val="0"/>
                  <w:vAlign w:val="center"/>
                </w:tcPr>
                <w:p w14:paraId="5919B86C">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lang w:eastAsia="zh-CN"/>
                    </w:rPr>
                  </w:pPr>
                  <w:r>
                    <w:rPr>
                      <w:rFonts w:hint="eastAsia" w:ascii="Times New Roman" w:hAnsi="Times New Roman" w:eastAsia="宋体" w:cs="Times New Roman"/>
                      <w:color w:val="auto"/>
                      <w:lang w:val="en-US" w:eastAsia="zh-CN"/>
                    </w:rPr>
                    <w:t>49</w:t>
                  </w:r>
                  <w:r>
                    <w:rPr>
                      <w:rFonts w:hint="eastAsia" w:ascii="Times New Roman" w:hAnsi="Times New Roman" w:eastAsia="宋体" w:cs="Times New Roman"/>
                      <w:color w:val="auto"/>
                      <w:lang w:eastAsia="zh-CN"/>
                    </w:rPr>
                    <w:t>g/L</w:t>
                  </w:r>
                </w:p>
              </w:tc>
            </w:tr>
            <w:tr w14:paraId="2B05CF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04" w:type="pct"/>
                  <w:tcBorders>
                    <w:tl2br w:val="nil"/>
                    <w:tr2bl w:val="nil"/>
                  </w:tcBorders>
                  <w:noWrap w:val="0"/>
                  <w:vAlign w:val="center"/>
                </w:tcPr>
                <w:p w14:paraId="751C8FAD">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lang w:eastAsia="zh-CN"/>
                    </w:rPr>
                  </w:pPr>
                  <w:r>
                    <w:rPr>
                      <w:rFonts w:hint="eastAsia" w:ascii="Times New Roman" w:hAnsi="Times New Roman" w:eastAsia="宋体" w:cs="Times New Roman"/>
                      <w:color w:val="auto"/>
                      <w:lang w:eastAsia="zh-CN"/>
                    </w:rPr>
                    <w:t>游离甲醛</w:t>
                  </w:r>
                </w:p>
              </w:tc>
              <w:tc>
                <w:tcPr>
                  <w:tcW w:w="3095" w:type="pct"/>
                  <w:tcBorders>
                    <w:tl2br w:val="nil"/>
                    <w:tr2bl w:val="nil"/>
                  </w:tcBorders>
                  <w:noWrap w:val="0"/>
                  <w:vAlign w:val="center"/>
                </w:tcPr>
                <w:p w14:paraId="0756BF60">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eastAsia="zh-CN"/>
                    </w:rPr>
                    <w:t>未检出</w:t>
                  </w:r>
                </w:p>
              </w:tc>
            </w:tr>
            <w:tr w14:paraId="0326D5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04" w:type="pct"/>
                  <w:tcBorders>
                    <w:tl2br w:val="nil"/>
                    <w:tr2bl w:val="nil"/>
                  </w:tcBorders>
                  <w:noWrap w:val="0"/>
                  <w:vAlign w:val="center"/>
                </w:tcPr>
                <w:p w14:paraId="4AE61F14">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lang w:eastAsia="zh-CN"/>
                    </w:rPr>
                  </w:pPr>
                  <w:r>
                    <w:rPr>
                      <w:rFonts w:hint="eastAsia" w:ascii="Times New Roman" w:hAnsi="Times New Roman" w:eastAsia="宋体" w:cs="Times New Roman"/>
                      <w:color w:val="auto"/>
                      <w:lang w:eastAsia="zh-CN"/>
                    </w:rPr>
                    <w:t>总铅含量</w:t>
                  </w:r>
                </w:p>
              </w:tc>
              <w:tc>
                <w:tcPr>
                  <w:tcW w:w="3095" w:type="pct"/>
                  <w:tcBorders>
                    <w:tl2br w:val="nil"/>
                    <w:tr2bl w:val="nil"/>
                  </w:tcBorders>
                  <w:noWrap w:val="0"/>
                  <w:vAlign w:val="center"/>
                </w:tcPr>
                <w:p w14:paraId="0449E36D">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lang w:eastAsia="zh-CN"/>
                    </w:rPr>
                  </w:pPr>
                  <w:r>
                    <w:rPr>
                      <w:rFonts w:hint="eastAsia" w:ascii="Times New Roman" w:hAnsi="Times New Roman" w:eastAsia="宋体" w:cs="Times New Roman"/>
                      <w:color w:val="auto"/>
                      <w:lang w:eastAsia="zh-CN"/>
                    </w:rPr>
                    <w:t>未检出</w:t>
                  </w:r>
                </w:p>
              </w:tc>
            </w:tr>
            <w:tr w14:paraId="6D511A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04" w:type="pct"/>
                  <w:tcBorders>
                    <w:tl2br w:val="nil"/>
                    <w:tr2bl w:val="nil"/>
                  </w:tcBorders>
                  <w:noWrap w:val="0"/>
                  <w:vAlign w:val="center"/>
                </w:tcPr>
                <w:p w14:paraId="61C950FB">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lang w:eastAsia="zh-CN"/>
                    </w:rPr>
                  </w:pPr>
                  <w:r>
                    <w:rPr>
                      <w:rFonts w:hint="eastAsia" w:ascii="Times New Roman" w:hAnsi="Times New Roman" w:eastAsia="宋体" w:cs="Times New Roman"/>
                      <w:color w:val="auto"/>
                      <w:lang w:eastAsia="zh-CN"/>
                    </w:rPr>
                    <w:t>可溶性重金属（镉铬汞）含量</w:t>
                  </w:r>
                </w:p>
              </w:tc>
              <w:tc>
                <w:tcPr>
                  <w:tcW w:w="3095" w:type="pct"/>
                  <w:tcBorders>
                    <w:tl2br w:val="nil"/>
                    <w:tr2bl w:val="nil"/>
                  </w:tcBorders>
                  <w:noWrap w:val="0"/>
                  <w:vAlign w:val="center"/>
                </w:tcPr>
                <w:p w14:paraId="14601C97">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lang w:eastAsia="zh-CN"/>
                    </w:rPr>
                  </w:pPr>
                  <w:r>
                    <w:rPr>
                      <w:rFonts w:hint="eastAsia" w:ascii="Times New Roman" w:hAnsi="Times New Roman" w:eastAsia="宋体" w:cs="Times New Roman"/>
                      <w:color w:val="auto"/>
                      <w:lang w:eastAsia="zh-CN"/>
                    </w:rPr>
                    <w:t>未检出</w:t>
                  </w:r>
                </w:p>
              </w:tc>
            </w:tr>
            <w:tr w14:paraId="59AB97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04" w:type="pct"/>
                  <w:tcBorders>
                    <w:tl2br w:val="nil"/>
                    <w:tr2bl w:val="nil"/>
                  </w:tcBorders>
                  <w:noWrap w:val="0"/>
                  <w:vAlign w:val="center"/>
                </w:tcPr>
                <w:p w14:paraId="7AF9F103">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eastAsia="zh-CN"/>
                    </w:rPr>
                    <w:t>乙二醇醚及醚酯总和含量</w:t>
                  </w:r>
                </w:p>
              </w:tc>
              <w:tc>
                <w:tcPr>
                  <w:tcW w:w="3095" w:type="pct"/>
                  <w:tcBorders>
                    <w:tl2br w:val="nil"/>
                    <w:tr2bl w:val="nil"/>
                  </w:tcBorders>
                  <w:noWrap w:val="0"/>
                  <w:vAlign w:val="center"/>
                </w:tcPr>
                <w:p w14:paraId="04245067">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lang w:eastAsia="zh-CN"/>
                    </w:rPr>
                  </w:pPr>
                  <w:r>
                    <w:rPr>
                      <w:rFonts w:hint="eastAsia" w:ascii="Times New Roman" w:hAnsi="Times New Roman" w:eastAsia="宋体" w:cs="Times New Roman"/>
                      <w:color w:val="auto"/>
                      <w:lang w:eastAsia="zh-CN"/>
                    </w:rPr>
                    <w:t>未检出</w:t>
                  </w:r>
                </w:p>
              </w:tc>
            </w:tr>
            <w:tr w14:paraId="5BBA61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04" w:type="pct"/>
                  <w:tcBorders>
                    <w:tl2br w:val="nil"/>
                    <w:tr2bl w:val="nil"/>
                  </w:tcBorders>
                  <w:noWrap w:val="0"/>
                  <w:vAlign w:val="center"/>
                </w:tcPr>
                <w:p w14:paraId="45E75E31">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lang w:eastAsia="zh-CN"/>
                    </w:rPr>
                  </w:pPr>
                  <w:r>
                    <w:rPr>
                      <w:rFonts w:hint="eastAsia" w:ascii="Times New Roman" w:hAnsi="Times New Roman" w:eastAsia="宋体" w:cs="Times New Roman"/>
                      <w:color w:val="auto"/>
                      <w:lang w:eastAsia="zh-CN"/>
                    </w:rPr>
                    <w:t>多环芳烃总和含量</w:t>
                  </w:r>
                </w:p>
              </w:tc>
              <w:tc>
                <w:tcPr>
                  <w:tcW w:w="3095" w:type="pct"/>
                  <w:tcBorders>
                    <w:tl2br w:val="nil"/>
                    <w:tr2bl w:val="nil"/>
                  </w:tcBorders>
                  <w:noWrap w:val="0"/>
                  <w:vAlign w:val="center"/>
                </w:tcPr>
                <w:p w14:paraId="4578B8E6">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lang w:eastAsia="zh-CN"/>
                    </w:rPr>
                  </w:pPr>
                  <w:r>
                    <w:rPr>
                      <w:rFonts w:hint="eastAsia" w:ascii="Times New Roman" w:hAnsi="Times New Roman" w:eastAsia="宋体" w:cs="Times New Roman"/>
                      <w:color w:val="auto"/>
                      <w:lang w:eastAsia="zh-CN"/>
                    </w:rPr>
                    <w:t>未检出</w:t>
                  </w:r>
                </w:p>
              </w:tc>
            </w:tr>
            <w:tr w14:paraId="30B67D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04" w:type="pct"/>
                  <w:tcBorders>
                    <w:tl2br w:val="nil"/>
                    <w:tr2bl w:val="nil"/>
                  </w:tcBorders>
                  <w:noWrap w:val="0"/>
                  <w:vAlign w:val="center"/>
                </w:tcPr>
                <w:p w14:paraId="6B9FE3ED">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lang w:eastAsia="zh-CN"/>
                    </w:rPr>
                  </w:pPr>
                  <w:r>
                    <w:rPr>
                      <w:rFonts w:hint="eastAsia" w:ascii="Times New Roman" w:hAnsi="Times New Roman" w:eastAsia="宋体" w:cs="Times New Roman"/>
                      <w:color w:val="auto"/>
                      <w:lang w:eastAsia="zh-CN"/>
                    </w:rPr>
                    <w:t>卤代烃总和含量</w:t>
                  </w:r>
                </w:p>
              </w:tc>
              <w:tc>
                <w:tcPr>
                  <w:tcW w:w="3095" w:type="pct"/>
                  <w:tcBorders>
                    <w:tl2br w:val="nil"/>
                    <w:tr2bl w:val="nil"/>
                  </w:tcBorders>
                  <w:noWrap w:val="0"/>
                  <w:vAlign w:val="center"/>
                </w:tcPr>
                <w:p w14:paraId="00E67BAE">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lang w:eastAsia="zh-CN"/>
                    </w:rPr>
                  </w:pPr>
                  <w:r>
                    <w:rPr>
                      <w:rFonts w:hint="eastAsia" w:ascii="Times New Roman" w:hAnsi="Times New Roman" w:eastAsia="宋体" w:cs="Times New Roman"/>
                      <w:color w:val="auto"/>
                      <w:lang w:eastAsia="zh-CN"/>
                    </w:rPr>
                    <w:t>未检出</w:t>
                  </w:r>
                </w:p>
              </w:tc>
            </w:tr>
            <w:tr w14:paraId="264A5C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04" w:type="pct"/>
                  <w:tcBorders>
                    <w:tl2br w:val="nil"/>
                    <w:tr2bl w:val="nil"/>
                  </w:tcBorders>
                  <w:noWrap w:val="0"/>
                  <w:vAlign w:val="center"/>
                </w:tcPr>
                <w:p w14:paraId="370A0BF7">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lang w:eastAsia="zh-CN"/>
                    </w:rPr>
                  </w:pPr>
                  <w:r>
                    <w:rPr>
                      <w:rFonts w:hint="eastAsia" w:ascii="Times New Roman" w:hAnsi="Times New Roman" w:eastAsia="宋体" w:cs="Times New Roman"/>
                      <w:color w:val="auto"/>
                      <w:lang w:eastAsia="zh-CN"/>
                    </w:rPr>
                    <w:t>苯及苯系物</w:t>
                  </w:r>
                </w:p>
              </w:tc>
              <w:tc>
                <w:tcPr>
                  <w:tcW w:w="3095" w:type="pct"/>
                  <w:tcBorders>
                    <w:tl2br w:val="nil"/>
                    <w:tr2bl w:val="nil"/>
                  </w:tcBorders>
                  <w:noWrap w:val="0"/>
                  <w:vAlign w:val="center"/>
                </w:tcPr>
                <w:p w14:paraId="66601D1A">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eastAsia="zh-CN"/>
                    </w:rPr>
                    <w:t>未检出</w:t>
                  </w:r>
                </w:p>
              </w:tc>
            </w:tr>
          </w:tbl>
          <w:p w14:paraId="3C2DD3B8">
            <w:pPr>
              <w:spacing w:beforeLines="50" w:line="360" w:lineRule="auto"/>
              <w:jc w:val="both"/>
              <w:rPr>
                <w:rFonts w:ascii="Times New Roman" w:hAnsi="Times New Roman" w:eastAsia="宋体" w:cs="Times New Roman"/>
                <w:color w:val="auto"/>
                <w:sz w:val="24"/>
                <w:szCs w:val="24"/>
                <w:lang w:eastAsia="zh-CN"/>
              </w:rPr>
            </w:pPr>
          </w:p>
          <w:p w14:paraId="47A4D09C">
            <w:pPr>
              <w:pStyle w:val="68"/>
              <w:numPr>
                <w:ilvl w:val="0"/>
                <w:numId w:val="13"/>
              </w:numPr>
              <w:spacing w:line="360" w:lineRule="auto"/>
              <w:ind w:left="0" w:leftChars="0" w:firstLine="0" w:firstLineChars="0"/>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 </w:t>
            </w:r>
            <w:r>
              <w:rPr>
                <w:rFonts w:hint="eastAsia" w:ascii="Times New Roman" w:hAnsi="Times New Roman" w:eastAsia="宋体" w:cs="Times New Roman"/>
                <w:color w:val="auto"/>
                <w:highlight w:val="none"/>
                <w:lang w:val="en-US" w:eastAsia="zh-CN"/>
              </w:rPr>
              <w:t>UV面漆主要组成及含量</w:t>
            </w:r>
          </w:p>
          <w:tbl>
            <w:tblPr>
              <w:tblStyle w:val="26"/>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201"/>
              <w:gridCol w:w="5204"/>
            </w:tblGrid>
            <w:tr w14:paraId="45652F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04" w:type="pct"/>
                  <w:tcBorders>
                    <w:tl2br w:val="nil"/>
                    <w:tr2bl w:val="nil"/>
                  </w:tcBorders>
                  <w:noWrap w:val="0"/>
                  <w:vAlign w:val="center"/>
                </w:tcPr>
                <w:p w14:paraId="1DDB9573">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lang w:eastAsia="zh-CN"/>
                    </w:rPr>
                  </w:pPr>
                  <w:r>
                    <w:rPr>
                      <w:rFonts w:hint="eastAsia" w:ascii="Times New Roman" w:hAnsi="Times New Roman" w:eastAsia="宋体" w:cs="Times New Roman"/>
                      <w:color w:val="auto"/>
                      <w:lang w:eastAsia="zh-CN"/>
                    </w:rPr>
                    <w:t>名称</w:t>
                  </w:r>
                </w:p>
              </w:tc>
              <w:tc>
                <w:tcPr>
                  <w:tcW w:w="3095" w:type="pct"/>
                  <w:tcBorders>
                    <w:tl2br w:val="nil"/>
                    <w:tr2bl w:val="nil"/>
                  </w:tcBorders>
                  <w:noWrap w:val="0"/>
                  <w:vAlign w:val="center"/>
                </w:tcPr>
                <w:p w14:paraId="3DA60A82">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lang w:eastAsia="zh-CN"/>
                    </w:rPr>
                  </w:pPr>
                  <w:r>
                    <w:rPr>
                      <w:rFonts w:hint="eastAsia" w:ascii="Times New Roman" w:hAnsi="Times New Roman" w:eastAsia="宋体" w:cs="Times New Roman"/>
                      <w:color w:val="auto"/>
                      <w:lang w:eastAsia="zh-CN"/>
                    </w:rPr>
                    <w:t>含量</w:t>
                  </w:r>
                </w:p>
              </w:tc>
            </w:tr>
            <w:tr w14:paraId="0573C7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04" w:type="pct"/>
                  <w:tcBorders>
                    <w:tl2br w:val="nil"/>
                    <w:tr2bl w:val="nil"/>
                  </w:tcBorders>
                  <w:noWrap w:val="0"/>
                  <w:vAlign w:val="center"/>
                </w:tcPr>
                <w:p w14:paraId="2436D54F">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lang w:eastAsia="zh-CN"/>
                    </w:rPr>
                  </w:pPr>
                  <w:r>
                    <w:rPr>
                      <w:rFonts w:hint="eastAsia" w:ascii="Times New Roman" w:hAnsi="Times New Roman" w:eastAsia="宋体" w:cs="Times New Roman"/>
                      <w:color w:val="auto"/>
                      <w:lang w:eastAsia="zh-CN"/>
                    </w:rPr>
                    <w:t>挥发性有机物</w:t>
                  </w:r>
                </w:p>
              </w:tc>
              <w:tc>
                <w:tcPr>
                  <w:tcW w:w="3095" w:type="pct"/>
                  <w:tcBorders>
                    <w:tl2br w:val="nil"/>
                    <w:tr2bl w:val="nil"/>
                  </w:tcBorders>
                  <w:noWrap w:val="0"/>
                  <w:vAlign w:val="center"/>
                </w:tcPr>
                <w:p w14:paraId="1DFC18E1">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lang w:eastAsia="zh-CN"/>
                    </w:rPr>
                  </w:pPr>
                  <w:r>
                    <w:rPr>
                      <w:rFonts w:hint="eastAsia" w:ascii="Times New Roman" w:hAnsi="Times New Roman" w:eastAsia="宋体" w:cs="Times New Roman"/>
                      <w:color w:val="auto"/>
                      <w:lang w:val="en-US" w:eastAsia="zh-CN"/>
                    </w:rPr>
                    <w:t>54</w:t>
                  </w:r>
                  <w:r>
                    <w:rPr>
                      <w:rFonts w:hint="eastAsia" w:ascii="Times New Roman" w:hAnsi="Times New Roman" w:eastAsia="宋体" w:cs="Times New Roman"/>
                      <w:color w:val="auto"/>
                      <w:lang w:eastAsia="zh-CN"/>
                    </w:rPr>
                    <w:t xml:space="preserve"> g/L</w:t>
                  </w:r>
                </w:p>
              </w:tc>
            </w:tr>
            <w:tr w14:paraId="77F203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04" w:type="pct"/>
                  <w:tcBorders>
                    <w:tl2br w:val="nil"/>
                    <w:tr2bl w:val="nil"/>
                  </w:tcBorders>
                  <w:noWrap w:val="0"/>
                  <w:vAlign w:val="center"/>
                </w:tcPr>
                <w:p w14:paraId="29B68CA1">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lang w:eastAsia="zh-CN"/>
                    </w:rPr>
                  </w:pPr>
                  <w:r>
                    <w:rPr>
                      <w:rFonts w:hint="eastAsia" w:ascii="Times New Roman" w:hAnsi="Times New Roman" w:eastAsia="宋体" w:cs="Times New Roman"/>
                      <w:color w:val="auto"/>
                      <w:lang w:eastAsia="zh-CN"/>
                    </w:rPr>
                    <w:t>游离甲醛</w:t>
                  </w:r>
                </w:p>
              </w:tc>
              <w:tc>
                <w:tcPr>
                  <w:tcW w:w="3095" w:type="pct"/>
                  <w:tcBorders>
                    <w:tl2br w:val="nil"/>
                    <w:tr2bl w:val="nil"/>
                  </w:tcBorders>
                  <w:noWrap w:val="0"/>
                  <w:vAlign w:val="center"/>
                </w:tcPr>
                <w:p w14:paraId="57494D36">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eastAsia="zh-CN"/>
                    </w:rPr>
                    <w:t>未检出</w:t>
                  </w:r>
                </w:p>
              </w:tc>
            </w:tr>
            <w:tr w14:paraId="2CB7F9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04" w:type="pct"/>
                  <w:tcBorders>
                    <w:tl2br w:val="nil"/>
                    <w:tr2bl w:val="nil"/>
                  </w:tcBorders>
                  <w:noWrap w:val="0"/>
                  <w:vAlign w:val="center"/>
                </w:tcPr>
                <w:p w14:paraId="023B81F7">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lang w:eastAsia="zh-CN"/>
                    </w:rPr>
                  </w:pPr>
                  <w:r>
                    <w:rPr>
                      <w:rFonts w:hint="eastAsia" w:ascii="Times New Roman" w:hAnsi="Times New Roman" w:eastAsia="宋体" w:cs="Times New Roman"/>
                      <w:color w:val="auto"/>
                      <w:lang w:eastAsia="zh-CN"/>
                    </w:rPr>
                    <w:t>总铅含量</w:t>
                  </w:r>
                </w:p>
              </w:tc>
              <w:tc>
                <w:tcPr>
                  <w:tcW w:w="3095" w:type="pct"/>
                  <w:tcBorders>
                    <w:tl2br w:val="nil"/>
                    <w:tr2bl w:val="nil"/>
                  </w:tcBorders>
                  <w:noWrap w:val="0"/>
                  <w:vAlign w:val="center"/>
                </w:tcPr>
                <w:p w14:paraId="73432ADE">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lang w:eastAsia="zh-CN"/>
                    </w:rPr>
                  </w:pPr>
                  <w:r>
                    <w:rPr>
                      <w:rFonts w:hint="eastAsia" w:ascii="Times New Roman" w:hAnsi="Times New Roman" w:eastAsia="宋体" w:cs="Times New Roman"/>
                      <w:color w:val="auto"/>
                      <w:lang w:eastAsia="zh-CN"/>
                    </w:rPr>
                    <w:t>未检出</w:t>
                  </w:r>
                </w:p>
              </w:tc>
            </w:tr>
            <w:tr w14:paraId="3B7007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04" w:type="pct"/>
                  <w:tcBorders>
                    <w:tl2br w:val="nil"/>
                    <w:tr2bl w:val="nil"/>
                  </w:tcBorders>
                  <w:noWrap w:val="0"/>
                  <w:vAlign w:val="center"/>
                </w:tcPr>
                <w:p w14:paraId="0D5954EB">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lang w:eastAsia="zh-CN"/>
                    </w:rPr>
                  </w:pPr>
                  <w:r>
                    <w:rPr>
                      <w:rFonts w:hint="eastAsia" w:ascii="Times New Roman" w:hAnsi="Times New Roman" w:eastAsia="宋体" w:cs="Times New Roman"/>
                      <w:color w:val="auto"/>
                      <w:lang w:eastAsia="zh-CN"/>
                    </w:rPr>
                    <w:t>可溶性重金属（镉铬汞）含量</w:t>
                  </w:r>
                </w:p>
              </w:tc>
              <w:tc>
                <w:tcPr>
                  <w:tcW w:w="3095" w:type="pct"/>
                  <w:tcBorders>
                    <w:tl2br w:val="nil"/>
                    <w:tr2bl w:val="nil"/>
                  </w:tcBorders>
                  <w:noWrap w:val="0"/>
                  <w:vAlign w:val="center"/>
                </w:tcPr>
                <w:p w14:paraId="1EE042B9">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lang w:eastAsia="zh-CN"/>
                    </w:rPr>
                  </w:pPr>
                  <w:r>
                    <w:rPr>
                      <w:rFonts w:hint="eastAsia" w:ascii="Times New Roman" w:hAnsi="Times New Roman" w:eastAsia="宋体" w:cs="Times New Roman"/>
                      <w:color w:val="auto"/>
                      <w:lang w:eastAsia="zh-CN"/>
                    </w:rPr>
                    <w:t>未检出</w:t>
                  </w:r>
                </w:p>
              </w:tc>
            </w:tr>
            <w:tr w14:paraId="64522E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04" w:type="pct"/>
                  <w:tcBorders>
                    <w:tl2br w:val="nil"/>
                    <w:tr2bl w:val="nil"/>
                  </w:tcBorders>
                  <w:noWrap w:val="0"/>
                  <w:vAlign w:val="center"/>
                </w:tcPr>
                <w:p w14:paraId="345FE9C5">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eastAsia="zh-CN"/>
                    </w:rPr>
                    <w:t>乙二醇醚及醚酯总和含量</w:t>
                  </w:r>
                </w:p>
              </w:tc>
              <w:tc>
                <w:tcPr>
                  <w:tcW w:w="3095" w:type="pct"/>
                  <w:tcBorders>
                    <w:tl2br w:val="nil"/>
                    <w:tr2bl w:val="nil"/>
                  </w:tcBorders>
                  <w:noWrap w:val="0"/>
                  <w:vAlign w:val="center"/>
                </w:tcPr>
                <w:p w14:paraId="103CD99F">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lang w:eastAsia="zh-CN"/>
                    </w:rPr>
                  </w:pPr>
                  <w:r>
                    <w:rPr>
                      <w:rFonts w:hint="eastAsia" w:ascii="Times New Roman" w:hAnsi="Times New Roman" w:eastAsia="宋体" w:cs="Times New Roman"/>
                      <w:color w:val="auto"/>
                      <w:lang w:eastAsia="zh-CN"/>
                    </w:rPr>
                    <w:t>未检出</w:t>
                  </w:r>
                </w:p>
              </w:tc>
            </w:tr>
            <w:tr w14:paraId="37B1FB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04" w:type="pct"/>
                  <w:tcBorders>
                    <w:tl2br w:val="nil"/>
                    <w:tr2bl w:val="nil"/>
                  </w:tcBorders>
                  <w:noWrap w:val="0"/>
                  <w:vAlign w:val="center"/>
                </w:tcPr>
                <w:p w14:paraId="0D78731D">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lang w:eastAsia="zh-CN"/>
                    </w:rPr>
                  </w:pPr>
                  <w:r>
                    <w:rPr>
                      <w:rFonts w:hint="eastAsia" w:ascii="Times New Roman" w:hAnsi="Times New Roman" w:eastAsia="宋体" w:cs="Times New Roman"/>
                      <w:color w:val="auto"/>
                      <w:lang w:eastAsia="zh-CN"/>
                    </w:rPr>
                    <w:t>多环芳烃总和含量</w:t>
                  </w:r>
                </w:p>
              </w:tc>
              <w:tc>
                <w:tcPr>
                  <w:tcW w:w="3095" w:type="pct"/>
                  <w:tcBorders>
                    <w:tl2br w:val="nil"/>
                    <w:tr2bl w:val="nil"/>
                  </w:tcBorders>
                  <w:noWrap w:val="0"/>
                  <w:vAlign w:val="center"/>
                </w:tcPr>
                <w:p w14:paraId="3591FB8C">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lang w:eastAsia="zh-CN"/>
                    </w:rPr>
                  </w:pPr>
                  <w:r>
                    <w:rPr>
                      <w:rFonts w:hint="eastAsia" w:ascii="Times New Roman" w:hAnsi="Times New Roman" w:eastAsia="宋体" w:cs="Times New Roman"/>
                      <w:color w:val="auto"/>
                      <w:lang w:eastAsia="zh-CN"/>
                    </w:rPr>
                    <w:t>未检出</w:t>
                  </w:r>
                </w:p>
              </w:tc>
            </w:tr>
            <w:tr w14:paraId="5A2582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04" w:type="pct"/>
                  <w:tcBorders>
                    <w:tl2br w:val="nil"/>
                    <w:tr2bl w:val="nil"/>
                  </w:tcBorders>
                  <w:noWrap w:val="0"/>
                  <w:vAlign w:val="center"/>
                </w:tcPr>
                <w:p w14:paraId="7515DBD3">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lang w:eastAsia="zh-CN"/>
                    </w:rPr>
                  </w:pPr>
                  <w:r>
                    <w:rPr>
                      <w:rFonts w:hint="eastAsia" w:ascii="Times New Roman" w:hAnsi="Times New Roman" w:eastAsia="宋体" w:cs="Times New Roman"/>
                      <w:color w:val="auto"/>
                      <w:lang w:eastAsia="zh-CN"/>
                    </w:rPr>
                    <w:t>卤代烃总和含量</w:t>
                  </w:r>
                </w:p>
              </w:tc>
              <w:tc>
                <w:tcPr>
                  <w:tcW w:w="3095" w:type="pct"/>
                  <w:tcBorders>
                    <w:tl2br w:val="nil"/>
                    <w:tr2bl w:val="nil"/>
                  </w:tcBorders>
                  <w:noWrap w:val="0"/>
                  <w:vAlign w:val="center"/>
                </w:tcPr>
                <w:p w14:paraId="48EB944F">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lang w:eastAsia="zh-CN"/>
                    </w:rPr>
                  </w:pPr>
                  <w:r>
                    <w:rPr>
                      <w:rFonts w:hint="eastAsia" w:ascii="Times New Roman" w:hAnsi="Times New Roman" w:eastAsia="宋体" w:cs="Times New Roman"/>
                      <w:color w:val="auto"/>
                      <w:lang w:eastAsia="zh-CN"/>
                    </w:rPr>
                    <w:t>未检出</w:t>
                  </w:r>
                </w:p>
              </w:tc>
            </w:tr>
            <w:tr w14:paraId="656B44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04" w:type="pct"/>
                  <w:tcBorders>
                    <w:tl2br w:val="nil"/>
                    <w:tr2bl w:val="nil"/>
                  </w:tcBorders>
                  <w:noWrap w:val="0"/>
                  <w:vAlign w:val="center"/>
                </w:tcPr>
                <w:p w14:paraId="75961C3E">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lang w:eastAsia="zh-CN"/>
                    </w:rPr>
                  </w:pPr>
                  <w:r>
                    <w:rPr>
                      <w:rFonts w:hint="eastAsia" w:ascii="Times New Roman" w:hAnsi="Times New Roman" w:eastAsia="宋体" w:cs="Times New Roman"/>
                      <w:color w:val="auto"/>
                      <w:lang w:eastAsia="zh-CN"/>
                    </w:rPr>
                    <w:t>苯及苯系物</w:t>
                  </w:r>
                </w:p>
              </w:tc>
              <w:tc>
                <w:tcPr>
                  <w:tcW w:w="3095" w:type="pct"/>
                  <w:tcBorders>
                    <w:tl2br w:val="nil"/>
                    <w:tr2bl w:val="nil"/>
                  </w:tcBorders>
                  <w:noWrap w:val="0"/>
                  <w:vAlign w:val="center"/>
                </w:tcPr>
                <w:p w14:paraId="6E2CC9E5">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eastAsia="zh-CN"/>
                    </w:rPr>
                    <w:t>未检出</w:t>
                  </w:r>
                </w:p>
              </w:tc>
            </w:tr>
          </w:tbl>
          <w:p w14:paraId="1D102AC6">
            <w:pPr>
              <w:pStyle w:val="59"/>
              <w:spacing w:line="240" w:lineRule="auto"/>
              <w:ind w:left="0" w:leftChars="0" w:firstLine="0" w:firstLineChars="0"/>
              <w:rPr>
                <w:color w:val="auto"/>
                <w:sz w:val="24"/>
                <w:highlight w:val="none"/>
              </w:rPr>
            </w:pPr>
          </w:p>
          <w:p w14:paraId="1BE271EA">
            <w:pPr>
              <w:tabs>
                <w:tab w:val="left" w:pos="2802"/>
                <w:tab w:val="center" w:pos="4728"/>
              </w:tabs>
              <w:ind w:firstLine="480" w:firstLineChars="200"/>
              <w:jc w:val="left"/>
              <w:rPr>
                <w:color w:val="auto"/>
                <w:sz w:val="24"/>
                <w:highlight w:val="none"/>
              </w:rPr>
            </w:pPr>
            <w:r>
              <w:rPr>
                <w:rFonts w:hint="eastAsia"/>
                <w:color w:val="auto"/>
                <w:sz w:val="24"/>
                <w:szCs w:val="24"/>
                <w:lang w:eastAsia="zh-CN"/>
              </w:rPr>
              <w:t>通过上表可知，</w:t>
            </w:r>
            <w:r>
              <w:rPr>
                <w:color w:val="auto"/>
                <w:sz w:val="24"/>
                <w:szCs w:val="24"/>
              </w:rPr>
              <w:t>本项目</w:t>
            </w:r>
            <w:r>
              <w:rPr>
                <w:rFonts w:hint="eastAsia"/>
                <w:color w:val="auto"/>
                <w:sz w:val="24"/>
                <w:szCs w:val="24"/>
                <w:lang w:eastAsia="zh-CN"/>
              </w:rPr>
              <w:t>木工胶为水性胶黏剂，</w:t>
            </w:r>
            <w:r>
              <w:rPr>
                <w:rFonts w:hint="eastAsia"/>
                <w:color w:val="auto"/>
                <w:sz w:val="24"/>
                <w:szCs w:val="24"/>
              </w:rPr>
              <w:t>UV</w:t>
            </w:r>
            <w:r>
              <w:rPr>
                <w:color w:val="auto"/>
                <w:sz w:val="24"/>
                <w:szCs w:val="24"/>
              </w:rPr>
              <w:t>底漆VOCs含量</w:t>
            </w:r>
            <w:r>
              <w:rPr>
                <w:rFonts w:hint="eastAsia"/>
                <w:color w:val="auto"/>
                <w:sz w:val="24"/>
                <w:szCs w:val="24"/>
                <w:lang w:val="en-US" w:eastAsia="zh-CN"/>
              </w:rPr>
              <w:t>49</w:t>
            </w:r>
            <w:r>
              <w:rPr>
                <w:color w:val="auto"/>
                <w:sz w:val="24"/>
                <w:szCs w:val="24"/>
              </w:rPr>
              <w:t>g/L</w:t>
            </w:r>
            <w:r>
              <w:rPr>
                <w:rFonts w:hint="eastAsia"/>
                <w:color w:val="auto"/>
                <w:sz w:val="24"/>
                <w:szCs w:val="24"/>
                <w:lang w:eastAsia="zh-CN"/>
              </w:rPr>
              <w:t>，</w:t>
            </w:r>
            <w:r>
              <w:rPr>
                <w:rFonts w:hint="eastAsia"/>
                <w:color w:val="auto"/>
                <w:sz w:val="24"/>
                <w:szCs w:val="24"/>
              </w:rPr>
              <w:t>UV</w:t>
            </w:r>
            <w:r>
              <w:rPr>
                <w:color w:val="auto"/>
                <w:sz w:val="24"/>
                <w:szCs w:val="24"/>
              </w:rPr>
              <w:t>面漆VOCs含量</w:t>
            </w:r>
            <w:r>
              <w:rPr>
                <w:rFonts w:hint="eastAsia"/>
                <w:color w:val="auto"/>
                <w:sz w:val="24"/>
                <w:szCs w:val="24"/>
                <w:lang w:val="en-US" w:eastAsia="zh-CN"/>
              </w:rPr>
              <w:t>54</w:t>
            </w:r>
            <w:r>
              <w:rPr>
                <w:color w:val="auto"/>
                <w:sz w:val="24"/>
                <w:szCs w:val="24"/>
              </w:rPr>
              <w:t>g/L</w:t>
            </w:r>
            <w:r>
              <w:rPr>
                <w:rFonts w:hint="eastAsia"/>
                <w:color w:val="auto"/>
                <w:sz w:val="24"/>
                <w:szCs w:val="24"/>
                <w:lang w:eastAsia="zh-CN"/>
              </w:rPr>
              <w:t>，</w:t>
            </w:r>
            <w:r>
              <w:rPr>
                <w:color w:val="auto"/>
                <w:sz w:val="24"/>
                <w:szCs w:val="24"/>
              </w:rPr>
              <w:t>满足《低挥发性有机化合物含量涂料产品技术要求》（GB/T38597-2020）</w:t>
            </w:r>
            <w:r>
              <w:rPr>
                <w:rFonts w:hint="eastAsia"/>
                <w:color w:val="auto"/>
                <w:sz w:val="24"/>
                <w:szCs w:val="24"/>
                <w:lang w:eastAsia="zh-CN"/>
              </w:rPr>
              <w:t>表4中木质基材的非水性涂料限量值：≤100g/L</w:t>
            </w:r>
            <w:r>
              <w:rPr>
                <w:color w:val="auto"/>
                <w:sz w:val="24"/>
                <w:szCs w:val="24"/>
              </w:rPr>
              <w:t>的要求</w:t>
            </w:r>
            <w:r>
              <w:rPr>
                <w:rFonts w:hint="eastAsia"/>
                <w:color w:val="auto"/>
                <w:sz w:val="24"/>
                <w:szCs w:val="24"/>
                <w:lang w:eastAsia="zh-CN"/>
              </w:rPr>
              <w:t>。</w:t>
            </w:r>
            <w:r>
              <w:rPr>
                <w:color w:val="auto"/>
                <w:sz w:val="24"/>
                <w:szCs w:val="24"/>
              </w:rPr>
              <w:t>因此，本项目所使用的涂料均为低挥发性有机物涂料。</w:t>
            </w:r>
            <w:r>
              <w:rPr>
                <w:color w:val="auto"/>
                <w:sz w:val="24"/>
                <w:highlight w:val="none"/>
              </w:rPr>
              <w:t>‌‌</w:t>
            </w:r>
          </w:p>
          <w:p w14:paraId="6FBF7520">
            <w:pPr>
              <w:pStyle w:val="69"/>
              <w:rPr>
                <w:color w:val="auto"/>
                <w:sz w:val="24"/>
                <w:highlight w:val="none"/>
              </w:rPr>
            </w:pPr>
            <w:r>
              <w:rPr>
                <w:rFonts w:hint="eastAsia"/>
                <w:color w:val="auto"/>
                <w:sz w:val="24"/>
                <w:highlight w:val="none"/>
              </w:rPr>
              <w:t>5、</w:t>
            </w:r>
            <w:r>
              <w:rPr>
                <w:color w:val="auto"/>
                <w:sz w:val="24"/>
                <w:highlight w:val="none"/>
              </w:rPr>
              <w:t>项目产品与产量</w:t>
            </w:r>
          </w:p>
          <w:p w14:paraId="11380FE9">
            <w:pPr>
              <w:pStyle w:val="59"/>
              <w:ind w:firstLine="480"/>
              <w:rPr>
                <w:color w:val="auto"/>
                <w:sz w:val="24"/>
                <w:highlight w:val="none"/>
              </w:rPr>
            </w:pPr>
            <w:r>
              <w:rPr>
                <w:rFonts w:hint="eastAsia"/>
                <w:color w:val="auto"/>
                <w:spacing w:val="-1"/>
                <w:sz w:val="24"/>
                <w:szCs w:val="24"/>
                <w:lang w:eastAsia="zh-CN"/>
              </w:rPr>
              <w:t>本项目</w:t>
            </w:r>
            <w:r>
              <w:rPr>
                <w:color w:val="auto"/>
                <w:spacing w:val="-1"/>
                <w:sz w:val="24"/>
                <w:szCs w:val="24"/>
              </w:rPr>
              <w:t>产品</w:t>
            </w:r>
            <w:r>
              <w:rPr>
                <w:rFonts w:hint="eastAsia"/>
                <w:color w:val="auto"/>
                <w:spacing w:val="-1"/>
                <w:sz w:val="24"/>
                <w:szCs w:val="24"/>
                <w:lang w:eastAsia="zh-CN"/>
              </w:rPr>
              <w:t>方案</w:t>
            </w:r>
            <w:r>
              <w:rPr>
                <w:color w:val="auto"/>
                <w:spacing w:val="-1"/>
                <w:sz w:val="24"/>
                <w:szCs w:val="24"/>
              </w:rPr>
              <w:t>见下表</w:t>
            </w:r>
            <w:r>
              <w:rPr>
                <w:color w:val="auto"/>
                <w:sz w:val="24"/>
                <w:highlight w:val="none"/>
              </w:rPr>
              <w:t>。</w:t>
            </w:r>
          </w:p>
          <w:p w14:paraId="64DB74D7">
            <w:pPr>
              <w:pStyle w:val="68"/>
              <w:numPr>
                <w:ilvl w:val="0"/>
                <w:numId w:val="13"/>
              </w:numPr>
              <w:spacing w:line="360" w:lineRule="auto"/>
              <w:ind w:left="0" w:leftChars="0" w:firstLine="0" w:firstLineChars="0"/>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 项目主要产品产量一览表</w:t>
            </w:r>
          </w:p>
          <w:tbl>
            <w:tblPr>
              <w:tblStyle w:val="2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5"/>
              <w:gridCol w:w="1756"/>
              <w:gridCol w:w="1609"/>
              <w:gridCol w:w="2475"/>
              <w:gridCol w:w="1870"/>
            </w:tblGrid>
            <w:tr w14:paraId="796E0D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3" w:type="pct"/>
                  <w:tcBorders>
                    <w:bottom w:val="single" w:color="auto" w:sz="4" w:space="0"/>
                    <w:right w:val="single" w:color="auto" w:sz="4" w:space="0"/>
                  </w:tcBorders>
                  <w:noWrap w:val="0"/>
                  <w:vAlign w:val="center"/>
                </w:tcPr>
                <w:p w14:paraId="6EB32453">
                  <w:pPr>
                    <w:adjustRightInd w:val="0"/>
                    <w:snapToGrid w:val="0"/>
                    <w:spacing w:line="240" w:lineRule="auto"/>
                    <w:jc w:val="center"/>
                    <w:rPr>
                      <w:color w:val="auto"/>
                      <w:sz w:val="21"/>
                      <w:szCs w:val="21"/>
                      <w:highlight w:val="none"/>
                    </w:rPr>
                  </w:pPr>
                  <w:r>
                    <w:rPr>
                      <w:color w:val="auto"/>
                      <w:sz w:val="21"/>
                      <w:szCs w:val="21"/>
                      <w:highlight w:val="none"/>
                    </w:rPr>
                    <w:t>序号</w:t>
                  </w:r>
                </w:p>
              </w:tc>
              <w:tc>
                <w:tcPr>
                  <w:tcW w:w="1044" w:type="pct"/>
                  <w:tcBorders>
                    <w:left w:val="single" w:color="auto" w:sz="4" w:space="0"/>
                    <w:bottom w:val="single" w:color="auto" w:sz="4" w:space="0"/>
                    <w:right w:val="single" w:color="auto" w:sz="4" w:space="0"/>
                  </w:tcBorders>
                  <w:noWrap w:val="0"/>
                  <w:vAlign w:val="center"/>
                </w:tcPr>
                <w:p w14:paraId="0E48A65D">
                  <w:pPr>
                    <w:adjustRightInd w:val="0"/>
                    <w:snapToGrid w:val="0"/>
                    <w:spacing w:line="240" w:lineRule="auto"/>
                    <w:jc w:val="center"/>
                    <w:rPr>
                      <w:color w:val="auto"/>
                      <w:sz w:val="21"/>
                      <w:szCs w:val="21"/>
                      <w:highlight w:val="none"/>
                    </w:rPr>
                  </w:pPr>
                  <w:r>
                    <w:rPr>
                      <w:color w:val="auto"/>
                      <w:sz w:val="21"/>
                      <w:szCs w:val="21"/>
                      <w:highlight w:val="none"/>
                    </w:rPr>
                    <w:t>产品名称</w:t>
                  </w:r>
                </w:p>
              </w:tc>
              <w:tc>
                <w:tcPr>
                  <w:tcW w:w="957" w:type="pct"/>
                  <w:tcBorders>
                    <w:left w:val="single" w:color="auto" w:sz="4" w:space="0"/>
                    <w:bottom w:val="single" w:color="auto" w:sz="4" w:space="0"/>
                  </w:tcBorders>
                  <w:noWrap w:val="0"/>
                  <w:vAlign w:val="center"/>
                </w:tcPr>
                <w:p w14:paraId="43394B83">
                  <w:pPr>
                    <w:adjustRightInd w:val="0"/>
                    <w:snapToGrid w:val="0"/>
                    <w:spacing w:line="240" w:lineRule="auto"/>
                    <w:jc w:val="center"/>
                    <w:rPr>
                      <w:rFonts w:hint="default" w:eastAsia="宋体"/>
                      <w:color w:val="auto"/>
                      <w:sz w:val="21"/>
                      <w:szCs w:val="21"/>
                      <w:highlight w:val="none"/>
                      <w:lang w:val="en-US" w:eastAsia="zh-CN"/>
                    </w:rPr>
                  </w:pPr>
                  <w:r>
                    <w:rPr>
                      <w:color w:val="auto"/>
                      <w:sz w:val="21"/>
                      <w:szCs w:val="21"/>
                      <w:highlight w:val="none"/>
                    </w:rPr>
                    <w:t>产量</w:t>
                  </w:r>
                </w:p>
              </w:tc>
              <w:tc>
                <w:tcPr>
                  <w:tcW w:w="1472" w:type="pct"/>
                  <w:tcBorders>
                    <w:left w:val="single" w:color="auto" w:sz="4" w:space="0"/>
                    <w:bottom w:val="single" w:color="auto" w:sz="4" w:space="0"/>
                  </w:tcBorders>
                  <w:noWrap w:val="0"/>
                  <w:vAlign w:val="center"/>
                </w:tcPr>
                <w:p w14:paraId="035189F8">
                  <w:pPr>
                    <w:adjustRightInd w:val="0"/>
                    <w:snapToGrid w:val="0"/>
                    <w:spacing w:line="240" w:lineRule="auto"/>
                    <w:jc w:val="center"/>
                    <w:rPr>
                      <w:rFonts w:hint="eastAsia" w:eastAsia="宋体"/>
                      <w:color w:val="auto"/>
                      <w:sz w:val="21"/>
                      <w:szCs w:val="21"/>
                      <w:highlight w:val="none"/>
                      <w:lang w:eastAsia="zh-CN"/>
                    </w:rPr>
                  </w:pPr>
                  <w:r>
                    <w:rPr>
                      <w:rFonts w:hint="eastAsia"/>
                      <w:color w:val="auto"/>
                      <w:sz w:val="21"/>
                      <w:szCs w:val="21"/>
                      <w:highlight w:val="none"/>
                      <w:lang w:eastAsia="zh-CN"/>
                    </w:rPr>
                    <w:t>规格</w:t>
                  </w:r>
                </w:p>
              </w:tc>
              <w:tc>
                <w:tcPr>
                  <w:tcW w:w="1112" w:type="pct"/>
                  <w:tcBorders>
                    <w:left w:val="single" w:color="auto" w:sz="4" w:space="0"/>
                    <w:bottom w:val="single" w:color="auto" w:sz="4" w:space="0"/>
                  </w:tcBorders>
                  <w:noWrap w:val="0"/>
                  <w:vAlign w:val="center"/>
                </w:tcPr>
                <w:p w14:paraId="1D6D4B78">
                  <w:pPr>
                    <w:adjustRightInd w:val="0"/>
                    <w:snapToGrid w:val="0"/>
                    <w:spacing w:line="240" w:lineRule="auto"/>
                    <w:jc w:val="center"/>
                    <w:rPr>
                      <w:color w:val="auto"/>
                      <w:sz w:val="21"/>
                      <w:szCs w:val="21"/>
                      <w:highlight w:val="none"/>
                    </w:rPr>
                  </w:pPr>
                  <w:r>
                    <w:rPr>
                      <w:rFonts w:hint="eastAsia"/>
                      <w:color w:val="auto"/>
                      <w:sz w:val="21"/>
                      <w:szCs w:val="21"/>
                      <w:highlight w:val="none"/>
                    </w:rPr>
                    <w:t>备注</w:t>
                  </w:r>
                </w:p>
              </w:tc>
            </w:tr>
            <w:tr w14:paraId="0E14C2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3" w:type="pct"/>
                  <w:tcBorders>
                    <w:top w:val="single" w:color="auto" w:sz="4" w:space="0"/>
                    <w:bottom w:val="single" w:color="auto" w:sz="4" w:space="0"/>
                    <w:right w:val="single" w:color="auto" w:sz="4" w:space="0"/>
                  </w:tcBorders>
                  <w:noWrap w:val="0"/>
                  <w:vAlign w:val="center"/>
                </w:tcPr>
                <w:p w14:paraId="53DAFB7D">
                  <w:pPr>
                    <w:adjustRightInd w:val="0"/>
                    <w:snapToGrid w:val="0"/>
                    <w:spacing w:line="240" w:lineRule="auto"/>
                    <w:jc w:val="center"/>
                    <w:rPr>
                      <w:color w:val="auto"/>
                      <w:sz w:val="21"/>
                      <w:szCs w:val="21"/>
                      <w:highlight w:val="none"/>
                    </w:rPr>
                  </w:pPr>
                  <w:r>
                    <w:rPr>
                      <w:color w:val="auto"/>
                      <w:sz w:val="21"/>
                      <w:szCs w:val="21"/>
                      <w:highlight w:val="none"/>
                    </w:rPr>
                    <w:t>1</w:t>
                  </w:r>
                </w:p>
              </w:tc>
              <w:tc>
                <w:tcPr>
                  <w:tcW w:w="1044" w:type="pct"/>
                  <w:tcBorders>
                    <w:top w:val="single" w:color="auto" w:sz="4" w:space="0"/>
                    <w:left w:val="single" w:color="auto" w:sz="4" w:space="0"/>
                    <w:bottom w:val="single" w:color="auto" w:sz="4" w:space="0"/>
                    <w:right w:val="single" w:color="auto" w:sz="4" w:space="0"/>
                  </w:tcBorders>
                  <w:noWrap w:val="0"/>
                  <w:vAlign w:val="center"/>
                </w:tcPr>
                <w:p w14:paraId="3586C7BF">
                  <w:pPr>
                    <w:adjustRightInd w:val="0"/>
                    <w:snapToGrid w:val="0"/>
                    <w:spacing w:line="240" w:lineRule="auto"/>
                    <w:jc w:val="center"/>
                    <w:rPr>
                      <w:rFonts w:hint="eastAsia" w:eastAsia="宋体"/>
                      <w:color w:val="auto"/>
                      <w:sz w:val="21"/>
                      <w:szCs w:val="21"/>
                      <w:highlight w:val="none"/>
                      <w:lang w:eastAsia="zh-CN"/>
                    </w:rPr>
                  </w:pPr>
                  <w:r>
                    <w:rPr>
                      <w:rFonts w:hint="eastAsia" w:eastAsia="宋体"/>
                      <w:color w:val="auto"/>
                      <w:sz w:val="21"/>
                      <w:szCs w:val="21"/>
                      <w:highlight w:val="none"/>
                      <w:lang w:eastAsia="zh-CN"/>
                    </w:rPr>
                    <w:t>地板（无辊漆）</w:t>
                  </w:r>
                </w:p>
              </w:tc>
              <w:tc>
                <w:tcPr>
                  <w:tcW w:w="957" w:type="pct"/>
                  <w:tcBorders>
                    <w:top w:val="single" w:color="auto" w:sz="4" w:space="0"/>
                    <w:left w:val="single" w:color="auto" w:sz="4" w:space="0"/>
                    <w:bottom w:val="single" w:color="auto" w:sz="4" w:space="0"/>
                  </w:tcBorders>
                  <w:noWrap w:val="0"/>
                  <w:vAlign w:val="center"/>
                </w:tcPr>
                <w:p w14:paraId="1D9BCA1D">
                  <w:pPr>
                    <w:widowControl/>
                    <w:spacing w:line="240" w:lineRule="auto"/>
                    <w:jc w:val="center"/>
                    <w:rPr>
                      <w:rFonts w:hint="default" w:eastAsia="宋体"/>
                      <w:color w:val="auto"/>
                      <w:kern w:val="0"/>
                      <w:sz w:val="21"/>
                      <w:szCs w:val="21"/>
                      <w:highlight w:val="none"/>
                      <w:vertAlign w:val="baseline"/>
                      <w:lang w:val="en-US" w:eastAsia="zh-CN"/>
                    </w:rPr>
                  </w:pPr>
                  <w:r>
                    <w:rPr>
                      <w:rFonts w:hint="eastAsia" w:eastAsia="宋体"/>
                      <w:color w:val="auto"/>
                      <w:kern w:val="0"/>
                      <w:sz w:val="21"/>
                      <w:szCs w:val="21"/>
                      <w:highlight w:val="none"/>
                      <w:vertAlign w:val="baseline"/>
                      <w:lang w:val="en-US" w:eastAsia="zh-CN"/>
                    </w:rPr>
                    <w:t>1万m</w:t>
                  </w:r>
                  <w:r>
                    <w:rPr>
                      <w:rFonts w:hint="eastAsia" w:eastAsia="宋体"/>
                      <w:color w:val="auto"/>
                      <w:kern w:val="0"/>
                      <w:sz w:val="21"/>
                      <w:szCs w:val="21"/>
                      <w:highlight w:val="none"/>
                      <w:vertAlign w:val="superscript"/>
                      <w:lang w:val="en-US" w:eastAsia="zh-CN"/>
                    </w:rPr>
                    <w:t>2</w:t>
                  </w:r>
                </w:p>
              </w:tc>
              <w:tc>
                <w:tcPr>
                  <w:tcW w:w="1472" w:type="pct"/>
                  <w:vMerge w:val="restart"/>
                  <w:tcBorders>
                    <w:top w:val="single" w:color="auto" w:sz="4" w:space="0"/>
                    <w:left w:val="single" w:color="auto" w:sz="4" w:space="0"/>
                  </w:tcBorders>
                  <w:noWrap w:val="0"/>
                  <w:vAlign w:val="center"/>
                </w:tcPr>
                <w:p w14:paraId="230F43D3">
                  <w:pPr>
                    <w:widowControl/>
                    <w:spacing w:line="240" w:lineRule="auto"/>
                    <w:jc w:val="center"/>
                    <w:rPr>
                      <w:rFonts w:hint="default" w:eastAsia="宋体"/>
                      <w:color w:val="auto"/>
                      <w:kern w:val="0"/>
                      <w:sz w:val="21"/>
                      <w:szCs w:val="21"/>
                      <w:highlight w:val="none"/>
                      <w:lang w:val="en-US" w:eastAsia="zh-CN"/>
                    </w:rPr>
                  </w:pPr>
                  <w:r>
                    <w:rPr>
                      <w:rFonts w:hint="eastAsia" w:eastAsia="宋体"/>
                      <w:color w:val="auto"/>
                      <w:kern w:val="0"/>
                      <w:sz w:val="21"/>
                      <w:szCs w:val="21"/>
                      <w:highlight w:val="none"/>
                      <w:lang w:val="en-US" w:eastAsia="zh-CN"/>
                    </w:rPr>
                    <w:t>1810mm长、60-90mm宽、18-20mm厚</w:t>
                  </w:r>
                </w:p>
              </w:tc>
              <w:tc>
                <w:tcPr>
                  <w:tcW w:w="1112" w:type="pct"/>
                  <w:vMerge w:val="restart"/>
                  <w:tcBorders>
                    <w:top w:val="single" w:color="auto" w:sz="4" w:space="0"/>
                    <w:left w:val="single" w:color="auto" w:sz="4" w:space="0"/>
                  </w:tcBorders>
                  <w:noWrap w:val="0"/>
                  <w:vAlign w:val="center"/>
                </w:tcPr>
                <w:p w14:paraId="1F7AA000">
                  <w:pPr>
                    <w:widowControl/>
                    <w:spacing w:line="240" w:lineRule="auto"/>
                    <w:jc w:val="center"/>
                    <w:rPr>
                      <w:rFonts w:hint="eastAsia" w:eastAsia="宋体"/>
                      <w:color w:val="auto"/>
                      <w:kern w:val="0"/>
                      <w:sz w:val="21"/>
                      <w:szCs w:val="21"/>
                      <w:highlight w:val="none"/>
                      <w:lang w:eastAsia="zh-CN"/>
                    </w:rPr>
                  </w:pPr>
                  <w:r>
                    <w:rPr>
                      <w:rFonts w:hint="eastAsia"/>
                      <w:color w:val="auto"/>
                      <w:kern w:val="0"/>
                      <w:sz w:val="21"/>
                      <w:szCs w:val="21"/>
                      <w:highlight w:val="none"/>
                      <w:lang w:eastAsia="zh-CN"/>
                    </w:rPr>
                    <w:t>产品宽度、厚度根据订单需求</w:t>
                  </w:r>
                </w:p>
              </w:tc>
            </w:tr>
            <w:tr w14:paraId="4472FE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3" w:hRule="atLeast"/>
                <w:jc w:val="center"/>
              </w:trPr>
              <w:tc>
                <w:tcPr>
                  <w:tcW w:w="413" w:type="pct"/>
                  <w:tcBorders>
                    <w:top w:val="single" w:color="auto" w:sz="4" w:space="0"/>
                    <w:bottom w:val="single" w:color="auto" w:sz="4" w:space="0"/>
                    <w:right w:val="single" w:color="auto" w:sz="4" w:space="0"/>
                  </w:tcBorders>
                  <w:noWrap w:val="0"/>
                  <w:vAlign w:val="center"/>
                </w:tcPr>
                <w:p w14:paraId="06A75530">
                  <w:pPr>
                    <w:adjustRightInd w:val="0"/>
                    <w:snapToGrid w:val="0"/>
                    <w:spacing w:line="240" w:lineRule="auto"/>
                    <w:jc w:val="center"/>
                    <w:rPr>
                      <w:rFonts w:hint="eastAsia" w:eastAsia="宋体"/>
                      <w:color w:val="auto"/>
                      <w:sz w:val="21"/>
                      <w:szCs w:val="21"/>
                      <w:highlight w:val="none"/>
                      <w:lang w:val="en-US" w:eastAsia="zh-CN"/>
                    </w:rPr>
                  </w:pPr>
                  <w:r>
                    <w:rPr>
                      <w:rFonts w:hint="eastAsia"/>
                      <w:color w:val="auto"/>
                      <w:sz w:val="21"/>
                      <w:szCs w:val="21"/>
                      <w:highlight w:val="none"/>
                      <w:lang w:val="en-US" w:eastAsia="zh-CN"/>
                    </w:rPr>
                    <w:t>2</w:t>
                  </w:r>
                </w:p>
              </w:tc>
              <w:tc>
                <w:tcPr>
                  <w:tcW w:w="1044" w:type="pct"/>
                  <w:tcBorders>
                    <w:top w:val="single" w:color="auto" w:sz="4" w:space="0"/>
                    <w:left w:val="single" w:color="auto" w:sz="4" w:space="0"/>
                    <w:bottom w:val="single" w:color="auto" w:sz="4" w:space="0"/>
                    <w:right w:val="single" w:color="auto" w:sz="4" w:space="0"/>
                  </w:tcBorders>
                  <w:noWrap w:val="0"/>
                  <w:vAlign w:val="center"/>
                </w:tcPr>
                <w:p w14:paraId="11ED9E2A">
                  <w:pPr>
                    <w:adjustRightInd w:val="0"/>
                    <w:snapToGrid w:val="0"/>
                    <w:spacing w:line="240" w:lineRule="auto"/>
                    <w:jc w:val="center"/>
                    <w:rPr>
                      <w:rFonts w:hint="eastAsia"/>
                      <w:color w:val="auto"/>
                      <w:sz w:val="21"/>
                      <w:szCs w:val="21"/>
                      <w:highlight w:val="none"/>
                      <w:lang w:eastAsia="zh-CN"/>
                    </w:rPr>
                  </w:pPr>
                  <w:r>
                    <w:rPr>
                      <w:rFonts w:hint="eastAsia" w:eastAsia="宋体"/>
                      <w:color w:val="auto"/>
                      <w:sz w:val="21"/>
                      <w:szCs w:val="21"/>
                      <w:highlight w:val="none"/>
                      <w:lang w:eastAsia="zh-CN"/>
                    </w:rPr>
                    <w:t>地板（含辊漆）</w:t>
                  </w:r>
                </w:p>
              </w:tc>
              <w:tc>
                <w:tcPr>
                  <w:tcW w:w="957" w:type="pct"/>
                  <w:tcBorders>
                    <w:top w:val="single" w:color="auto" w:sz="4" w:space="0"/>
                    <w:left w:val="single" w:color="auto" w:sz="4" w:space="0"/>
                    <w:bottom w:val="single" w:color="auto" w:sz="4" w:space="0"/>
                  </w:tcBorders>
                  <w:noWrap w:val="0"/>
                  <w:vAlign w:val="center"/>
                </w:tcPr>
                <w:p w14:paraId="20901170">
                  <w:pPr>
                    <w:widowControl/>
                    <w:spacing w:line="240" w:lineRule="auto"/>
                    <w:jc w:val="center"/>
                    <w:rPr>
                      <w:rFonts w:hint="default"/>
                      <w:color w:val="auto"/>
                      <w:sz w:val="21"/>
                      <w:szCs w:val="21"/>
                      <w:highlight w:val="none"/>
                      <w:lang w:val="en-US" w:eastAsia="zh-CN"/>
                    </w:rPr>
                  </w:pPr>
                  <w:r>
                    <w:rPr>
                      <w:rFonts w:hint="eastAsia"/>
                      <w:color w:val="auto"/>
                      <w:sz w:val="21"/>
                      <w:szCs w:val="21"/>
                      <w:highlight w:val="none"/>
                      <w:lang w:val="en-US" w:eastAsia="zh-CN"/>
                    </w:rPr>
                    <w:t>14</w:t>
                  </w:r>
                  <w:r>
                    <w:rPr>
                      <w:rFonts w:hint="eastAsia" w:eastAsia="宋体"/>
                      <w:color w:val="auto"/>
                      <w:kern w:val="0"/>
                      <w:sz w:val="21"/>
                      <w:szCs w:val="21"/>
                      <w:highlight w:val="none"/>
                      <w:vertAlign w:val="baseline"/>
                      <w:lang w:val="en-US" w:eastAsia="zh-CN"/>
                    </w:rPr>
                    <w:t>万m</w:t>
                  </w:r>
                  <w:r>
                    <w:rPr>
                      <w:rFonts w:hint="eastAsia" w:eastAsia="宋体"/>
                      <w:color w:val="auto"/>
                      <w:kern w:val="0"/>
                      <w:sz w:val="21"/>
                      <w:szCs w:val="21"/>
                      <w:highlight w:val="none"/>
                      <w:vertAlign w:val="superscript"/>
                      <w:lang w:val="en-US" w:eastAsia="zh-CN"/>
                    </w:rPr>
                    <w:t>2</w:t>
                  </w:r>
                </w:p>
              </w:tc>
              <w:tc>
                <w:tcPr>
                  <w:tcW w:w="1472" w:type="pct"/>
                  <w:vMerge w:val="continue"/>
                  <w:tcBorders>
                    <w:left w:val="single" w:color="auto" w:sz="4" w:space="0"/>
                    <w:bottom w:val="single" w:color="auto" w:sz="4" w:space="0"/>
                  </w:tcBorders>
                  <w:noWrap w:val="0"/>
                  <w:vAlign w:val="center"/>
                </w:tcPr>
                <w:p w14:paraId="24BA62DC">
                  <w:pPr>
                    <w:widowControl/>
                    <w:spacing w:line="240" w:lineRule="auto"/>
                    <w:jc w:val="center"/>
                    <w:rPr>
                      <w:rFonts w:hint="eastAsia" w:ascii="Times New Roman" w:hAnsi="Times New Roman" w:eastAsia="宋体" w:cs="Times New Roman"/>
                      <w:color w:val="auto"/>
                      <w:kern w:val="0"/>
                      <w:sz w:val="21"/>
                      <w:szCs w:val="21"/>
                      <w:highlight w:val="none"/>
                      <w:lang w:val="en-US" w:eastAsia="zh-CN"/>
                    </w:rPr>
                  </w:pPr>
                </w:p>
              </w:tc>
              <w:tc>
                <w:tcPr>
                  <w:tcW w:w="1112" w:type="pct"/>
                  <w:vMerge w:val="continue"/>
                  <w:tcBorders>
                    <w:left w:val="single" w:color="auto" w:sz="4" w:space="0"/>
                  </w:tcBorders>
                  <w:noWrap w:val="0"/>
                  <w:vAlign w:val="center"/>
                </w:tcPr>
                <w:p w14:paraId="1934D900">
                  <w:pPr>
                    <w:widowControl/>
                    <w:spacing w:line="240" w:lineRule="auto"/>
                    <w:jc w:val="center"/>
                    <w:rPr>
                      <w:rFonts w:hint="eastAsia"/>
                      <w:color w:val="auto"/>
                      <w:kern w:val="2"/>
                      <w:sz w:val="21"/>
                      <w:szCs w:val="21"/>
                      <w:highlight w:val="none"/>
                      <w:lang w:eastAsia="zh-CN"/>
                    </w:rPr>
                  </w:pPr>
                </w:p>
              </w:tc>
            </w:tr>
          </w:tbl>
          <w:p w14:paraId="5CF37C73">
            <w:pPr>
              <w:pStyle w:val="62"/>
              <w:rPr>
                <w:b w:val="0"/>
                <w:bCs/>
                <w:color w:val="auto"/>
                <w:sz w:val="21"/>
                <w:szCs w:val="21"/>
                <w:highlight w:val="none"/>
              </w:rPr>
            </w:pPr>
          </w:p>
          <w:p w14:paraId="21C7A156">
            <w:pPr>
              <w:pStyle w:val="69"/>
              <w:numPr>
                <w:ilvl w:val="0"/>
                <w:numId w:val="14"/>
              </w:numPr>
              <w:rPr>
                <w:color w:val="auto"/>
                <w:sz w:val="24"/>
                <w:highlight w:val="none"/>
              </w:rPr>
            </w:pPr>
            <w:r>
              <w:rPr>
                <w:color w:val="auto"/>
                <w:sz w:val="24"/>
                <w:highlight w:val="none"/>
              </w:rPr>
              <w:t>项目主要生产设备</w:t>
            </w:r>
          </w:p>
          <w:p w14:paraId="07664494">
            <w:pPr>
              <w:pStyle w:val="59"/>
              <w:ind w:firstLine="480"/>
              <w:rPr>
                <w:color w:val="auto"/>
                <w:sz w:val="24"/>
                <w:highlight w:val="none"/>
              </w:rPr>
            </w:pPr>
            <w:r>
              <w:rPr>
                <w:color w:val="auto"/>
                <w:sz w:val="24"/>
                <w:highlight w:val="none"/>
              </w:rPr>
              <w:t>本项目主要生产设备使用情况见下表。</w:t>
            </w:r>
          </w:p>
          <w:p w14:paraId="095D87A3">
            <w:pPr>
              <w:pStyle w:val="68"/>
              <w:numPr>
                <w:ilvl w:val="0"/>
                <w:numId w:val="13"/>
              </w:numPr>
              <w:spacing w:line="360" w:lineRule="auto"/>
              <w:ind w:left="0" w:leftChars="0" w:firstLine="0" w:firstLineChars="0"/>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 项目主要设备一览表</w:t>
            </w:r>
          </w:p>
          <w:tbl>
            <w:tblPr>
              <w:tblStyle w:val="73"/>
              <w:tblW w:w="4998" w:type="pct"/>
              <w:tblInd w:w="-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750"/>
              <w:gridCol w:w="2175"/>
              <w:gridCol w:w="1450"/>
              <w:gridCol w:w="1080"/>
              <w:gridCol w:w="1000"/>
              <w:gridCol w:w="1950"/>
            </w:tblGrid>
            <w:tr w14:paraId="586366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4" w:hRule="atLeast"/>
              </w:trPr>
              <w:tc>
                <w:tcPr>
                  <w:tcW w:w="446" w:type="pct"/>
                  <w:noWrap w:val="0"/>
                  <w:vAlign w:val="center"/>
                </w:tcPr>
                <w:p w14:paraId="5B524C56">
                  <w:pPr>
                    <w:pStyle w:val="75"/>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5"/>
                      <w:sz w:val="21"/>
                      <w:szCs w:val="21"/>
                    </w:rPr>
                    <w:t>序号</w:t>
                  </w:r>
                </w:p>
              </w:tc>
              <w:tc>
                <w:tcPr>
                  <w:tcW w:w="1293" w:type="pct"/>
                  <w:noWrap w:val="0"/>
                  <w:vAlign w:val="center"/>
                </w:tcPr>
                <w:p w14:paraId="13066934">
                  <w:pPr>
                    <w:pStyle w:val="75"/>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3"/>
                      <w:sz w:val="21"/>
                      <w:szCs w:val="21"/>
                    </w:rPr>
                    <w:t>名称</w:t>
                  </w:r>
                </w:p>
              </w:tc>
              <w:tc>
                <w:tcPr>
                  <w:tcW w:w="862" w:type="pct"/>
                  <w:noWrap w:val="0"/>
                  <w:vAlign w:val="center"/>
                </w:tcPr>
                <w:p w14:paraId="3E73845C">
                  <w:pPr>
                    <w:pStyle w:val="75"/>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pacing w:val="1"/>
                      <w:sz w:val="21"/>
                      <w:szCs w:val="21"/>
                    </w:rPr>
                    <w:t>型号</w:t>
                  </w:r>
                  <w:r>
                    <w:rPr>
                      <w:rFonts w:hint="default" w:ascii="Times New Roman" w:hAnsi="Times New Roman" w:cs="Times New Roman"/>
                      <w:color w:val="auto"/>
                      <w:spacing w:val="1"/>
                      <w:sz w:val="21"/>
                      <w:szCs w:val="21"/>
                      <w:lang w:val="en-US" w:eastAsia="zh-CN"/>
                    </w:rPr>
                    <w:t>/规格</w:t>
                  </w:r>
                </w:p>
              </w:tc>
              <w:tc>
                <w:tcPr>
                  <w:tcW w:w="642" w:type="pct"/>
                  <w:noWrap w:val="0"/>
                  <w:vAlign w:val="center"/>
                </w:tcPr>
                <w:p w14:paraId="68F8E869">
                  <w:pPr>
                    <w:pStyle w:val="75"/>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3"/>
                      <w:sz w:val="21"/>
                      <w:szCs w:val="21"/>
                    </w:rPr>
                    <w:t>单位</w:t>
                  </w:r>
                </w:p>
              </w:tc>
              <w:tc>
                <w:tcPr>
                  <w:tcW w:w="594" w:type="pct"/>
                  <w:noWrap w:val="0"/>
                  <w:vAlign w:val="center"/>
                </w:tcPr>
                <w:p w14:paraId="3BC6A19A">
                  <w:pPr>
                    <w:pStyle w:val="75"/>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3"/>
                      <w:sz w:val="21"/>
                      <w:szCs w:val="21"/>
                    </w:rPr>
                    <w:t>数量</w:t>
                  </w:r>
                </w:p>
              </w:tc>
              <w:tc>
                <w:tcPr>
                  <w:tcW w:w="1160" w:type="pct"/>
                  <w:noWrap w:val="0"/>
                  <w:vAlign w:val="center"/>
                </w:tcPr>
                <w:p w14:paraId="1A61318C">
                  <w:pPr>
                    <w:pStyle w:val="75"/>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3"/>
                      <w:sz w:val="21"/>
                      <w:szCs w:val="21"/>
                    </w:rPr>
                    <w:t>备注</w:t>
                  </w:r>
                </w:p>
              </w:tc>
            </w:tr>
            <w:tr w14:paraId="3FBE6C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4" w:hRule="atLeast"/>
              </w:trPr>
              <w:tc>
                <w:tcPr>
                  <w:tcW w:w="446" w:type="pct"/>
                  <w:noWrap w:val="0"/>
                  <w:vAlign w:val="center"/>
                </w:tcPr>
                <w:p w14:paraId="704CD035">
                  <w:pPr>
                    <w:pStyle w:val="75"/>
                    <w:keepNext w:val="0"/>
                    <w:keepLines w:val="0"/>
                    <w:pageBreakBefore w:val="0"/>
                    <w:widowControl w:val="0"/>
                    <w:numPr>
                      <w:ilvl w:val="0"/>
                      <w:numId w:val="15"/>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pacing w:val="5"/>
                      <w:sz w:val="21"/>
                      <w:szCs w:val="21"/>
                    </w:rPr>
                  </w:pPr>
                </w:p>
              </w:tc>
              <w:tc>
                <w:tcPr>
                  <w:tcW w:w="1293" w:type="pct"/>
                  <w:noWrap w:val="0"/>
                  <w:vAlign w:val="center"/>
                </w:tcPr>
                <w:p w14:paraId="0C21A0D1">
                  <w:pPr>
                    <w:pStyle w:val="75"/>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3"/>
                      <w:sz w:val="21"/>
                      <w:szCs w:val="21"/>
                      <w:lang w:eastAsia="zh-CN"/>
                    </w:rPr>
                  </w:pPr>
                  <w:r>
                    <w:rPr>
                      <w:rFonts w:hint="default" w:ascii="Times New Roman" w:hAnsi="Times New Roman" w:cs="Times New Roman"/>
                      <w:color w:val="auto"/>
                      <w:spacing w:val="3"/>
                      <w:sz w:val="21"/>
                      <w:szCs w:val="21"/>
                      <w:lang w:eastAsia="zh-CN"/>
                    </w:rPr>
                    <w:t>指接机</w:t>
                  </w:r>
                </w:p>
              </w:tc>
              <w:tc>
                <w:tcPr>
                  <w:tcW w:w="862" w:type="pct"/>
                  <w:noWrap w:val="0"/>
                  <w:vAlign w:val="center"/>
                </w:tcPr>
                <w:p w14:paraId="59DA549D">
                  <w:pPr>
                    <w:pStyle w:val="75"/>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eastAsia="宋体" w:cs="Times New Roman"/>
                      <w:color w:val="auto"/>
                      <w:spacing w:val="1"/>
                      <w:sz w:val="21"/>
                      <w:szCs w:val="21"/>
                      <w:lang w:val="en-US" w:eastAsia="zh-CN"/>
                    </w:rPr>
                  </w:pPr>
                  <w:r>
                    <w:rPr>
                      <w:rFonts w:hint="eastAsia" w:ascii="Times New Roman" w:hAnsi="Times New Roman" w:cs="Times New Roman"/>
                      <w:color w:val="auto"/>
                      <w:spacing w:val="1"/>
                      <w:sz w:val="21"/>
                      <w:szCs w:val="21"/>
                      <w:lang w:val="en-US" w:eastAsia="zh-CN"/>
                    </w:rPr>
                    <w:t>/</w:t>
                  </w:r>
                </w:p>
              </w:tc>
              <w:tc>
                <w:tcPr>
                  <w:tcW w:w="642" w:type="pct"/>
                  <w:noWrap w:val="0"/>
                  <w:vAlign w:val="center"/>
                </w:tcPr>
                <w:p w14:paraId="4DEFD2CD">
                  <w:pPr>
                    <w:pStyle w:val="75"/>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color w:val="auto"/>
                      <w:spacing w:val="3"/>
                      <w:sz w:val="21"/>
                      <w:szCs w:val="21"/>
                    </w:rPr>
                  </w:pPr>
                  <w:r>
                    <w:rPr>
                      <w:rFonts w:hint="default" w:ascii="Times New Roman" w:hAnsi="Times New Roman" w:cs="Times New Roman"/>
                      <w:color w:val="auto"/>
                      <w:sz w:val="21"/>
                      <w:szCs w:val="21"/>
                    </w:rPr>
                    <w:t>台</w:t>
                  </w:r>
                </w:p>
              </w:tc>
              <w:tc>
                <w:tcPr>
                  <w:tcW w:w="594" w:type="pct"/>
                  <w:noWrap w:val="0"/>
                  <w:vAlign w:val="center"/>
                </w:tcPr>
                <w:p w14:paraId="3D0E2E50">
                  <w:pPr>
                    <w:pStyle w:val="75"/>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3"/>
                      <w:sz w:val="21"/>
                      <w:szCs w:val="21"/>
                      <w:lang w:val="en-US" w:eastAsia="zh-CN"/>
                    </w:rPr>
                  </w:pPr>
                  <w:r>
                    <w:rPr>
                      <w:rFonts w:hint="default" w:ascii="Times New Roman" w:hAnsi="Times New Roman" w:cs="Times New Roman"/>
                      <w:color w:val="auto"/>
                      <w:spacing w:val="3"/>
                      <w:sz w:val="21"/>
                      <w:szCs w:val="21"/>
                      <w:lang w:val="en-US" w:eastAsia="zh-CN"/>
                    </w:rPr>
                    <w:t>1</w:t>
                  </w:r>
                </w:p>
              </w:tc>
              <w:tc>
                <w:tcPr>
                  <w:tcW w:w="1160" w:type="pct"/>
                  <w:noWrap w:val="0"/>
                  <w:vAlign w:val="center"/>
                </w:tcPr>
                <w:p w14:paraId="78527D1C">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pacing w:val="3"/>
                      <w:sz w:val="21"/>
                      <w:szCs w:val="21"/>
                    </w:rPr>
                  </w:pPr>
                  <w:r>
                    <w:rPr>
                      <w:rFonts w:hint="eastAsia" w:ascii="Times New Roman" w:hAnsi="Times New Roman" w:cs="Times New Roman"/>
                      <w:color w:val="auto"/>
                      <w:spacing w:val="1"/>
                      <w:sz w:val="21"/>
                      <w:szCs w:val="21"/>
                      <w:lang w:val="en-US" w:eastAsia="zh-CN"/>
                    </w:rPr>
                    <w:t>/</w:t>
                  </w:r>
                </w:p>
              </w:tc>
            </w:tr>
            <w:tr w14:paraId="3D37F2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4" w:hRule="atLeast"/>
              </w:trPr>
              <w:tc>
                <w:tcPr>
                  <w:tcW w:w="446" w:type="pct"/>
                  <w:noWrap w:val="0"/>
                  <w:vAlign w:val="center"/>
                </w:tcPr>
                <w:p w14:paraId="2840F284">
                  <w:pPr>
                    <w:pStyle w:val="75"/>
                    <w:keepNext w:val="0"/>
                    <w:keepLines w:val="0"/>
                    <w:pageBreakBefore w:val="0"/>
                    <w:widowControl w:val="0"/>
                    <w:numPr>
                      <w:ilvl w:val="0"/>
                      <w:numId w:val="15"/>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pacing w:val="5"/>
                      <w:sz w:val="21"/>
                      <w:szCs w:val="21"/>
                    </w:rPr>
                  </w:pPr>
                </w:p>
              </w:tc>
              <w:tc>
                <w:tcPr>
                  <w:tcW w:w="1293" w:type="pct"/>
                  <w:noWrap w:val="0"/>
                  <w:vAlign w:val="center"/>
                </w:tcPr>
                <w:p w14:paraId="33C6ADBC">
                  <w:pPr>
                    <w:pStyle w:val="75"/>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color w:val="auto"/>
                      <w:spacing w:val="3"/>
                      <w:sz w:val="21"/>
                      <w:szCs w:val="21"/>
                      <w:lang w:val="en-US" w:eastAsia="zh-CN"/>
                    </w:rPr>
                  </w:pPr>
                  <w:r>
                    <w:rPr>
                      <w:rFonts w:hint="default" w:ascii="Times New Roman" w:hAnsi="Times New Roman" w:cs="Times New Roman"/>
                      <w:color w:val="auto"/>
                      <w:spacing w:val="3"/>
                      <w:sz w:val="21"/>
                      <w:szCs w:val="21"/>
                      <w:lang w:eastAsia="zh-CN"/>
                    </w:rPr>
                    <w:t>梳齿</w:t>
                  </w:r>
                  <w:r>
                    <w:rPr>
                      <w:rFonts w:hint="default" w:ascii="Times New Roman" w:hAnsi="Times New Roman" w:cs="Times New Roman"/>
                      <w:color w:val="auto"/>
                      <w:spacing w:val="3"/>
                      <w:sz w:val="21"/>
                      <w:szCs w:val="21"/>
                      <w:lang w:val="en-US" w:eastAsia="zh-CN"/>
                    </w:rPr>
                    <w:t>AB机</w:t>
                  </w:r>
                </w:p>
              </w:tc>
              <w:tc>
                <w:tcPr>
                  <w:tcW w:w="862" w:type="pct"/>
                  <w:noWrap w:val="0"/>
                  <w:vAlign w:val="center"/>
                </w:tcPr>
                <w:p w14:paraId="1D8A1F86">
                  <w:pPr>
                    <w:pStyle w:val="75"/>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eastAsia="宋体" w:cs="Times New Roman"/>
                      <w:color w:val="auto"/>
                      <w:spacing w:val="1"/>
                      <w:sz w:val="21"/>
                      <w:szCs w:val="21"/>
                      <w:lang w:val="en-US" w:eastAsia="zh-CN"/>
                    </w:rPr>
                  </w:pPr>
                  <w:r>
                    <w:rPr>
                      <w:rFonts w:hint="eastAsia" w:ascii="Times New Roman" w:hAnsi="Times New Roman" w:cs="Times New Roman"/>
                      <w:color w:val="auto"/>
                      <w:spacing w:val="1"/>
                      <w:sz w:val="21"/>
                      <w:szCs w:val="21"/>
                      <w:lang w:val="en-US" w:eastAsia="zh-CN"/>
                    </w:rPr>
                    <w:t>/</w:t>
                  </w:r>
                </w:p>
              </w:tc>
              <w:tc>
                <w:tcPr>
                  <w:tcW w:w="642" w:type="pct"/>
                  <w:noWrap w:val="0"/>
                  <w:vAlign w:val="center"/>
                </w:tcPr>
                <w:p w14:paraId="563FEE76">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台</w:t>
                  </w:r>
                </w:p>
              </w:tc>
              <w:tc>
                <w:tcPr>
                  <w:tcW w:w="594" w:type="pct"/>
                  <w:noWrap w:val="0"/>
                  <w:vAlign w:val="center"/>
                </w:tcPr>
                <w:p w14:paraId="7F2B12BB">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pacing w:val="3"/>
                      <w:sz w:val="21"/>
                      <w:szCs w:val="21"/>
                      <w:lang w:val="en-US" w:eastAsia="zh-CN"/>
                    </w:rPr>
                  </w:pPr>
                  <w:r>
                    <w:rPr>
                      <w:rFonts w:hint="default" w:ascii="Times New Roman" w:hAnsi="Times New Roman" w:cs="Times New Roman"/>
                      <w:color w:val="auto"/>
                      <w:spacing w:val="3"/>
                      <w:sz w:val="21"/>
                      <w:szCs w:val="21"/>
                      <w:lang w:val="en-US" w:eastAsia="zh-CN"/>
                    </w:rPr>
                    <w:t>1</w:t>
                  </w:r>
                </w:p>
              </w:tc>
              <w:tc>
                <w:tcPr>
                  <w:tcW w:w="1160" w:type="pct"/>
                  <w:noWrap w:val="0"/>
                  <w:vAlign w:val="center"/>
                </w:tcPr>
                <w:p w14:paraId="7BCC4A54">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pacing w:val="3"/>
                      <w:sz w:val="21"/>
                      <w:szCs w:val="21"/>
                    </w:rPr>
                  </w:pPr>
                  <w:r>
                    <w:rPr>
                      <w:rFonts w:hint="eastAsia" w:ascii="Times New Roman" w:hAnsi="Times New Roman" w:cs="Times New Roman"/>
                      <w:color w:val="auto"/>
                      <w:spacing w:val="1"/>
                      <w:sz w:val="21"/>
                      <w:szCs w:val="21"/>
                      <w:lang w:val="en-US" w:eastAsia="zh-CN"/>
                    </w:rPr>
                    <w:t>/</w:t>
                  </w:r>
                </w:p>
              </w:tc>
            </w:tr>
            <w:tr w14:paraId="0D0133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4" w:hRule="atLeast"/>
              </w:trPr>
              <w:tc>
                <w:tcPr>
                  <w:tcW w:w="446" w:type="pct"/>
                  <w:noWrap w:val="0"/>
                  <w:vAlign w:val="center"/>
                </w:tcPr>
                <w:p w14:paraId="705B4419">
                  <w:pPr>
                    <w:pStyle w:val="75"/>
                    <w:keepNext w:val="0"/>
                    <w:keepLines w:val="0"/>
                    <w:pageBreakBefore w:val="0"/>
                    <w:widowControl w:val="0"/>
                    <w:numPr>
                      <w:ilvl w:val="0"/>
                      <w:numId w:val="15"/>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pacing w:val="5"/>
                      <w:sz w:val="21"/>
                      <w:szCs w:val="21"/>
                    </w:rPr>
                  </w:pPr>
                </w:p>
              </w:tc>
              <w:tc>
                <w:tcPr>
                  <w:tcW w:w="1293" w:type="pct"/>
                  <w:noWrap w:val="0"/>
                  <w:vAlign w:val="center"/>
                </w:tcPr>
                <w:p w14:paraId="2EEC60C6">
                  <w:pPr>
                    <w:pStyle w:val="75"/>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color w:val="auto"/>
                      <w:spacing w:val="3"/>
                      <w:sz w:val="21"/>
                      <w:szCs w:val="21"/>
                      <w:lang w:eastAsia="zh-CN"/>
                    </w:rPr>
                  </w:pPr>
                  <w:r>
                    <w:rPr>
                      <w:rFonts w:hint="default" w:ascii="Times New Roman" w:hAnsi="Times New Roman" w:cs="Times New Roman"/>
                      <w:color w:val="auto"/>
                      <w:spacing w:val="3"/>
                      <w:sz w:val="21"/>
                      <w:szCs w:val="21"/>
                      <w:lang w:eastAsia="zh-CN"/>
                    </w:rPr>
                    <w:t>磨刀机</w:t>
                  </w:r>
                </w:p>
              </w:tc>
              <w:tc>
                <w:tcPr>
                  <w:tcW w:w="862" w:type="pct"/>
                  <w:noWrap w:val="0"/>
                  <w:vAlign w:val="center"/>
                </w:tcPr>
                <w:p w14:paraId="457B5880">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pacing w:val="1"/>
                      <w:sz w:val="21"/>
                      <w:szCs w:val="21"/>
                    </w:rPr>
                  </w:pPr>
                  <w:r>
                    <w:rPr>
                      <w:rFonts w:hint="eastAsia" w:ascii="Times New Roman" w:hAnsi="Times New Roman" w:cs="Times New Roman"/>
                      <w:color w:val="auto"/>
                      <w:spacing w:val="1"/>
                      <w:sz w:val="21"/>
                      <w:szCs w:val="21"/>
                      <w:lang w:val="en-US" w:eastAsia="zh-CN"/>
                    </w:rPr>
                    <w:t>/</w:t>
                  </w:r>
                </w:p>
              </w:tc>
              <w:tc>
                <w:tcPr>
                  <w:tcW w:w="642" w:type="pct"/>
                  <w:noWrap w:val="0"/>
                  <w:vAlign w:val="center"/>
                </w:tcPr>
                <w:p w14:paraId="64F9441E">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cs="Times New Roman"/>
                      <w:color w:val="auto"/>
                      <w:sz w:val="21"/>
                      <w:szCs w:val="21"/>
                    </w:rPr>
                    <w:t>台</w:t>
                  </w:r>
                </w:p>
              </w:tc>
              <w:tc>
                <w:tcPr>
                  <w:tcW w:w="594" w:type="pct"/>
                  <w:noWrap w:val="0"/>
                  <w:vAlign w:val="center"/>
                </w:tcPr>
                <w:p w14:paraId="35C464ED">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3"/>
                      <w:kern w:val="2"/>
                      <w:sz w:val="21"/>
                      <w:szCs w:val="21"/>
                      <w:lang w:val="en-US" w:eastAsia="zh-CN" w:bidi="ar-SA"/>
                    </w:rPr>
                  </w:pPr>
                  <w:r>
                    <w:rPr>
                      <w:rFonts w:hint="default" w:ascii="Times New Roman" w:hAnsi="Times New Roman" w:cs="Times New Roman"/>
                      <w:color w:val="auto"/>
                      <w:spacing w:val="3"/>
                      <w:sz w:val="21"/>
                      <w:szCs w:val="21"/>
                      <w:lang w:val="en-US" w:eastAsia="zh-CN"/>
                    </w:rPr>
                    <w:t>1</w:t>
                  </w:r>
                </w:p>
              </w:tc>
              <w:tc>
                <w:tcPr>
                  <w:tcW w:w="1160" w:type="pct"/>
                  <w:noWrap w:val="0"/>
                  <w:vAlign w:val="center"/>
                </w:tcPr>
                <w:p w14:paraId="7AB4EE08">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pacing w:val="3"/>
                      <w:sz w:val="21"/>
                      <w:szCs w:val="21"/>
                    </w:rPr>
                  </w:pPr>
                  <w:r>
                    <w:rPr>
                      <w:rFonts w:hint="eastAsia" w:ascii="Times New Roman" w:hAnsi="Times New Roman" w:cs="Times New Roman"/>
                      <w:color w:val="auto"/>
                      <w:spacing w:val="1"/>
                      <w:sz w:val="21"/>
                      <w:szCs w:val="21"/>
                      <w:lang w:val="en-US" w:eastAsia="zh-CN"/>
                    </w:rPr>
                    <w:t>/</w:t>
                  </w:r>
                </w:p>
              </w:tc>
            </w:tr>
            <w:tr w14:paraId="027210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4" w:hRule="atLeast"/>
              </w:trPr>
              <w:tc>
                <w:tcPr>
                  <w:tcW w:w="446" w:type="pct"/>
                  <w:noWrap w:val="0"/>
                  <w:vAlign w:val="center"/>
                </w:tcPr>
                <w:p w14:paraId="047FAABB">
                  <w:pPr>
                    <w:pStyle w:val="75"/>
                    <w:keepNext w:val="0"/>
                    <w:keepLines w:val="0"/>
                    <w:pageBreakBefore w:val="0"/>
                    <w:widowControl w:val="0"/>
                    <w:numPr>
                      <w:ilvl w:val="0"/>
                      <w:numId w:val="15"/>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pacing w:val="5"/>
                      <w:sz w:val="21"/>
                      <w:szCs w:val="21"/>
                    </w:rPr>
                  </w:pPr>
                </w:p>
              </w:tc>
              <w:tc>
                <w:tcPr>
                  <w:tcW w:w="1293" w:type="pct"/>
                  <w:noWrap w:val="0"/>
                  <w:vAlign w:val="center"/>
                </w:tcPr>
                <w:p w14:paraId="3003F244">
                  <w:pPr>
                    <w:pStyle w:val="75"/>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color w:val="auto"/>
                      <w:spacing w:val="3"/>
                      <w:sz w:val="21"/>
                      <w:szCs w:val="21"/>
                      <w:lang w:eastAsia="zh-CN"/>
                    </w:rPr>
                  </w:pPr>
                  <w:r>
                    <w:rPr>
                      <w:rFonts w:hint="eastAsia" w:ascii="Times New Roman" w:hAnsi="Times New Roman" w:cs="Times New Roman"/>
                      <w:color w:val="auto"/>
                      <w:spacing w:val="3"/>
                      <w:sz w:val="21"/>
                      <w:szCs w:val="21"/>
                      <w:lang w:eastAsia="zh-CN"/>
                    </w:rPr>
                    <w:t>三面刨</w:t>
                  </w:r>
                </w:p>
              </w:tc>
              <w:tc>
                <w:tcPr>
                  <w:tcW w:w="862" w:type="pct"/>
                  <w:noWrap w:val="0"/>
                  <w:vAlign w:val="center"/>
                </w:tcPr>
                <w:p w14:paraId="24270B5D">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pacing w:val="1"/>
                      <w:sz w:val="21"/>
                      <w:szCs w:val="21"/>
                    </w:rPr>
                  </w:pPr>
                  <w:r>
                    <w:rPr>
                      <w:rFonts w:hint="eastAsia" w:ascii="Times New Roman" w:hAnsi="Times New Roman" w:cs="Times New Roman"/>
                      <w:color w:val="auto"/>
                      <w:spacing w:val="1"/>
                      <w:sz w:val="21"/>
                      <w:szCs w:val="21"/>
                      <w:lang w:val="en-US" w:eastAsia="zh-CN"/>
                    </w:rPr>
                    <w:t>/</w:t>
                  </w:r>
                </w:p>
              </w:tc>
              <w:tc>
                <w:tcPr>
                  <w:tcW w:w="642" w:type="pct"/>
                  <w:noWrap w:val="0"/>
                  <w:vAlign w:val="center"/>
                </w:tcPr>
                <w:p w14:paraId="5F518FE1">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台</w:t>
                  </w:r>
                </w:p>
              </w:tc>
              <w:tc>
                <w:tcPr>
                  <w:tcW w:w="594" w:type="pct"/>
                  <w:noWrap w:val="0"/>
                  <w:vAlign w:val="center"/>
                </w:tcPr>
                <w:p w14:paraId="1F6DAB57">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pacing w:val="3"/>
                      <w:sz w:val="21"/>
                      <w:szCs w:val="21"/>
                      <w:lang w:val="en-US" w:eastAsia="zh-CN"/>
                    </w:rPr>
                  </w:pPr>
                  <w:r>
                    <w:rPr>
                      <w:rFonts w:hint="default" w:ascii="Times New Roman" w:hAnsi="Times New Roman" w:cs="Times New Roman"/>
                      <w:color w:val="auto"/>
                      <w:spacing w:val="3"/>
                      <w:sz w:val="21"/>
                      <w:szCs w:val="21"/>
                      <w:lang w:val="en-US" w:eastAsia="zh-CN"/>
                    </w:rPr>
                    <w:t>1</w:t>
                  </w:r>
                </w:p>
              </w:tc>
              <w:tc>
                <w:tcPr>
                  <w:tcW w:w="1160" w:type="pct"/>
                  <w:noWrap w:val="0"/>
                  <w:vAlign w:val="center"/>
                </w:tcPr>
                <w:p w14:paraId="2D423246">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pacing w:val="3"/>
                      <w:sz w:val="21"/>
                      <w:szCs w:val="21"/>
                    </w:rPr>
                  </w:pPr>
                  <w:r>
                    <w:rPr>
                      <w:rFonts w:hint="eastAsia" w:ascii="Times New Roman" w:hAnsi="Times New Roman" w:cs="Times New Roman"/>
                      <w:color w:val="auto"/>
                      <w:spacing w:val="1"/>
                      <w:sz w:val="21"/>
                      <w:szCs w:val="21"/>
                      <w:lang w:val="en-US" w:eastAsia="zh-CN"/>
                    </w:rPr>
                    <w:t>/</w:t>
                  </w:r>
                </w:p>
              </w:tc>
            </w:tr>
            <w:tr w14:paraId="3D5EBF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4" w:hRule="atLeast"/>
              </w:trPr>
              <w:tc>
                <w:tcPr>
                  <w:tcW w:w="446" w:type="pct"/>
                  <w:noWrap w:val="0"/>
                  <w:vAlign w:val="center"/>
                </w:tcPr>
                <w:p w14:paraId="55B92C2A">
                  <w:pPr>
                    <w:pStyle w:val="75"/>
                    <w:keepNext w:val="0"/>
                    <w:keepLines w:val="0"/>
                    <w:pageBreakBefore w:val="0"/>
                    <w:widowControl w:val="0"/>
                    <w:numPr>
                      <w:ilvl w:val="0"/>
                      <w:numId w:val="15"/>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pacing w:val="5"/>
                      <w:sz w:val="21"/>
                      <w:szCs w:val="21"/>
                    </w:rPr>
                  </w:pPr>
                </w:p>
              </w:tc>
              <w:tc>
                <w:tcPr>
                  <w:tcW w:w="1293" w:type="pct"/>
                  <w:noWrap w:val="0"/>
                  <w:vAlign w:val="center"/>
                </w:tcPr>
                <w:p w14:paraId="045B19E6">
                  <w:pPr>
                    <w:pStyle w:val="75"/>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color w:val="auto"/>
                      <w:spacing w:val="3"/>
                      <w:sz w:val="21"/>
                      <w:szCs w:val="21"/>
                      <w:lang w:eastAsia="zh-CN"/>
                    </w:rPr>
                  </w:pPr>
                  <w:r>
                    <w:rPr>
                      <w:rFonts w:hint="default" w:ascii="Times New Roman" w:hAnsi="Times New Roman" w:cs="Times New Roman"/>
                      <w:color w:val="auto"/>
                      <w:spacing w:val="3"/>
                      <w:sz w:val="21"/>
                      <w:szCs w:val="21"/>
                      <w:lang w:eastAsia="zh-CN"/>
                    </w:rPr>
                    <w:t>四面刨</w:t>
                  </w:r>
                </w:p>
              </w:tc>
              <w:tc>
                <w:tcPr>
                  <w:tcW w:w="862" w:type="pct"/>
                  <w:noWrap w:val="0"/>
                  <w:vAlign w:val="center"/>
                </w:tcPr>
                <w:p w14:paraId="48438270">
                  <w:pPr>
                    <w:pStyle w:val="75"/>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1"/>
                      <w:sz w:val="21"/>
                      <w:szCs w:val="21"/>
                      <w:lang w:val="en-US" w:eastAsia="zh-CN"/>
                    </w:rPr>
                  </w:pPr>
                  <w:r>
                    <w:rPr>
                      <w:rFonts w:hint="default" w:ascii="Times New Roman" w:hAnsi="Times New Roman" w:cs="Times New Roman"/>
                      <w:color w:val="auto"/>
                      <w:spacing w:val="1"/>
                      <w:sz w:val="21"/>
                      <w:szCs w:val="21"/>
                      <w:lang w:val="en-US" w:eastAsia="zh-CN"/>
                    </w:rPr>
                    <w:t>5轴</w:t>
                  </w:r>
                </w:p>
              </w:tc>
              <w:tc>
                <w:tcPr>
                  <w:tcW w:w="642" w:type="pct"/>
                  <w:noWrap w:val="0"/>
                  <w:vAlign w:val="center"/>
                </w:tcPr>
                <w:p w14:paraId="38340AAF">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cs="Times New Roman"/>
                      <w:color w:val="auto"/>
                      <w:sz w:val="21"/>
                      <w:szCs w:val="21"/>
                    </w:rPr>
                    <w:t>台</w:t>
                  </w:r>
                </w:p>
              </w:tc>
              <w:tc>
                <w:tcPr>
                  <w:tcW w:w="594" w:type="pct"/>
                  <w:noWrap w:val="0"/>
                  <w:vAlign w:val="center"/>
                </w:tcPr>
                <w:p w14:paraId="6D49936D">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3"/>
                      <w:kern w:val="2"/>
                      <w:sz w:val="21"/>
                      <w:szCs w:val="21"/>
                      <w:lang w:val="en-US" w:eastAsia="zh-CN" w:bidi="ar-SA"/>
                    </w:rPr>
                  </w:pPr>
                  <w:r>
                    <w:rPr>
                      <w:rFonts w:hint="default" w:ascii="Times New Roman" w:hAnsi="Times New Roman" w:cs="Times New Roman"/>
                      <w:color w:val="auto"/>
                      <w:spacing w:val="3"/>
                      <w:sz w:val="21"/>
                      <w:szCs w:val="21"/>
                      <w:lang w:val="en-US" w:eastAsia="zh-CN"/>
                    </w:rPr>
                    <w:t>1</w:t>
                  </w:r>
                </w:p>
              </w:tc>
              <w:tc>
                <w:tcPr>
                  <w:tcW w:w="1160" w:type="pct"/>
                  <w:noWrap w:val="0"/>
                  <w:vAlign w:val="center"/>
                </w:tcPr>
                <w:p w14:paraId="3BADED88">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pacing w:val="3"/>
                      <w:sz w:val="21"/>
                      <w:szCs w:val="21"/>
                    </w:rPr>
                  </w:pPr>
                  <w:r>
                    <w:rPr>
                      <w:rFonts w:hint="eastAsia" w:ascii="Times New Roman" w:hAnsi="Times New Roman" w:cs="Times New Roman"/>
                      <w:color w:val="auto"/>
                      <w:spacing w:val="1"/>
                      <w:sz w:val="21"/>
                      <w:szCs w:val="21"/>
                      <w:lang w:val="en-US" w:eastAsia="zh-CN"/>
                    </w:rPr>
                    <w:t>/</w:t>
                  </w:r>
                </w:p>
              </w:tc>
            </w:tr>
            <w:tr w14:paraId="1E77BC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4" w:hRule="atLeast"/>
              </w:trPr>
              <w:tc>
                <w:tcPr>
                  <w:tcW w:w="446" w:type="pct"/>
                  <w:noWrap w:val="0"/>
                  <w:vAlign w:val="center"/>
                </w:tcPr>
                <w:p w14:paraId="4EDBB818">
                  <w:pPr>
                    <w:pStyle w:val="75"/>
                    <w:keepNext w:val="0"/>
                    <w:keepLines w:val="0"/>
                    <w:pageBreakBefore w:val="0"/>
                    <w:widowControl w:val="0"/>
                    <w:numPr>
                      <w:ilvl w:val="0"/>
                      <w:numId w:val="15"/>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pacing w:val="5"/>
                      <w:sz w:val="21"/>
                      <w:szCs w:val="21"/>
                    </w:rPr>
                  </w:pPr>
                </w:p>
              </w:tc>
              <w:tc>
                <w:tcPr>
                  <w:tcW w:w="1293" w:type="pct"/>
                  <w:noWrap w:val="0"/>
                  <w:vAlign w:val="center"/>
                </w:tcPr>
                <w:p w14:paraId="14A79A93">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3"/>
                      <w:kern w:val="2"/>
                      <w:sz w:val="21"/>
                      <w:szCs w:val="21"/>
                      <w:lang w:val="en-US" w:eastAsia="zh-CN" w:bidi="ar-SA"/>
                    </w:rPr>
                  </w:pPr>
                  <w:r>
                    <w:rPr>
                      <w:rFonts w:hint="default" w:ascii="Times New Roman" w:hAnsi="Times New Roman" w:cs="Times New Roman"/>
                      <w:color w:val="auto"/>
                      <w:spacing w:val="3"/>
                      <w:sz w:val="21"/>
                      <w:szCs w:val="21"/>
                      <w:lang w:eastAsia="zh-CN"/>
                    </w:rPr>
                    <w:t>四面刨</w:t>
                  </w:r>
                </w:p>
              </w:tc>
              <w:tc>
                <w:tcPr>
                  <w:tcW w:w="862" w:type="pct"/>
                  <w:noWrap w:val="0"/>
                  <w:vAlign w:val="center"/>
                </w:tcPr>
                <w:p w14:paraId="0C3659C8">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1"/>
                      <w:kern w:val="2"/>
                      <w:sz w:val="21"/>
                      <w:szCs w:val="21"/>
                      <w:lang w:val="en-US" w:eastAsia="zh-CN" w:bidi="ar-SA"/>
                    </w:rPr>
                  </w:pPr>
                  <w:r>
                    <w:rPr>
                      <w:rFonts w:hint="default" w:ascii="Times New Roman" w:hAnsi="Times New Roman" w:cs="Times New Roman"/>
                      <w:color w:val="auto"/>
                      <w:spacing w:val="1"/>
                      <w:sz w:val="21"/>
                      <w:szCs w:val="21"/>
                      <w:lang w:val="en-US" w:eastAsia="zh-CN"/>
                    </w:rPr>
                    <w:t>6轴</w:t>
                  </w:r>
                </w:p>
              </w:tc>
              <w:tc>
                <w:tcPr>
                  <w:tcW w:w="642" w:type="pct"/>
                  <w:noWrap w:val="0"/>
                  <w:vAlign w:val="center"/>
                </w:tcPr>
                <w:p w14:paraId="359F569D">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cs="Times New Roman"/>
                      <w:color w:val="auto"/>
                      <w:sz w:val="21"/>
                      <w:szCs w:val="21"/>
                    </w:rPr>
                    <w:t>台</w:t>
                  </w:r>
                </w:p>
              </w:tc>
              <w:tc>
                <w:tcPr>
                  <w:tcW w:w="594" w:type="pct"/>
                  <w:noWrap w:val="0"/>
                  <w:vAlign w:val="center"/>
                </w:tcPr>
                <w:p w14:paraId="33C44213">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3"/>
                      <w:kern w:val="2"/>
                      <w:sz w:val="21"/>
                      <w:szCs w:val="21"/>
                      <w:lang w:val="en-US" w:eastAsia="zh-CN" w:bidi="ar-SA"/>
                    </w:rPr>
                  </w:pPr>
                  <w:r>
                    <w:rPr>
                      <w:rFonts w:hint="default" w:ascii="Times New Roman" w:hAnsi="Times New Roman" w:cs="Times New Roman"/>
                      <w:color w:val="auto"/>
                      <w:spacing w:val="3"/>
                      <w:sz w:val="21"/>
                      <w:szCs w:val="21"/>
                      <w:lang w:val="en-US" w:eastAsia="zh-CN"/>
                    </w:rPr>
                    <w:t>1</w:t>
                  </w:r>
                </w:p>
              </w:tc>
              <w:tc>
                <w:tcPr>
                  <w:tcW w:w="1160" w:type="pct"/>
                  <w:noWrap w:val="0"/>
                  <w:vAlign w:val="center"/>
                </w:tcPr>
                <w:p w14:paraId="4A369362">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pacing w:val="3"/>
                      <w:sz w:val="21"/>
                      <w:szCs w:val="21"/>
                    </w:rPr>
                  </w:pPr>
                  <w:r>
                    <w:rPr>
                      <w:rFonts w:hint="eastAsia" w:ascii="Times New Roman" w:hAnsi="Times New Roman" w:cs="Times New Roman"/>
                      <w:color w:val="auto"/>
                      <w:spacing w:val="1"/>
                      <w:sz w:val="21"/>
                      <w:szCs w:val="21"/>
                      <w:lang w:val="en-US" w:eastAsia="zh-CN"/>
                    </w:rPr>
                    <w:t>/</w:t>
                  </w:r>
                </w:p>
              </w:tc>
            </w:tr>
            <w:tr w14:paraId="2669B1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4" w:hRule="atLeast"/>
              </w:trPr>
              <w:tc>
                <w:tcPr>
                  <w:tcW w:w="446" w:type="pct"/>
                  <w:noWrap w:val="0"/>
                  <w:vAlign w:val="center"/>
                </w:tcPr>
                <w:p w14:paraId="01D39E76">
                  <w:pPr>
                    <w:pStyle w:val="75"/>
                    <w:keepNext w:val="0"/>
                    <w:keepLines w:val="0"/>
                    <w:pageBreakBefore w:val="0"/>
                    <w:widowControl w:val="0"/>
                    <w:numPr>
                      <w:ilvl w:val="0"/>
                      <w:numId w:val="15"/>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pacing w:val="5"/>
                      <w:sz w:val="21"/>
                      <w:szCs w:val="21"/>
                    </w:rPr>
                  </w:pPr>
                </w:p>
              </w:tc>
              <w:tc>
                <w:tcPr>
                  <w:tcW w:w="1293" w:type="pct"/>
                  <w:noWrap w:val="0"/>
                  <w:vAlign w:val="center"/>
                </w:tcPr>
                <w:p w14:paraId="0124ABBD">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pacing w:val="3"/>
                      <w:sz w:val="21"/>
                      <w:szCs w:val="21"/>
                      <w:lang w:eastAsia="zh-CN"/>
                    </w:rPr>
                  </w:pPr>
                  <w:r>
                    <w:rPr>
                      <w:rFonts w:hint="default" w:ascii="Times New Roman" w:hAnsi="Times New Roman" w:cs="Times New Roman"/>
                      <w:color w:val="auto"/>
                      <w:spacing w:val="3"/>
                      <w:sz w:val="21"/>
                      <w:szCs w:val="21"/>
                      <w:lang w:eastAsia="zh-CN"/>
                    </w:rPr>
                    <w:t>优选锯</w:t>
                  </w:r>
                </w:p>
              </w:tc>
              <w:tc>
                <w:tcPr>
                  <w:tcW w:w="862" w:type="pct"/>
                  <w:noWrap w:val="0"/>
                  <w:vAlign w:val="center"/>
                </w:tcPr>
                <w:p w14:paraId="3CE60F7F">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pacing w:val="1"/>
                      <w:sz w:val="21"/>
                      <w:szCs w:val="21"/>
                      <w:lang w:val="en-US" w:eastAsia="zh-CN"/>
                    </w:rPr>
                  </w:pPr>
                  <w:r>
                    <w:rPr>
                      <w:rFonts w:hint="eastAsia" w:ascii="Times New Roman" w:hAnsi="Times New Roman" w:cs="Times New Roman"/>
                      <w:color w:val="auto"/>
                      <w:spacing w:val="1"/>
                      <w:sz w:val="21"/>
                      <w:szCs w:val="21"/>
                      <w:lang w:val="en-US" w:eastAsia="zh-CN"/>
                    </w:rPr>
                    <w:t>/</w:t>
                  </w:r>
                </w:p>
              </w:tc>
              <w:tc>
                <w:tcPr>
                  <w:tcW w:w="642" w:type="pct"/>
                  <w:noWrap w:val="0"/>
                  <w:vAlign w:val="center"/>
                </w:tcPr>
                <w:p w14:paraId="245C7C5E">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台</w:t>
                  </w:r>
                </w:p>
              </w:tc>
              <w:tc>
                <w:tcPr>
                  <w:tcW w:w="594" w:type="pct"/>
                  <w:noWrap w:val="0"/>
                  <w:vAlign w:val="center"/>
                </w:tcPr>
                <w:p w14:paraId="4CAE04F0">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pacing w:val="3"/>
                      <w:sz w:val="21"/>
                      <w:szCs w:val="21"/>
                      <w:lang w:val="en-US" w:eastAsia="zh-CN"/>
                    </w:rPr>
                  </w:pPr>
                  <w:r>
                    <w:rPr>
                      <w:rFonts w:hint="default" w:ascii="Times New Roman" w:hAnsi="Times New Roman" w:cs="Times New Roman"/>
                      <w:color w:val="auto"/>
                      <w:spacing w:val="3"/>
                      <w:sz w:val="21"/>
                      <w:szCs w:val="21"/>
                      <w:lang w:val="en-US" w:eastAsia="zh-CN"/>
                    </w:rPr>
                    <w:t>1</w:t>
                  </w:r>
                </w:p>
              </w:tc>
              <w:tc>
                <w:tcPr>
                  <w:tcW w:w="1160" w:type="pct"/>
                  <w:noWrap w:val="0"/>
                  <w:vAlign w:val="center"/>
                </w:tcPr>
                <w:p w14:paraId="5F933C2A">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pacing w:val="3"/>
                      <w:sz w:val="21"/>
                      <w:szCs w:val="21"/>
                    </w:rPr>
                  </w:pPr>
                  <w:r>
                    <w:rPr>
                      <w:rFonts w:hint="eastAsia" w:ascii="Times New Roman" w:hAnsi="Times New Roman" w:cs="Times New Roman"/>
                      <w:color w:val="auto"/>
                      <w:spacing w:val="1"/>
                      <w:sz w:val="21"/>
                      <w:szCs w:val="21"/>
                      <w:lang w:val="en-US" w:eastAsia="zh-CN"/>
                    </w:rPr>
                    <w:t>/</w:t>
                  </w:r>
                </w:p>
              </w:tc>
            </w:tr>
            <w:tr w14:paraId="60DC0F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4" w:hRule="atLeast"/>
              </w:trPr>
              <w:tc>
                <w:tcPr>
                  <w:tcW w:w="446" w:type="pct"/>
                  <w:noWrap w:val="0"/>
                  <w:vAlign w:val="center"/>
                </w:tcPr>
                <w:p w14:paraId="5A73D5AA">
                  <w:pPr>
                    <w:pStyle w:val="75"/>
                    <w:keepNext w:val="0"/>
                    <w:keepLines w:val="0"/>
                    <w:pageBreakBefore w:val="0"/>
                    <w:widowControl w:val="0"/>
                    <w:numPr>
                      <w:ilvl w:val="0"/>
                      <w:numId w:val="15"/>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pacing w:val="5"/>
                      <w:sz w:val="21"/>
                      <w:szCs w:val="21"/>
                    </w:rPr>
                  </w:pPr>
                </w:p>
              </w:tc>
              <w:tc>
                <w:tcPr>
                  <w:tcW w:w="1293" w:type="pct"/>
                  <w:noWrap w:val="0"/>
                  <w:vAlign w:val="center"/>
                </w:tcPr>
                <w:p w14:paraId="365E7231">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pacing w:val="3"/>
                      <w:sz w:val="21"/>
                      <w:szCs w:val="21"/>
                      <w:lang w:eastAsia="zh-CN"/>
                    </w:rPr>
                  </w:pPr>
                  <w:r>
                    <w:rPr>
                      <w:rFonts w:hint="default" w:ascii="Times New Roman" w:hAnsi="Times New Roman" w:cs="Times New Roman"/>
                      <w:color w:val="auto"/>
                      <w:spacing w:val="3"/>
                      <w:sz w:val="21"/>
                      <w:szCs w:val="21"/>
                      <w:lang w:eastAsia="zh-CN"/>
                    </w:rPr>
                    <w:t>压刨</w:t>
                  </w:r>
                </w:p>
              </w:tc>
              <w:tc>
                <w:tcPr>
                  <w:tcW w:w="862" w:type="pct"/>
                  <w:noWrap w:val="0"/>
                  <w:vAlign w:val="center"/>
                </w:tcPr>
                <w:p w14:paraId="52FE6892">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pacing w:val="1"/>
                      <w:sz w:val="21"/>
                      <w:szCs w:val="21"/>
                      <w:lang w:val="en-US" w:eastAsia="zh-CN"/>
                    </w:rPr>
                  </w:pPr>
                  <w:r>
                    <w:rPr>
                      <w:rFonts w:hint="eastAsia" w:ascii="Times New Roman" w:hAnsi="Times New Roman" w:cs="Times New Roman"/>
                      <w:color w:val="auto"/>
                      <w:spacing w:val="1"/>
                      <w:sz w:val="21"/>
                      <w:szCs w:val="21"/>
                      <w:lang w:val="en-US" w:eastAsia="zh-CN"/>
                    </w:rPr>
                    <w:t>/</w:t>
                  </w:r>
                </w:p>
              </w:tc>
              <w:tc>
                <w:tcPr>
                  <w:tcW w:w="642" w:type="pct"/>
                  <w:noWrap w:val="0"/>
                  <w:vAlign w:val="center"/>
                </w:tcPr>
                <w:p w14:paraId="4BB5300A">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cs="Times New Roman"/>
                      <w:color w:val="auto"/>
                      <w:sz w:val="21"/>
                      <w:szCs w:val="21"/>
                    </w:rPr>
                    <w:t>台</w:t>
                  </w:r>
                </w:p>
              </w:tc>
              <w:tc>
                <w:tcPr>
                  <w:tcW w:w="594" w:type="pct"/>
                  <w:noWrap w:val="0"/>
                  <w:vAlign w:val="center"/>
                </w:tcPr>
                <w:p w14:paraId="193BA0EE">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3"/>
                      <w:kern w:val="2"/>
                      <w:sz w:val="21"/>
                      <w:szCs w:val="21"/>
                      <w:lang w:val="en-US" w:eastAsia="zh-CN" w:bidi="ar-SA"/>
                    </w:rPr>
                  </w:pPr>
                  <w:r>
                    <w:rPr>
                      <w:rFonts w:hint="default" w:ascii="Times New Roman" w:hAnsi="Times New Roman" w:cs="Times New Roman"/>
                      <w:color w:val="auto"/>
                      <w:spacing w:val="3"/>
                      <w:sz w:val="21"/>
                      <w:szCs w:val="21"/>
                      <w:lang w:val="en-US" w:eastAsia="zh-CN"/>
                    </w:rPr>
                    <w:t>1</w:t>
                  </w:r>
                </w:p>
              </w:tc>
              <w:tc>
                <w:tcPr>
                  <w:tcW w:w="1160" w:type="pct"/>
                  <w:noWrap w:val="0"/>
                  <w:vAlign w:val="center"/>
                </w:tcPr>
                <w:p w14:paraId="28DB6EEF">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pacing w:val="3"/>
                      <w:sz w:val="21"/>
                      <w:szCs w:val="21"/>
                    </w:rPr>
                  </w:pPr>
                  <w:r>
                    <w:rPr>
                      <w:rFonts w:hint="eastAsia" w:ascii="Times New Roman" w:hAnsi="Times New Roman" w:cs="Times New Roman"/>
                      <w:color w:val="auto"/>
                      <w:spacing w:val="1"/>
                      <w:sz w:val="21"/>
                      <w:szCs w:val="21"/>
                      <w:lang w:val="en-US" w:eastAsia="zh-CN"/>
                    </w:rPr>
                    <w:t>/</w:t>
                  </w:r>
                </w:p>
              </w:tc>
            </w:tr>
            <w:tr w14:paraId="396683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4" w:hRule="atLeast"/>
              </w:trPr>
              <w:tc>
                <w:tcPr>
                  <w:tcW w:w="446" w:type="pct"/>
                  <w:noWrap w:val="0"/>
                  <w:vAlign w:val="center"/>
                </w:tcPr>
                <w:p w14:paraId="437A4D93">
                  <w:pPr>
                    <w:pStyle w:val="75"/>
                    <w:keepNext w:val="0"/>
                    <w:keepLines w:val="0"/>
                    <w:pageBreakBefore w:val="0"/>
                    <w:widowControl w:val="0"/>
                    <w:numPr>
                      <w:ilvl w:val="0"/>
                      <w:numId w:val="15"/>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pacing w:val="5"/>
                      <w:sz w:val="21"/>
                      <w:szCs w:val="21"/>
                    </w:rPr>
                  </w:pPr>
                </w:p>
              </w:tc>
              <w:tc>
                <w:tcPr>
                  <w:tcW w:w="1293" w:type="pct"/>
                  <w:noWrap w:val="0"/>
                  <w:vAlign w:val="center"/>
                </w:tcPr>
                <w:p w14:paraId="7DB25FE8">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pacing w:val="3"/>
                      <w:sz w:val="21"/>
                      <w:szCs w:val="21"/>
                      <w:lang w:eastAsia="zh-CN"/>
                    </w:rPr>
                  </w:pPr>
                  <w:r>
                    <w:rPr>
                      <w:rFonts w:hint="default" w:ascii="Times New Roman" w:hAnsi="Times New Roman" w:cs="Times New Roman"/>
                      <w:color w:val="auto"/>
                      <w:spacing w:val="3"/>
                      <w:sz w:val="21"/>
                      <w:szCs w:val="21"/>
                      <w:lang w:eastAsia="zh-CN"/>
                    </w:rPr>
                    <w:t>裁板锯</w:t>
                  </w:r>
                </w:p>
              </w:tc>
              <w:tc>
                <w:tcPr>
                  <w:tcW w:w="862" w:type="pct"/>
                  <w:noWrap w:val="0"/>
                  <w:vAlign w:val="center"/>
                </w:tcPr>
                <w:p w14:paraId="23908A3A">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pacing w:val="1"/>
                      <w:sz w:val="21"/>
                      <w:szCs w:val="21"/>
                      <w:lang w:val="en-US" w:eastAsia="zh-CN"/>
                    </w:rPr>
                  </w:pPr>
                  <w:r>
                    <w:rPr>
                      <w:rFonts w:hint="eastAsia" w:ascii="Times New Roman" w:hAnsi="Times New Roman" w:cs="Times New Roman"/>
                      <w:color w:val="auto"/>
                      <w:spacing w:val="1"/>
                      <w:sz w:val="21"/>
                      <w:szCs w:val="21"/>
                      <w:lang w:val="en-US" w:eastAsia="zh-CN"/>
                    </w:rPr>
                    <w:t>/</w:t>
                  </w:r>
                </w:p>
              </w:tc>
              <w:tc>
                <w:tcPr>
                  <w:tcW w:w="642" w:type="pct"/>
                  <w:noWrap w:val="0"/>
                  <w:vAlign w:val="center"/>
                </w:tcPr>
                <w:p w14:paraId="4985E88C">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台</w:t>
                  </w:r>
                </w:p>
              </w:tc>
              <w:tc>
                <w:tcPr>
                  <w:tcW w:w="594" w:type="pct"/>
                  <w:noWrap w:val="0"/>
                  <w:vAlign w:val="center"/>
                </w:tcPr>
                <w:p w14:paraId="02CB555A">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pacing w:val="3"/>
                      <w:sz w:val="21"/>
                      <w:szCs w:val="21"/>
                      <w:lang w:val="en-US" w:eastAsia="zh-CN"/>
                    </w:rPr>
                  </w:pPr>
                  <w:r>
                    <w:rPr>
                      <w:rFonts w:hint="default" w:ascii="Times New Roman" w:hAnsi="Times New Roman" w:cs="Times New Roman"/>
                      <w:color w:val="auto"/>
                      <w:spacing w:val="3"/>
                      <w:sz w:val="21"/>
                      <w:szCs w:val="21"/>
                      <w:lang w:val="en-US" w:eastAsia="zh-CN"/>
                    </w:rPr>
                    <w:t>1</w:t>
                  </w:r>
                </w:p>
              </w:tc>
              <w:tc>
                <w:tcPr>
                  <w:tcW w:w="1160" w:type="pct"/>
                  <w:noWrap w:val="0"/>
                  <w:vAlign w:val="center"/>
                </w:tcPr>
                <w:p w14:paraId="2322DDA1">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pacing w:val="3"/>
                      <w:sz w:val="21"/>
                      <w:szCs w:val="21"/>
                    </w:rPr>
                  </w:pPr>
                  <w:r>
                    <w:rPr>
                      <w:rFonts w:hint="eastAsia" w:ascii="Times New Roman" w:hAnsi="Times New Roman" w:cs="Times New Roman"/>
                      <w:color w:val="auto"/>
                      <w:spacing w:val="1"/>
                      <w:sz w:val="21"/>
                      <w:szCs w:val="21"/>
                      <w:lang w:val="en-US" w:eastAsia="zh-CN"/>
                    </w:rPr>
                    <w:t>/</w:t>
                  </w:r>
                </w:p>
              </w:tc>
            </w:tr>
            <w:tr w14:paraId="48ECCE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4" w:hRule="atLeast"/>
              </w:trPr>
              <w:tc>
                <w:tcPr>
                  <w:tcW w:w="446" w:type="pct"/>
                  <w:noWrap w:val="0"/>
                  <w:vAlign w:val="center"/>
                </w:tcPr>
                <w:p w14:paraId="3D4F1DD2">
                  <w:pPr>
                    <w:pStyle w:val="75"/>
                    <w:keepNext w:val="0"/>
                    <w:keepLines w:val="0"/>
                    <w:pageBreakBefore w:val="0"/>
                    <w:widowControl w:val="0"/>
                    <w:numPr>
                      <w:ilvl w:val="0"/>
                      <w:numId w:val="15"/>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pacing w:val="5"/>
                      <w:sz w:val="21"/>
                      <w:szCs w:val="21"/>
                    </w:rPr>
                  </w:pPr>
                </w:p>
              </w:tc>
              <w:tc>
                <w:tcPr>
                  <w:tcW w:w="1293" w:type="pct"/>
                  <w:noWrap w:val="0"/>
                  <w:vAlign w:val="center"/>
                </w:tcPr>
                <w:p w14:paraId="55399E77">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pacing w:val="3"/>
                      <w:sz w:val="21"/>
                      <w:szCs w:val="21"/>
                      <w:lang w:eastAsia="zh-CN"/>
                    </w:rPr>
                  </w:pPr>
                  <w:r>
                    <w:rPr>
                      <w:rFonts w:hint="default" w:ascii="Times New Roman" w:hAnsi="Times New Roman" w:cs="Times New Roman"/>
                      <w:color w:val="auto"/>
                      <w:spacing w:val="3"/>
                      <w:sz w:val="21"/>
                      <w:szCs w:val="21"/>
                      <w:lang w:eastAsia="zh-CN"/>
                    </w:rPr>
                    <w:t>单边锯</w:t>
                  </w:r>
                </w:p>
              </w:tc>
              <w:tc>
                <w:tcPr>
                  <w:tcW w:w="862" w:type="pct"/>
                  <w:noWrap w:val="0"/>
                  <w:vAlign w:val="center"/>
                </w:tcPr>
                <w:p w14:paraId="79F7D9A9">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pacing w:val="1"/>
                      <w:sz w:val="21"/>
                      <w:szCs w:val="21"/>
                      <w:lang w:val="en-US" w:eastAsia="zh-CN"/>
                    </w:rPr>
                  </w:pPr>
                  <w:r>
                    <w:rPr>
                      <w:rFonts w:hint="eastAsia" w:ascii="Times New Roman" w:hAnsi="Times New Roman" w:cs="Times New Roman"/>
                      <w:color w:val="auto"/>
                      <w:spacing w:val="1"/>
                      <w:sz w:val="21"/>
                      <w:szCs w:val="21"/>
                      <w:lang w:val="en-US" w:eastAsia="zh-CN"/>
                    </w:rPr>
                    <w:t>/</w:t>
                  </w:r>
                </w:p>
              </w:tc>
              <w:tc>
                <w:tcPr>
                  <w:tcW w:w="642" w:type="pct"/>
                  <w:noWrap w:val="0"/>
                  <w:vAlign w:val="center"/>
                </w:tcPr>
                <w:p w14:paraId="5571773C">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台</w:t>
                  </w:r>
                </w:p>
              </w:tc>
              <w:tc>
                <w:tcPr>
                  <w:tcW w:w="594" w:type="pct"/>
                  <w:noWrap w:val="0"/>
                  <w:vAlign w:val="center"/>
                </w:tcPr>
                <w:p w14:paraId="70DAF5D2">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pacing w:val="3"/>
                      <w:sz w:val="21"/>
                      <w:szCs w:val="21"/>
                      <w:lang w:val="en-US" w:eastAsia="zh-CN"/>
                    </w:rPr>
                  </w:pPr>
                  <w:r>
                    <w:rPr>
                      <w:rFonts w:hint="default" w:ascii="Times New Roman" w:hAnsi="Times New Roman" w:cs="Times New Roman"/>
                      <w:color w:val="auto"/>
                      <w:spacing w:val="3"/>
                      <w:sz w:val="21"/>
                      <w:szCs w:val="21"/>
                      <w:lang w:val="en-US" w:eastAsia="zh-CN"/>
                    </w:rPr>
                    <w:t>1</w:t>
                  </w:r>
                </w:p>
              </w:tc>
              <w:tc>
                <w:tcPr>
                  <w:tcW w:w="1160" w:type="pct"/>
                  <w:noWrap w:val="0"/>
                  <w:vAlign w:val="center"/>
                </w:tcPr>
                <w:p w14:paraId="5A6080D4">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pacing w:val="3"/>
                      <w:sz w:val="21"/>
                      <w:szCs w:val="21"/>
                    </w:rPr>
                  </w:pPr>
                  <w:r>
                    <w:rPr>
                      <w:rFonts w:hint="eastAsia" w:ascii="Times New Roman" w:hAnsi="Times New Roman" w:cs="Times New Roman"/>
                      <w:color w:val="auto"/>
                      <w:spacing w:val="1"/>
                      <w:sz w:val="21"/>
                      <w:szCs w:val="21"/>
                      <w:lang w:val="en-US" w:eastAsia="zh-CN"/>
                    </w:rPr>
                    <w:t>/</w:t>
                  </w:r>
                </w:p>
              </w:tc>
            </w:tr>
            <w:tr w14:paraId="768CC3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4" w:hRule="atLeast"/>
              </w:trPr>
              <w:tc>
                <w:tcPr>
                  <w:tcW w:w="446" w:type="pct"/>
                  <w:noWrap w:val="0"/>
                  <w:vAlign w:val="center"/>
                </w:tcPr>
                <w:p w14:paraId="2B226566">
                  <w:pPr>
                    <w:pStyle w:val="75"/>
                    <w:keepNext w:val="0"/>
                    <w:keepLines w:val="0"/>
                    <w:pageBreakBefore w:val="0"/>
                    <w:widowControl w:val="0"/>
                    <w:numPr>
                      <w:ilvl w:val="0"/>
                      <w:numId w:val="15"/>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pacing w:val="5"/>
                      <w:sz w:val="21"/>
                      <w:szCs w:val="21"/>
                    </w:rPr>
                  </w:pPr>
                </w:p>
              </w:tc>
              <w:tc>
                <w:tcPr>
                  <w:tcW w:w="1293" w:type="pct"/>
                  <w:noWrap w:val="0"/>
                  <w:vAlign w:val="center"/>
                </w:tcPr>
                <w:p w14:paraId="4D16081D">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pacing w:val="3"/>
                      <w:sz w:val="21"/>
                      <w:szCs w:val="21"/>
                      <w:lang w:eastAsia="zh-CN"/>
                    </w:rPr>
                  </w:pPr>
                  <w:r>
                    <w:rPr>
                      <w:rFonts w:hint="default" w:ascii="Times New Roman" w:hAnsi="Times New Roman" w:cs="Times New Roman"/>
                      <w:color w:val="auto"/>
                      <w:spacing w:val="3"/>
                      <w:sz w:val="21"/>
                      <w:szCs w:val="21"/>
                      <w:lang w:eastAsia="zh-CN"/>
                    </w:rPr>
                    <w:t>履带式双端铣</w:t>
                  </w:r>
                </w:p>
              </w:tc>
              <w:tc>
                <w:tcPr>
                  <w:tcW w:w="862" w:type="pct"/>
                  <w:noWrap w:val="0"/>
                  <w:vAlign w:val="center"/>
                </w:tcPr>
                <w:p w14:paraId="1FCE752E">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pacing w:val="1"/>
                      <w:sz w:val="21"/>
                      <w:szCs w:val="21"/>
                      <w:lang w:val="en-US" w:eastAsia="zh-CN"/>
                    </w:rPr>
                  </w:pPr>
                  <w:r>
                    <w:rPr>
                      <w:rFonts w:hint="eastAsia" w:ascii="Times New Roman" w:hAnsi="Times New Roman" w:cs="Times New Roman"/>
                      <w:color w:val="auto"/>
                      <w:spacing w:val="1"/>
                      <w:sz w:val="21"/>
                      <w:szCs w:val="21"/>
                      <w:lang w:val="en-US" w:eastAsia="zh-CN"/>
                    </w:rPr>
                    <w:t>/</w:t>
                  </w:r>
                </w:p>
              </w:tc>
              <w:tc>
                <w:tcPr>
                  <w:tcW w:w="642" w:type="pct"/>
                  <w:noWrap w:val="0"/>
                  <w:vAlign w:val="center"/>
                </w:tcPr>
                <w:p w14:paraId="7D147CA3">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台</w:t>
                  </w:r>
                </w:p>
              </w:tc>
              <w:tc>
                <w:tcPr>
                  <w:tcW w:w="594" w:type="pct"/>
                  <w:noWrap w:val="0"/>
                  <w:vAlign w:val="center"/>
                </w:tcPr>
                <w:p w14:paraId="5847410C">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pacing w:val="3"/>
                      <w:sz w:val="21"/>
                      <w:szCs w:val="21"/>
                      <w:lang w:val="en-US" w:eastAsia="zh-CN"/>
                    </w:rPr>
                  </w:pPr>
                  <w:r>
                    <w:rPr>
                      <w:rFonts w:hint="default" w:ascii="Times New Roman" w:hAnsi="Times New Roman" w:cs="Times New Roman"/>
                      <w:color w:val="auto"/>
                      <w:spacing w:val="3"/>
                      <w:sz w:val="21"/>
                      <w:szCs w:val="21"/>
                      <w:lang w:val="en-US" w:eastAsia="zh-CN"/>
                    </w:rPr>
                    <w:t>2</w:t>
                  </w:r>
                </w:p>
              </w:tc>
              <w:tc>
                <w:tcPr>
                  <w:tcW w:w="1160" w:type="pct"/>
                  <w:noWrap w:val="0"/>
                  <w:vAlign w:val="center"/>
                </w:tcPr>
                <w:p w14:paraId="3F5C471D">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pacing w:val="3"/>
                      <w:sz w:val="21"/>
                      <w:szCs w:val="21"/>
                    </w:rPr>
                  </w:pPr>
                  <w:r>
                    <w:rPr>
                      <w:rFonts w:hint="eastAsia" w:ascii="Times New Roman" w:hAnsi="Times New Roman" w:cs="Times New Roman"/>
                      <w:color w:val="auto"/>
                      <w:spacing w:val="1"/>
                      <w:sz w:val="21"/>
                      <w:szCs w:val="21"/>
                      <w:lang w:val="en-US" w:eastAsia="zh-CN"/>
                    </w:rPr>
                    <w:t>/</w:t>
                  </w:r>
                </w:p>
              </w:tc>
            </w:tr>
            <w:tr w14:paraId="2A104B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4" w:hRule="atLeast"/>
              </w:trPr>
              <w:tc>
                <w:tcPr>
                  <w:tcW w:w="446" w:type="pct"/>
                  <w:noWrap w:val="0"/>
                  <w:vAlign w:val="center"/>
                </w:tcPr>
                <w:p w14:paraId="2908D962">
                  <w:pPr>
                    <w:pStyle w:val="75"/>
                    <w:keepNext w:val="0"/>
                    <w:keepLines w:val="0"/>
                    <w:pageBreakBefore w:val="0"/>
                    <w:widowControl w:val="0"/>
                    <w:numPr>
                      <w:ilvl w:val="0"/>
                      <w:numId w:val="15"/>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pacing w:val="5"/>
                      <w:sz w:val="21"/>
                      <w:szCs w:val="21"/>
                    </w:rPr>
                  </w:pPr>
                </w:p>
              </w:tc>
              <w:tc>
                <w:tcPr>
                  <w:tcW w:w="1293" w:type="pct"/>
                  <w:noWrap w:val="0"/>
                  <w:vAlign w:val="center"/>
                </w:tcPr>
                <w:p w14:paraId="12FFE748">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pacing w:val="3"/>
                      <w:sz w:val="21"/>
                      <w:szCs w:val="21"/>
                      <w:lang w:eastAsia="zh-CN"/>
                    </w:rPr>
                  </w:pPr>
                  <w:r>
                    <w:rPr>
                      <w:rFonts w:hint="default" w:ascii="Times New Roman" w:hAnsi="Times New Roman" w:cs="Times New Roman"/>
                      <w:color w:val="auto"/>
                      <w:spacing w:val="3"/>
                      <w:sz w:val="21"/>
                      <w:szCs w:val="21"/>
                      <w:lang w:eastAsia="zh-CN"/>
                    </w:rPr>
                    <w:t>六轴刨</w:t>
                  </w:r>
                </w:p>
              </w:tc>
              <w:tc>
                <w:tcPr>
                  <w:tcW w:w="862" w:type="pct"/>
                  <w:noWrap w:val="0"/>
                  <w:vAlign w:val="center"/>
                </w:tcPr>
                <w:p w14:paraId="068E4322">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pacing w:val="1"/>
                      <w:sz w:val="21"/>
                      <w:szCs w:val="21"/>
                      <w:lang w:val="en-US" w:eastAsia="zh-CN"/>
                    </w:rPr>
                  </w:pPr>
                  <w:r>
                    <w:rPr>
                      <w:rFonts w:hint="eastAsia" w:ascii="Times New Roman" w:hAnsi="Times New Roman" w:cs="Times New Roman"/>
                      <w:color w:val="auto"/>
                      <w:spacing w:val="1"/>
                      <w:sz w:val="21"/>
                      <w:szCs w:val="21"/>
                      <w:lang w:val="en-US" w:eastAsia="zh-CN"/>
                    </w:rPr>
                    <w:t>/</w:t>
                  </w:r>
                </w:p>
              </w:tc>
              <w:tc>
                <w:tcPr>
                  <w:tcW w:w="642" w:type="pct"/>
                  <w:noWrap w:val="0"/>
                  <w:vAlign w:val="center"/>
                </w:tcPr>
                <w:p w14:paraId="11F530F0">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cs="Times New Roman"/>
                      <w:color w:val="auto"/>
                      <w:sz w:val="21"/>
                      <w:szCs w:val="21"/>
                    </w:rPr>
                    <w:t>台</w:t>
                  </w:r>
                </w:p>
              </w:tc>
              <w:tc>
                <w:tcPr>
                  <w:tcW w:w="594" w:type="pct"/>
                  <w:noWrap w:val="0"/>
                  <w:vAlign w:val="center"/>
                </w:tcPr>
                <w:p w14:paraId="1534BBED">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3"/>
                      <w:kern w:val="2"/>
                      <w:sz w:val="21"/>
                      <w:szCs w:val="21"/>
                      <w:lang w:val="en-US" w:eastAsia="zh-CN" w:bidi="ar-SA"/>
                    </w:rPr>
                  </w:pPr>
                  <w:r>
                    <w:rPr>
                      <w:rFonts w:hint="default" w:ascii="Times New Roman" w:hAnsi="Times New Roman" w:cs="Times New Roman"/>
                      <w:color w:val="auto"/>
                      <w:spacing w:val="3"/>
                      <w:sz w:val="21"/>
                      <w:szCs w:val="21"/>
                      <w:lang w:val="en-US" w:eastAsia="zh-CN"/>
                    </w:rPr>
                    <w:t>1</w:t>
                  </w:r>
                </w:p>
              </w:tc>
              <w:tc>
                <w:tcPr>
                  <w:tcW w:w="1160" w:type="pct"/>
                  <w:noWrap w:val="0"/>
                  <w:vAlign w:val="center"/>
                </w:tcPr>
                <w:p w14:paraId="1F544F57">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pacing w:val="3"/>
                      <w:sz w:val="21"/>
                      <w:szCs w:val="21"/>
                    </w:rPr>
                  </w:pPr>
                  <w:r>
                    <w:rPr>
                      <w:rFonts w:hint="eastAsia" w:ascii="Times New Roman" w:hAnsi="Times New Roman" w:cs="Times New Roman"/>
                      <w:color w:val="auto"/>
                      <w:spacing w:val="1"/>
                      <w:sz w:val="21"/>
                      <w:szCs w:val="21"/>
                      <w:lang w:val="en-US" w:eastAsia="zh-CN"/>
                    </w:rPr>
                    <w:t>/</w:t>
                  </w:r>
                </w:p>
              </w:tc>
            </w:tr>
            <w:tr w14:paraId="67A75E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4" w:hRule="atLeast"/>
              </w:trPr>
              <w:tc>
                <w:tcPr>
                  <w:tcW w:w="446" w:type="pct"/>
                  <w:noWrap w:val="0"/>
                  <w:vAlign w:val="center"/>
                </w:tcPr>
                <w:p w14:paraId="0FBF7B15">
                  <w:pPr>
                    <w:pStyle w:val="75"/>
                    <w:keepNext w:val="0"/>
                    <w:keepLines w:val="0"/>
                    <w:pageBreakBefore w:val="0"/>
                    <w:widowControl w:val="0"/>
                    <w:numPr>
                      <w:ilvl w:val="0"/>
                      <w:numId w:val="15"/>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pacing w:val="5"/>
                      <w:sz w:val="21"/>
                      <w:szCs w:val="21"/>
                    </w:rPr>
                  </w:pPr>
                </w:p>
              </w:tc>
              <w:tc>
                <w:tcPr>
                  <w:tcW w:w="1293" w:type="pct"/>
                  <w:noWrap w:val="0"/>
                  <w:vAlign w:val="center"/>
                </w:tcPr>
                <w:p w14:paraId="4F27AFB2">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pacing w:val="3"/>
                      <w:sz w:val="21"/>
                      <w:szCs w:val="21"/>
                      <w:lang w:eastAsia="zh-CN"/>
                    </w:rPr>
                  </w:pPr>
                  <w:r>
                    <w:rPr>
                      <w:rFonts w:hint="default" w:ascii="Times New Roman" w:hAnsi="Times New Roman" w:cs="Times New Roman"/>
                      <w:color w:val="auto"/>
                      <w:spacing w:val="3"/>
                      <w:sz w:val="21"/>
                      <w:szCs w:val="21"/>
                      <w:lang w:eastAsia="zh-CN"/>
                    </w:rPr>
                    <w:t>螺杆式空气压缩机</w:t>
                  </w:r>
                </w:p>
              </w:tc>
              <w:tc>
                <w:tcPr>
                  <w:tcW w:w="862" w:type="pct"/>
                  <w:noWrap w:val="0"/>
                  <w:vAlign w:val="center"/>
                </w:tcPr>
                <w:p w14:paraId="1A36AD04">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pacing w:val="1"/>
                      <w:sz w:val="21"/>
                      <w:szCs w:val="21"/>
                      <w:lang w:val="en-US" w:eastAsia="zh-CN"/>
                    </w:rPr>
                  </w:pPr>
                  <w:r>
                    <w:rPr>
                      <w:rFonts w:hint="eastAsia" w:ascii="Times New Roman" w:hAnsi="Times New Roman" w:cs="Times New Roman"/>
                      <w:color w:val="auto"/>
                      <w:spacing w:val="1"/>
                      <w:sz w:val="21"/>
                      <w:szCs w:val="21"/>
                      <w:lang w:val="en-US" w:eastAsia="zh-CN"/>
                    </w:rPr>
                    <w:t>/</w:t>
                  </w:r>
                </w:p>
              </w:tc>
              <w:tc>
                <w:tcPr>
                  <w:tcW w:w="642" w:type="pct"/>
                  <w:noWrap w:val="0"/>
                  <w:vAlign w:val="center"/>
                </w:tcPr>
                <w:p w14:paraId="7C297C3C">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台</w:t>
                  </w:r>
                </w:p>
              </w:tc>
              <w:tc>
                <w:tcPr>
                  <w:tcW w:w="594" w:type="pct"/>
                  <w:noWrap w:val="0"/>
                  <w:vAlign w:val="center"/>
                </w:tcPr>
                <w:p w14:paraId="6062B94A">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pacing w:val="3"/>
                      <w:sz w:val="21"/>
                      <w:szCs w:val="21"/>
                      <w:lang w:val="en-US" w:eastAsia="zh-CN"/>
                    </w:rPr>
                  </w:pPr>
                  <w:r>
                    <w:rPr>
                      <w:rFonts w:hint="default" w:ascii="Times New Roman" w:hAnsi="Times New Roman" w:cs="Times New Roman"/>
                      <w:color w:val="auto"/>
                      <w:spacing w:val="3"/>
                      <w:sz w:val="21"/>
                      <w:szCs w:val="21"/>
                      <w:lang w:val="en-US" w:eastAsia="zh-CN"/>
                    </w:rPr>
                    <w:t>2</w:t>
                  </w:r>
                </w:p>
              </w:tc>
              <w:tc>
                <w:tcPr>
                  <w:tcW w:w="1160" w:type="pct"/>
                  <w:noWrap w:val="0"/>
                  <w:vAlign w:val="center"/>
                </w:tcPr>
                <w:p w14:paraId="1C930859">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pacing w:val="3"/>
                      <w:sz w:val="21"/>
                      <w:szCs w:val="21"/>
                    </w:rPr>
                  </w:pPr>
                  <w:r>
                    <w:rPr>
                      <w:rFonts w:hint="eastAsia" w:ascii="Times New Roman" w:hAnsi="Times New Roman" w:cs="Times New Roman"/>
                      <w:color w:val="auto"/>
                      <w:spacing w:val="1"/>
                      <w:sz w:val="21"/>
                      <w:szCs w:val="21"/>
                      <w:lang w:val="en-US" w:eastAsia="zh-CN"/>
                    </w:rPr>
                    <w:t>/</w:t>
                  </w:r>
                </w:p>
              </w:tc>
            </w:tr>
            <w:tr w14:paraId="001E96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4" w:hRule="atLeast"/>
              </w:trPr>
              <w:tc>
                <w:tcPr>
                  <w:tcW w:w="446" w:type="pct"/>
                  <w:noWrap w:val="0"/>
                  <w:vAlign w:val="center"/>
                </w:tcPr>
                <w:p w14:paraId="1985EB48">
                  <w:pPr>
                    <w:pStyle w:val="75"/>
                    <w:keepNext w:val="0"/>
                    <w:keepLines w:val="0"/>
                    <w:pageBreakBefore w:val="0"/>
                    <w:widowControl w:val="0"/>
                    <w:numPr>
                      <w:ilvl w:val="0"/>
                      <w:numId w:val="15"/>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pacing w:val="5"/>
                      <w:sz w:val="21"/>
                      <w:szCs w:val="21"/>
                    </w:rPr>
                  </w:pPr>
                </w:p>
              </w:tc>
              <w:tc>
                <w:tcPr>
                  <w:tcW w:w="1293" w:type="pct"/>
                  <w:noWrap w:val="0"/>
                  <w:vAlign w:val="center"/>
                </w:tcPr>
                <w:p w14:paraId="6DA14697">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Times New Roman"/>
                      <w:color w:val="auto"/>
                      <w:spacing w:val="3"/>
                      <w:sz w:val="21"/>
                      <w:szCs w:val="21"/>
                      <w:lang w:eastAsia="zh-CN"/>
                    </w:rPr>
                  </w:pPr>
                  <w:r>
                    <w:rPr>
                      <w:rFonts w:hint="default" w:ascii="Times New Roman" w:hAnsi="Times New Roman" w:cs="Times New Roman"/>
                      <w:color w:val="auto"/>
                      <w:spacing w:val="3"/>
                      <w:sz w:val="21"/>
                      <w:szCs w:val="21"/>
                      <w:lang w:eastAsia="zh-CN"/>
                    </w:rPr>
                    <w:t>储气罐</w:t>
                  </w:r>
                  <w:r>
                    <w:rPr>
                      <w:rFonts w:hint="eastAsia"/>
                      <w:color w:val="auto"/>
                      <w:sz w:val="21"/>
                      <w:szCs w:val="21"/>
                      <w:lang w:eastAsia="zh-CN"/>
                    </w:rPr>
                    <w:t>（空气）</w:t>
                  </w:r>
                </w:p>
              </w:tc>
              <w:tc>
                <w:tcPr>
                  <w:tcW w:w="862" w:type="pct"/>
                  <w:noWrap w:val="0"/>
                  <w:vAlign w:val="center"/>
                </w:tcPr>
                <w:p w14:paraId="17CD4F31">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pacing w:val="1"/>
                      <w:sz w:val="21"/>
                      <w:szCs w:val="21"/>
                      <w:lang w:val="en-US" w:eastAsia="zh-CN"/>
                    </w:rPr>
                  </w:pPr>
                  <w:r>
                    <w:rPr>
                      <w:rFonts w:hint="default" w:ascii="Times New Roman" w:hAnsi="Times New Roman" w:cs="Times New Roman"/>
                      <w:color w:val="auto"/>
                      <w:spacing w:val="1"/>
                      <w:sz w:val="21"/>
                      <w:szCs w:val="21"/>
                      <w:lang w:val="en-US" w:eastAsia="zh-CN"/>
                    </w:rPr>
                    <w:t>P=0.84MPa，V=1m</w:t>
                  </w:r>
                  <w:r>
                    <w:rPr>
                      <w:rFonts w:hint="default" w:ascii="Times New Roman" w:hAnsi="Times New Roman" w:cs="Times New Roman"/>
                      <w:color w:val="auto"/>
                      <w:spacing w:val="1"/>
                      <w:sz w:val="21"/>
                      <w:szCs w:val="21"/>
                      <w:vertAlign w:val="superscript"/>
                      <w:lang w:val="en-US" w:eastAsia="zh-CN"/>
                    </w:rPr>
                    <w:t>3</w:t>
                  </w:r>
                </w:p>
              </w:tc>
              <w:tc>
                <w:tcPr>
                  <w:tcW w:w="642" w:type="pct"/>
                  <w:noWrap w:val="0"/>
                  <w:vAlign w:val="center"/>
                </w:tcPr>
                <w:p w14:paraId="0498DA35">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cs="Times New Roman"/>
                      <w:color w:val="auto"/>
                      <w:sz w:val="21"/>
                      <w:szCs w:val="21"/>
                    </w:rPr>
                    <w:t>台</w:t>
                  </w:r>
                </w:p>
              </w:tc>
              <w:tc>
                <w:tcPr>
                  <w:tcW w:w="594" w:type="pct"/>
                  <w:noWrap w:val="0"/>
                  <w:vAlign w:val="center"/>
                </w:tcPr>
                <w:p w14:paraId="2D6EF217">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3"/>
                      <w:kern w:val="2"/>
                      <w:sz w:val="21"/>
                      <w:szCs w:val="21"/>
                      <w:lang w:val="en-US" w:eastAsia="zh-CN" w:bidi="ar-SA"/>
                    </w:rPr>
                  </w:pPr>
                  <w:r>
                    <w:rPr>
                      <w:rFonts w:hint="default" w:ascii="Times New Roman" w:hAnsi="Times New Roman" w:cs="Times New Roman"/>
                      <w:color w:val="auto"/>
                      <w:spacing w:val="3"/>
                      <w:sz w:val="21"/>
                      <w:szCs w:val="21"/>
                      <w:lang w:val="en-US" w:eastAsia="zh-CN"/>
                    </w:rPr>
                    <w:t>1</w:t>
                  </w:r>
                </w:p>
              </w:tc>
              <w:tc>
                <w:tcPr>
                  <w:tcW w:w="1160" w:type="pct"/>
                  <w:noWrap w:val="0"/>
                  <w:vAlign w:val="center"/>
                </w:tcPr>
                <w:p w14:paraId="5352006A">
                  <w:pPr>
                    <w:pStyle w:val="75"/>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3"/>
                      <w:sz w:val="21"/>
                      <w:szCs w:val="21"/>
                      <w:lang w:eastAsia="zh-CN"/>
                    </w:rPr>
                  </w:pPr>
                  <w:r>
                    <w:rPr>
                      <w:rFonts w:hint="default" w:ascii="Times New Roman" w:hAnsi="Times New Roman" w:cs="Times New Roman"/>
                      <w:color w:val="auto"/>
                      <w:spacing w:val="3"/>
                      <w:sz w:val="21"/>
                      <w:szCs w:val="21"/>
                      <w:lang w:eastAsia="zh-CN"/>
                    </w:rPr>
                    <w:t>压力容器</w:t>
                  </w:r>
                  <w:r>
                    <w:rPr>
                      <w:rFonts w:hint="eastAsia" w:ascii="Times New Roman" w:hAnsi="Times New Roman" w:cs="Times New Roman"/>
                      <w:color w:val="auto"/>
                      <w:spacing w:val="3"/>
                      <w:sz w:val="21"/>
                      <w:szCs w:val="21"/>
                      <w:lang w:eastAsia="zh-CN"/>
                    </w:rPr>
                    <w:t>，带动气动元件设备</w:t>
                  </w:r>
                </w:p>
              </w:tc>
            </w:tr>
            <w:tr w14:paraId="7A6FC7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4" w:hRule="atLeast"/>
              </w:trPr>
              <w:tc>
                <w:tcPr>
                  <w:tcW w:w="446" w:type="pct"/>
                  <w:noWrap w:val="0"/>
                  <w:vAlign w:val="center"/>
                </w:tcPr>
                <w:p w14:paraId="00058285">
                  <w:pPr>
                    <w:pStyle w:val="75"/>
                    <w:keepNext w:val="0"/>
                    <w:keepLines w:val="0"/>
                    <w:pageBreakBefore w:val="0"/>
                    <w:widowControl w:val="0"/>
                    <w:numPr>
                      <w:ilvl w:val="0"/>
                      <w:numId w:val="15"/>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pacing w:val="5"/>
                      <w:sz w:val="21"/>
                      <w:szCs w:val="21"/>
                    </w:rPr>
                  </w:pPr>
                </w:p>
              </w:tc>
              <w:tc>
                <w:tcPr>
                  <w:tcW w:w="1293" w:type="pct"/>
                  <w:noWrap w:val="0"/>
                  <w:vAlign w:val="center"/>
                </w:tcPr>
                <w:p w14:paraId="28137D62">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pacing w:val="3"/>
                      <w:sz w:val="21"/>
                      <w:szCs w:val="21"/>
                      <w:lang w:eastAsia="zh-CN"/>
                    </w:rPr>
                  </w:pPr>
                  <w:r>
                    <w:rPr>
                      <w:rFonts w:hint="default" w:ascii="Times New Roman" w:hAnsi="Times New Roman" w:cs="Times New Roman"/>
                      <w:color w:val="auto"/>
                      <w:spacing w:val="3"/>
                      <w:sz w:val="21"/>
                      <w:szCs w:val="21"/>
                      <w:lang w:eastAsia="zh-CN"/>
                    </w:rPr>
                    <w:t>砂光机</w:t>
                  </w:r>
                </w:p>
              </w:tc>
              <w:tc>
                <w:tcPr>
                  <w:tcW w:w="862" w:type="pct"/>
                  <w:noWrap w:val="0"/>
                  <w:vAlign w:val="center"/>
                </w:tcPr>
                <w:p w14:paraId="455EBB9C">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pacing w:val="1"/>
                      <w:sz w:val="21"/>
                      <w:szCs w:val="21"/>
                      <w:lang w:val="en-US" w:eastAsia="zh-CN"/>
                    </w:rPr>
                  </w:pPr>
                  <w:r>
                    <w:rPr>
                      <w:rFonts w:hint="default" w:ascii="Times New Roman" w:hAnsi="Times New Roman" w:cs="Times New Roman"/>
                      <w:color w:val="auto"/>
                      <w:spacing w:val="1"/>
                      <w:sz w:val="21"/>
                      <w:szCs w:val="21"/>
                      <w:lang w:val="en-US" w:eastAsia="zh-CN"/>
                    </w:rPr>
                    <w:t>1.2m</w:t>
                  </w:r>
                </w:p>
              </w:tc>
              <w:tc>
                <w:tcPr>
                  <w:tcW w:w="642" w:type="pct"/>
                  <w:noWrap w:val="0"/>
                  <w:vAlign w:val="center"/>
                </w:tcPr>
                <w:p w14:paraId="08E7B15D">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台</w:t>
                  </w:r>
                </w:p>
              </w:tc>
              <w:tc>
                <w:tcPr>
                  <w:tcW w:w="594" w:type="pct"/>
                  <w:noWrap w:val="0"/>
                  <w:vAlign w:val="center"/>
                </w:tcPr>
                <w:p w14:paraId="2E9F7A04">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pacing w:val="3"/>
                      <w:sz w:val="21"/>
                      <w:szCs w:val="21"/>
                      <w:lang w:val="en-US" w:eastAsia="zh-CN"/>
                    </w:rPr>
                  </w:pPr>
                  <w:r>
                    <w:rPr>
                      <w:rFonts w:hint="default" w:ascii="Times New Roman" w:hAnsi="Times New Roman" w:cs="Times New Roman"/>
                      <w:color w:val="auto"/>
                      <w:spacing w:val="3"/>
                      <w:sz w:val="21"/>
                      <w:szCs w:val="21"/>
                      <w:lang w:val="en-US" w:eastAsia="zh-CN"/>
                    </w:rPr>
                    <w:t>3</w:t>
                  </w:r>
                </w:p>
              </w:tc>
              <w:tc>
                <w:tcPr>
                  <w:tcW w:w="1160" w:type="pct"/>
                  <w:noWrap w:val="0"/>
                  <w:vAlign w:val="center"/>
                </w:tcPr>
                <w:p w14:paraId="610AC101">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3"/>
                      <w:sz w:val="21"/>
                      <w:szCs w:val="21"/>
                      <w:lang w:val="en-US" w:eastAsia="zh-CN"/>
                    </w:rPr>
                  </w:pPr>
                  <w:r>
                    <w:rPr>
                      <w:rFonts w:hint="eastAsia" w:ascii="Times New Roman" w:hAnsi="Times New Roman" w:cs="Times New Roman"/>
                      <w:color w:val="auto"/>
                      <w:spacing w:val="3"/>
                      <w:sz w:val="21"/>
                      <w:szCs w:val="21"/>
                      <w:lang w:val="en-US" w:eastAsia="zh-CN"/>
                    </w:rPr>
                    <w:t>/</w:t>
                  </w:r>
                </w:p>
              </w:tc>
            </w:tr>
            <w:tr w14:paraId="72794D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4" w:hRule="atLeast"/>
              </w:trPr>
              <w:tc>
                <w:tcPr>
                  <w:tcW w:w="446" w:type="pct"/>
                  <w:noWrap w:val="0"/>
                  <w:vAlign w:val="center"/>
                </w:tcPr>
                <w:p w14:paraId="18EFAE29">
                  <w:pPr>
                    <w:pStyle w:val="75"/>
                    <w:keepNext w:val="0"/>
                    <w:keepLines w:val="0"/>
                    <w:pageBreakBefore w:val="0"/>
                    <w:widowControl w:val="0"/>
                    <w:numPr>
                      <w:ilvl w:val="0"/>
                      <w:numId w:val="15"/>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pacing w:val="5"/>
                      <w:sz w:val="21"/>
                      <w:szCs w:val="21"/>
                    </w:rPr>
                  </w:pPr>
                </w:p>
              </w:tc>
              <w:tc>
                <w:tcPr>
                  <w:tcW w:w="1293" w:type="pct"/>
                  <w:noWrap w:val="0"/>
                  <w:vAlign w:val="center"/>
                </w:tcPr>
                <w:p w14:paraId="6C2DCE08">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pacing w:val="3"/>
                      <w:sz w:val="21"/>
                      <w:szCs w:val="21"/>
                      <w:lang w:eastAsia="zh-CN"/>
                    </w:rPr>
                  </w:pPr>
                  <w:r>
                    <w:rPr>
                      <w:rFonts w:hint="default" w:ascii="Times New Roman" w:hAnsi="Times New Roman" w:cs="Times New Roman"/>
                      <w:color w:val="auto"/>
                      <w:spacing w:val="3"/>
                      <w:sz w:val="21"/>
                      <w:szCs w:val="21"/>
                      <w:lang w:eastAsia="zh-CN"/>
                    </w:rPr>
                    <w:t>轻型砂光机</w:t>
                  </w:r>
                </w:p>
              </w:tc>
              <w:tc>
                <w:tcPr>
                  <w:tcW w:w="862" w:type="pct"/>
                  <w:noWrap w:val="0"/>
                  <w:vAlign w:val="center"/>
                </w:tcPr>
                <w:p w14:paraId="16398108">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pacing w:val="1"/>
                      <w:sz w:val="21"/>
                      <w:szCs w:val="21"/>
                      <w:lang w:val="en-US" w:eastAsia="zh-CN"/>
                    </w:rPr>
                  </w:pPr>
                  <w:r>
                    <w:rPr>
                      <w:rFonts w:hint="eastAsia" w:ascii="Times New Roman" w:hAnsi="Times New Roman" w:cs="Times New Roman"/>
                      <w:color w:val="auto"/>
                      <w:spacing w:val="1"/>
                      <w:sz w:val="21"/>
                      <w:szCs w:val="21"/>
                      <w:lang w:val="en-US" w:eastAsia="zh-CN"/>
                    </w:rPr>
                    <w:t>/</w:t>
                  </w:r>
                </w:p>
              </w:tc>
              <w:tc>
                <w:tcPr>
                  <w:tcW w:w="642" w:type="pct"/>
                  <w:noWrap w:val="0"/>
                  <w:vAlign w:val="center"/>
                </w:tcPr>
                <w:p w14:paraId="4163E3D6">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kern w:val="2"/>
                      <w:sz w:val="21"/>
                      <w:szCs w:val="21"/>
                      <w:lang w:val="en-US" w:eastAsia="en-US" w:bidi="ar-SA"/>
                    </w:rPr>
                  </w:pPr>
                  <w:r>
                    <w:rPr>
                      <w:rFonts w:hint="default" w:ascii="Times New Roman" w:hAnsi="Times New Roman" w:cs="Times New Roman"/>
                      <w:color w:val="auto"/>
                      <w:sz w:val="21"/>
                      <w:szCs w:val="21"/>
                    </w:rPr>
                    <w:t>台</w:t>
                  </w:r>
                </w:p>
              </w:tc>
              <w:tc>
                <w:tcPr>
                  <w:tcW w:w="594" w:type="pct"/>
                  <w:noWrap w:val="0"/>
                  <w:vAlign w:val="center"/>
                </w:tcPr>
                <w:p w14:paraId="10DA4645">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pacing w:val="3"/>
                      <w:kern w:val="2"/>
                      <w:sz w:val="21"/>
                      <w:szCs w:val="21"/>
                      <w:lang w:val="en-US" w:eastAsia="zh-CN" w:bidi="ar-SA"/>
                    </w:rPr>
                  </w:pPr>
                  <w:r>
                    <w:rPr>
                      <w:rFonts w:hint="default" w:ascii="Times New Roman" w:hAnsi="Times New Roman" w:cs="Times New Roman"/>
                      <w:color w:val="auto"/>
                      <w:spacing w:val="3"/>
                      <w:sz w:val="21"/>
                      <w:szCs w:val="21"/>
                      <w:lang w:val="en-US" w:eastAsia="zh-CN"/>
                    </w:rPr>
                    <w:t>3</w:t>
                  </w:r>
                </w:p>
              </w:tc>
              <w:tc>
                <w:tcPr>
                  <w:tcW w:w="1160" w:type="pct"/>
                  <w:noWrap w:val="0"/>
                  <w:vAlign w:val="center"/>
                </w:tcPr>
                <w:p w14:paraId="2D958E1E">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pacing w:val="3"/>
                      <w:sz w:val="21"/>
                      <w:szCs w:val="21"/>
                      <w:lang w:val="en-US"/>
                    </w:rPr>
                  </w:pPr>
                  <w:r>
                    <w:rPr>
                      <w:rFonts w:hint="eastAsia" w:ascii="Times New Roman" w:hAnsi="Times New Roman" w:cs="Times New Roman"/>
                      <w:color w:val="auto"/>
                      <w:spacing w:val="3"/>
                      <w:sz w:val="21"/>
                      <w:szCs w:val="21"/>
                      <w:lang w:val="en-US" w:eastAsia="zh-CN"/>
                    </w:rPr>
                    <w:t>/</w:t>
                  </w:r>
                </w:p>
              </w:tc>
            </w:tr>
            <w:tr w14:paraId="0C5630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4" w:hRule="atLeast"/>
              </w:trPr>
              <w:tc>
                <w:tcPr>
                  <w:tcW w:w="446" w:type="pct"/>
                  <w:noWrap w:val="0"/>
                  <w:vAlign w:val="center"/>
                </w:tcPr>
                <w:p w14:paraId="2092039B">
                  <w:pPr>
                    <w:pStyle w:val="75"/>
                    <w:keepNext w:val="0"/>
                    <w:keepLines w:val="0"/>
                    <w:pageBreakBefore w:val="0"/>
                    <w:widowControl w:val="0"/>
                    <w:numPr>
                      <w:ilvl w:val="0"/>
                      <w:numId w:val="15"/>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pacing w:val="5"/>
                      <w:sz w:val="21"/>
                      <w:szCs w:val="21"/>
                    </w:rPr>
                  </w:pPr>
                </w:p>
              </w:tc>
              <w:tc>
                <w:tcPr>
                  <w:tcW w:w="1293" w:type="pct"/>
                  <w:noWrap w:val="0"/>
                  <w:vAlign w:val="center"/>
                </w:tcPr>
                <w:p w14:paraId="56D8FC01">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pacing w:val="3"/>
                      <w:sz w:val="21"/>
                      <w:szCs w:val="21"/>
                      <w:lang w:eastAsia="zh-CN"/>
                    </w:rPr>
                  </w:pPr>
                  <w:r>
                    <w:rPr>
                      <w:rFonts w:hint="default" w:ascii="Times New Roman" w:hAnsi="Times New Roman" w:cs="Times New Roman"/>
                      <w:color w:val="auto"/>
                      <w:spacing w:val="3"/>
                      <w:sz w:val="21"/>
                      <w:szCs w:val="21"/>
                      <w:lang w:eastAsia="zh-CN"/>
                    </w:rPr>
                    <w:t>油砂机</w:t>
                  </w:r>
                </w:p>
              </w:tc>
              <w:tc>
                <w:tcPr>
                  <w:tcW w:w="862" w:type="pct"/>
                  <w:noWrap w:val="0"/>
                  <w:vAlign w:val="center"/>
                </w:tcPr>
                <w:p w14:paraId="476E8C39">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pacing w:val="1"/>
                      <w:sz w:val="21"/>
                      <w:szCs w:val="21"/>
                      <w:lang w:val="en-US" w:eastAsia="zh-CN"/>
                    </w:rPr>
                  </w:pPr>
                  <w:r>
                    <w:rPr>
                      <w:rFonts w:hint="eastAsia" w:ascii="Times New Roman" w:hAnsi="Times New Roman" w:cs="Times New Roman"/>
                      <w:color w:val="auto"/>
                      <w:spacing w:val="1"/>
                      <w:sz w:val="21"/>
                      <w:szCs w:val="21"/>
                      <w:lang w:val="en-US" w:eastAsia="zh-CN"/>
                    </w:rPr>
                    <w:t>/</w:t>
                  </w:r>
                </w:p>
              </w:tc>
              <w:tc>
                <w:tcPr>
                  <w:tcW w:w="642" w:type="pct"/>
                  <w:noWrap w:val="0"/>
                  <w:vAlign w:val="center"/>
                </w:tcPr>
                <w:p w14:paraId="12DED1D7">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台</w:t>
                  </w:r>
                </w:p>
              </w:tc>
              <w:tc>
                <w:tcPr>
                  <w:tcW w:w="594" w:type="pct"/>
                  <w:noWrap w:val="0"/>
                  <w:vAlign w:val="center"/>
                </w:tcPr>
                <w:p w14:paraId="45E8A514">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pacing w:val="3"/>
                      <w:sz w:val="21"/>
                      <w:szCs w:val="21"/>
                      <w:lang w:val="en-US" w:eastAsia="zh-CN"/>
                    </w:rPr>
                  </w:pPr>
                  <w:r>
                    <w:rPr>
                      <w:rFonts w:hint="default" w:ascii="Times New Roman" w:hAnsi="Times New Roman" w:eastAsia="宋体" w:cs="Times New Roman"/>
                      <w:color w:val="auto"/>
                      <w:sz w:val="21"/>
                      <w:szCs w:val="21"/>
                      <w:lang w:val="en-US" w:eastAsia="zh-CN"/>
                    </w:rPr>
                    <w:t>10</w:t>
                  </w:r>
                </w:p>
              </w:tc>
              <w:tc>
                <w:tcPr>
                  <w:tcW w:w="1160" w:type="pct"/>
                  <w:noWrap w:val="0"/>
                  <w:vAlign w:val="center"/>
                </w:tcPr>
                <w:p w14:paraId="5FF502BF">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pacing w:val="3"/>
                      <w:sz w:val="21"/>
                      <w:szCs w:val="21"/>
                      <w:lang w:val="en-US"/>
                    </w:rPr>
                  </w:pPr>
                  <w:r>
                    <w:rPr>
                      <w:rFonts w:hint="eastAsia" w:ascii="Times New Roman" w:hAnsi="Times New Roman" w:cs="Times New Roman"/>
                      <w:color w:val="auto"/>
                      <w:spacing w:val="1"/>
                      <w:sz w:val="21"/>
                      <w:szCs w:val="21"/>
                      <w:lang w:val="en-US" w:eastAsia="zh-CN"/>
                    </w:rPr>
                    <w:t>/</w:t>
                  </w:r>
                </w:p>
              </w:tc>
            </w:tr>
            <w:tr w14:paraId="3E8D86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4" w:hRule="atLeast"/>
              </w:trPr>
              <w:tc>
                <w:tcPr>
                  <w:tcW w:w="446" w:type="pct"/>
                  <w:noWrap w:val="0"/>
                  <w:vAlign w:val="center"/>
                </w:tcPr>
                <w:p w14:paraId="73FBE3F5">
                  <w:pPr>
                    <w:pStyle w:val="75"/>
                    <w:keepNext w:val="0"/>
                    <w:keepLines w:val="0"/>
                    <w:pageBreakBefore w:val="0"/>
                    <w:widowControl w:val="0"/>
                    <w:numPr>
                      <w:ilvl w:val="0"/>
                      <w:numId w:val="15"/>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pacing w:val="5"/>
                      <w:sz w:val="21"/>
                      <w:szCs w:val="21"/>
                    </w:rPr>
                  </w:pPr>
                </w:p>
              </w:tc>
              <w:tc>
                <w:tcPr>
                  <w:tcW w:w="1293" w:type="pct"/>
                  <w:noWrap w:val="0"/>
                  <w:vAlign w:val="center"/>
                </w:tcPr>
                <w:p w14:paraId="31567CD5">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pacing w:val="3"/>
                      <w:sz w:val="21"/>
                      <w:szCs w:val="21"/>
                      <w:lang w:eastAsia="zh-CN"/>
                    </w:rPr>
                  </w:pPr>
                  <w:r>
                    <w:rPr>
                      <w:rFonts w:hint="default" w:ascii="Times New Roman" w:hAnsi="Times New Roman" w:cs="Times New Roman"/>
                      <w:color w:val="auto"/>
                      <w:spacing w:val="3"/>
                      <w:sz w:val="21"/>
                      <w:szCs w:val="21"/>
                      <w:lang w:eastAsia="zh-CN"/>
                    </w:rPr>
                    <w:t>辊涂机</w:t>
                  </w:r>
                </w:p>
              </w:tc>
              <w:tc>
                <w:tcPr>
                  <w:tcW w:w="862" w:type="pct"/>
                  <w:noWrap w:val="0"/>
                  <w:vAlign w:val="center"/>
                </w:tcPr>
                <w:p w14:paraId="51E2A1EC">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pacing w:val="1"/>
                      <w:sz w:val="21"/>
                      <w:szCs w:val="21"/>
                      <w:lang w:val="en-US" w:eastAsia="zh-CN"/>
                    </w:rPr>
                  </w:pPr>
                  <w:r>
                    <w:rPr>
                      <w:rFonts w:hint="eastAsia" w:ascii="Times New Roman" w:hAnsi="Times New Roman" w:cs="Times New Roman"/>
                      <w:color w:val="auto"/>
                      <w:spacing w:val="1"/>
                      <w:sz w:val="21"/>
                      <w:szCs w:val="21"/>
                      <w:lang w:val="en-US" w:eastAsia="zh-CN"/>
                    </w:rPr>
                    <w:t>/</w:t>
                  </w:r>
                </w:p>
              </w:tc>
              <w:tc>
                <w:tcPr>
                  <w:tcW w:w="642" w:type="pct"/>
                  <w:noWrap w:val="0"/>
                  <w:vAlign w:val="center"/>
                </w:tcPr>
                <w:p w14:paraId="2589D548">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台</w:t>
                  </w:r>
                </w:p>
              </w:tc>
              <w:tc>
                <w:tcPr>
                  <w:tcW w:w="594" w:type="pct"/>
                  <w:noWrap w:val="0"/>
                  <w:vAlign w:val="center"/>
                </w:tcPr>
                <w:p w14:paraId="5FD531D9">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18</w:t>
                  </w:r>
                </w:p>
              </w:tc>
              <w:tc>
                <w:tcPr>
                  <w:tcW w:w="1160" w:type="pct"/>
                  <w:noWrap w:val="0"/>
                  <w:vAlign w:val="center"/>
                </w:tcPr>
                <w:p w14:paraId="2DAB7A2A">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pacing w:val="3"/>
                      <w:sz w:val="21"/>
                      <w:szCs w:val="21"/>
                      <w:lang w:val="en-US"/>
                    </w:rPr>
                  </w:pPr>
                  <w:r>
                    <w:rPr>
                      <w:rFonts w:hint="eastAsia" w:ascii="Times New Roman" w:hAnsi="Times New Roman" w:cs="Times New Roman"/>
                      <w:color w:val="auto"/>
                      <w:spacing w:val="1"/>
                      <w:sz w:val="21"/>
                      <w:szCs w:val="21"/>
                      <w:lang w:val="en-US" w:eastAsia="zh-CN"/>
                    </w:rPr>
                    <w:t>/</w:t>
                  </w:r>
                </w:p>
              </w:tc>
            </w:tr>
            <w:tr w14:paraId="17662A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4" w:hRule="atLeast"/>
              </w:trPr>
              <w:tc>
                <w:tcPr>
                  <w:tcW w:w="446" w:type="pct"/>
                  <w:noWrap w:val="0"/>
                  <w:vAlign w:val="center"/>
                </w:tcPr>
                <w:p w14:paraId="35EEEA55">
                  <w:pPr>
                    <w:pStyle w:val="75"/>
                    <w:keepNext w:val="0"/>
                    <w:keepLines w:val="0"/>
                    <w:pageBreakBefore w:val="0"/>
                    <w:widowControl w:val="0"/>
                    <w:numPr>
                      <w:ilvl w:val="0"/>
                      <w:numId w:val="15"/>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pacing w:val="5"/>
                      <w:sz w:val="21"/>
                      <w:szCs w:val="21"/>
                    </w:rPr>
                  </w:pPr>
                </w:p>
              </w:tc>
              <w:tc>
                <w:tcPr>
                  <w:tcW w:w="1293" w:type="pct"/>
                  <w:noWrap w:val="0"/>
                  <w:vAlign w:val="center"/>
                </w:tcPr>
                <w:p w14:paraId="36A5ED89">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pacing w:val="3"/>
                      <w:sz w:val="21"/>
                      <w:szCs w:val="21"/>
                      <w:lang w:eastAsia="zh-CN"/>
                    </w:rPr>
                  </w:pPr>
                  <w:r>
                    <w:rPr>
                      <w:rFonts w:hint="default" w:ascii="Times New Roman" w:hAnsi="Times New Roman" w:cs="Times New Roman"/>
                      <w:color w:val="auto"/>
                      <w:spacing w:val="3"/>
                      <w:sz w:val="21"/>
                      <w:szCs w:val="21"/>
                      <w:lang w:eastAsia="zh-CN"/>
                    </w:rPr>
                    <w:t>紫外光固化机</w:t>
                  </w:r>
                </w:p>
              </w:tc>
              <w:tc>
                <w:tcPr>
                  <w:tcW w:w="862" w:type="pct"/>
                  <w:noWrap w:val="0"/>
                  <w:vAlign w:val="center"/>
                </w:tcPr>
                <w:p w14:paraId="44192071">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pacing w:val="1"/>
                      <w:sz w:val="21"/>
                      <w:szCs w:val="21"/>
                      <w:lang w:val="en-US" w:eastAsia="zh-CN"/>
                    </w:rPr>
                  </w:pPr>
                  <w:r>
                    <w:rPr>
                      <w:rFonts w:hint="eastAsia" w:ascii="Times New Roman" w:hAnsi="Times New Roman" w:cs="Times New Roman"/>
                      <w:color w:val="auto"/>
                      <w:spacing w:val="1"/>
                      <w:sz w:val="21"/>
                      <w:szCs w:val="21"/>
                      <w:lang w:val="en-US" w:eastAsia="zh-CN"/>
                    </w:rPr>
                    <w:t>/</w:t>
                  </w:r>
                </w:p>
              </w:tc>
              <w:tc>
                <w:tcPr>
                  <w:tcW w:w="642" w:type="pct"/>
                  <w:noWrap w:val="0"/>
                  <w:vAlign w:val="center"/>
                </w:tcPr>
                <w:p w14:paraId="5902A2A7">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台</w:t>
                  </w:r>
                </w:p>
              </w:tc>
              <w:tc>
                <w:tcPr>
                  <w:tcW w:w="594" w:type="pct"/>
                  <w:noWrap w:val="0"/>
                  <w:vAlign w:val="center"/>
                </w:tcPr>
                <w:p w14:paraId="61B80F69">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16</w:t>
                  </w:r>
                </w:p>
              </w:tc>
              <w:tc>
                <w:tcPr>
                  <w:tcW w:w="1160" w:type="pct"/>
                  <w:noWrap w:val="0"/>
                  <w:vAlign w:val="center"/>
                </w:tcPr>
                <w:p w14:paraId="00F0307B">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pacing w:val="3"/>
                      <w:sz w:val="21"/>
                      <w:szCs w:val="21"/>
                      <w:lang w:val="en-US"/>
                    </w:rPr>
                  </w:pPr>
                  <w:r>
                    <w:rPr>
                      <w:rFonts w:hint="eastAsia" w:ascii="Times New Roman" w:hAnsi="Times New Roman" w:cs="Times New Roman"/>
                      <w:color w:val="auto"/>
                      <w:spacing w:val="1"/>
                      <w:sz w:val="21"/>
                      <w:szCs w:val="21"/>
                      <w:lang w:val="en-US" w:eastAsia="zh-CN"/>
                    </w:rPr>
                    <w:t>/</w:t>
                  </w:r>
                </w:p>
              </w:tc>
            </w:tr>
            <w:tr w14:paraId="40C3FC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4" w:hRule="atLeast"/>
              </w:trPr>
              <w:tc>
                <w:tcPr>
                  <w:tcW w:w="446" w:type="pct"/>
                  <w:noWrap w:val="0"/>
                  <w:vAlign w:val="center"/>
                </w:tcPr>
                <w:p w14:paraId="1A2538BA">
                  <w:pPr>
                    <w:pStyle w:val="75"/>
                    <w:keepNext w:val="0"/>
                    <w:keepLines w:val="0"/>
                    <w:pageBreakBefore w:val="0"/>
                    <w:widowControl w:val="0"/>
                    <w:numPr>
                      <w:ilvl w:val="0"/>
                      <w:numId w:val="15"/>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pacing w:val="5"/>
                      <w:sz w:val="21"/>
                      <w:szCs w:val="21"/>
                    </w:rPr>
                  </w:pPr>
                </w:p>
              </w:tc>
              <w:tc>
                <w:tcPr>
                  <w:tcW w:w="1293" w:type="pct"/>
                  <w:noWrap w:val="0"/>
                  <w:vAlign w:val="center"/>
                </w:tcPr>
                <w:p w14:paraId="708E3571">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pacing w:val="3"/>
                      <w:sz w:val="21"/>
                      <w:szCs w:val="21"/>
                      <w:lang w:eastAsia="zh-CN"/>
                    </w:rPr>
                  </w:pPr>
                  <w:r>
                    <w:rPr>
                      <w:rFonts w:hint="eastAsia" w:ascii="Times New Roman" w:hAnsi="Times New Roman" w:cs="Times New Roman"/>
                      <w:color w:val="auto"/>
                      <w:spacing w:val="3"/>
                      <w:sz w:val="21"/>
                      <w:szCs w:val="21"/>
                      <w:lang w:eastAsia="zh-CN"/>
                    </w:rPr>
                    <w:t>微波干燥杀菌杀虫机</w:t>
                  </w:r>
                </w:p>
              </w:tc>
              <w:tc>
                <w:tcPr>
                  <w:tcW w:w="862" w:type="pct"/>
                  <w:noWrap w:val="0"/>
                  <w:vAlign w:val="center"/>
                </w:tcPr>
                <w:p w14:paraId="61CB1793">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color w:val="auto"/>
                      <w:spacing w:val="1"/>
                      <w:sz w:val="21"/>
                      <w:szCs w:val="21"/>
                      <w:lang w:val="en-US" w:eastAsia="zh-CN"/>
                    </w:rPr>
                  </w:pPr>
                  <w:r>
                    <w:rPr>
                      <w:rFonts w:hint="eastAsia" w:ascii="Times New Roman" w:hAnsi="Times New Roman" w:cs="Times New Roman"/>
                      <w:color w:val="auto"/>
                      <w:spacing w:val="1"/>
                      <w:sz w:val="21"/>
                      <w:szCs w:val="21"/>
                      <w:lang w:val="en-US" w:eastAsia="zh-CN"/>
                    </w:rPr>
                    <w:t>CS-HPS-70</w:t>
                  </w:r>
                </w:p>
              </w:tc>
              <w:tc>
                <w:tcPr>
                  <w:tcW w:w="642" w:type="pct"/>
                  <w:noWrap w:val="0"/>
                  <w:vAlign w:val="center"/>
                </w:tcPr>
                <w:p w14:paraId="1A8B3728">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台</w:t>
                  </w:r>
                </w:p>
              </w:tc>
              <w:tc>
                <w:tcPr>
                  <w:tcW w:w="594" w:type="pct"/>
                  <w:noWrap w:val="0"/>
                  <w:vAlign w:val="center"/>
                </w:tcPr>
                <w:p w14:paraId="734ADBBD">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9</w:t>
                  </w:r>
                </w:p>
              </w:tc>
              <w:tc>
                <w:tcPr>
                  <w:tcW w:w="1160" w:type="pct"/>
                  <w:noWrap w:val="0"/>
                  <w:vAlign w:val="center"/>
                </w:tcPr>
                <w:p w14:paraId="4A6FB75C">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color w:val="auto"/>
                      <w:spacing w:val="1"/>
                      <w:sz w:val="21"/>
                      <w:szCs w:val="21"/>
                      <w:lang w:val="en-US" w:eastAsia="zh-CN"/>
                    </w:rPr>
                  </w:pPr>
                  <w:r>
                    <w:rPr>
                      <w:rFonts w:hint="eastAsia" w:ascii="Times New Roman" w:hAnsi="Times New Roman" w:cs="Times New Roman"/>
                      <w:color w:val="auto"/>
                      <w:spacing w:val="1"/>
                      <w:sz w:val="21"/>
                      <w:szCs w:val="21"/>
                      <w:lang w:val="en-US" w:eastAsia="zh-CN"/>
                    </w:rPr>
                    <w:t>电加热</w:t>
                  </w:r>
                </w:p>
              </w:tc>
            </w:tr>
            <w:tr w14:paraId="1019D4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4" w:hRule="atLeast"/>
              </w:trPr>
              <w:tc>
                <w:tcPr>
                  <w:tcW w:w="446" w:type="pct"/>
                  <w:noWrap w:val="0"/>
                  <w:vAlign w:val="center"/>
                </w:tcPr>
                <w:p w14:paraId="3D364F4F">
                  <w:pPr>
                    <w:pStyle w:val="75"/>
                    <w:keepNext w:val="0"/>
                    <w:keepLines w:val="0"/>
                    <w:pageBreakBefore w:val="0"/>
                    <w:widowControl w:val="0"/>
                    <w:numPr>
                      <w:ilvl w:val="0"/>
                      <w:numId w:val="15"/>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pacing w:val="5"/>
                      <w:sz w:val="21"/>
                      <w:szCs w:val="21"/>
                    </w:rPr>
                  </w:pPr>
                </w:p>
              </w:tc>
              <w:tc>
                <w:tcPr>
                  <w:tcW w:w="1293" w:type="pct"/>
                  <w:noWrap w:val="0"/>
                  <w:vAlign w:val="center"/>
                </w:tcPr>
                <w:p w14:paraId="408A52A9">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pacing w:val="3"/>
                      <w:sz w:val="21"/>
                      <w:szCs w:val="21"/>
                      <w:lang w:eastAsia="zh-CN"/>
                    </w:rPr>
                  </w:pPr>
                  <w:r>
                    <w:rPr>
                      <w:rFonts w:hint="default" w:ascii="Times New Roman" w:hAnsi="Times New Roman" w:cs="Times New Roman"/>
                      <w:color w:val="auto"/>
                      <w:spacing w:val="3"/>
                      <w:sz w:val="21"/>
                      <w:szCs w:val="21"/>
                      <w:lang w:eastAsia="zh-CN"/>
                    </w:rPr>
                    <w:t>热风包装机</w:t>
                  </w:r>
                </w:p>
              </w:tc>
              <w:tc>
                <w:tcPr>
                  <w:tcW w:w="862" w:type="pct"/>
                  <w:noWrap w:val="0"/>
                  <w:vAlign w:val="center"/>
                </w:tcPr>
                <w:p w14:paraId="6B18741A">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pacing w:val="1"/>
                      <w:sz w:val="21"/>
                      <w:szCs w:val="21"/>
                      <w:lang w:val="en-US" w:eastAsia="zh-CN"/>
                    </w:rPr>
                  </w:pPr>
                  <w:r>
                    <w:rPr>
                      <w:rFonts w:hint="eastAsia" w:ascii="Times New Roman" w:hAnsi="Times New Roman" w:cs="Times New Roman"/>
                      <w:color w:val="auto"/>
                      <w:spacing w:val="1"/>
                      <w:sz w:val="21"/>
                      <w:szCs w:val="21"/>
                      <w:lang w:val="en-US" w:eastAsia="zh-CN"/>
                    </w:rPr>
                    <w:t>/</w:t>
                  </w:r>
                </w:p>
              </w:tc>
              <w:tc>
                <w:tcPr>
                  <w:tcW w:w="642" w:type="pct"/>
                  <w:noWrap w:val="0"/>
                  <w:vAlign w:val="center"/>
                </w:tcPr>
                <w:p w14:paraId="6B087FD1">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台</w:t>
                  </w:r>
                </w:p>
              </w:tc>
              <w:tc>
                <w:tcPr>
                  <w:tcW w:w="594" w:type="pct"/>
                  <w:noWrap w:val="0"/>
                  <w:vAlign w:val="center"/>
                </w:tcPr>
                <w:p w14:paraId="068ABA05">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pacing w:val="3"/>
                      <w:sz w:val="21"/>
                      <w:szCs w:val="21"/>
                      <w:lang w:val="en-US" w:eastAsia="zh-CN"/>
                    </w:rPr>
                    <w:t>1</w:t>
                  </w:r>
                </w:p>
              </w:tc>
              <w:tc>
                <w:tcPr>
                  <w:tcW w:w="1160" w:type="pct"/>
                  <w:noWrap w:val="0"/>
                  <w:vAlign w:val="center"/>
                </w:tcPr>
                <w:p w14:paraId="4BD5E162">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pacing w:val="3"/>
                      <w:sz w:val="21"/>
                      <w:szCs w:val="21"/>
                    </w:rPr>
                  </w:pPr>
                  <w:r>
                    <w:rPr>
                      <w:rFonts w:hint="eastAsia" w:ascii="Times New Roman" w:hAnsi="Times New Roman" w:cs="Times New Roman"/>
                      <w:color w:val="auto"/>
                      <w:spacing w:val="1"/>
                      <w:sz w:val="21"/>
                      <w:szCs w:val="21"/>
                      <w:lang w:val="en-US" w:eastAsia="zh-CN"/>
                    </w:rPr>
                    <w:t>采用电加热管，升温产生的热量经内置风扇吹出</w:t>
                  </w:r>
                  <w:r>
                    <w:rPr>
                      <w:rFonts w:hint="eastAsia" w:ascii="Times New Roman" w:hAnsi="Times New Roman" w:cs="Times New Roman"/>
                      <w:color w:val="auto"/>
                      <w:spacing w:val="1"/>
                      <w:sz w:val="21"/>
                      <w:szCs w:val="21"/>
                      <w:lang w:val="en-US" w:eastAsia="zh-CN"/>
                    </w:rPr>
                    <w:t>热量均匀的</w:t>
                  </w:r>
                  <w:r>
                    <w:rPr>
                      <w:rFonts w:hint="eastAsia" w:ascii="Times New Roman" w:hAnsi="Times New Roman" w:cs="Times New Roman"/>
                      <w:color w:val="auto"/>
                      <w:spacing w:val="1"/>
                      <w:sz w:val="21"/>
                      <w:szCs w:val="21"/>
                      <w:lang w:val="en-US" w:eastAsia="zh-CN"/>
                    </w:rPr>
                    <w:t>热风</w:t>
                  </w:r>
                </w:p>
              </w:tc>
            </w:tr>
            <w:tr w14:paraId="5A4679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4" w:hRule="atLeast"/>
              </w:trPr>
              <w:tc>
                <w:tcPr>
                  <w:tcW w:w="446" w:type="pct"/>
                  <w:noWrap w:val="0"/>
                  <w:vAlign w:val="center"/>
                </w:tcPr>
                <w:p w14:paraId="4F617998">
                  <w:pPr>
                    <w:pStyle w:val="75"/>
                    <w:keepNext w:val="0"/>
                    <w:keepLines w:val="0"/>
                    <w:pageBreakBefore w:val="0"/>
                    <w:widowControl w:val="0"/>
                    <w:numPr>
                      <w:ilvl w:val="0"/>
                      <w:numId w:val="15"/>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pacing w:val="5"/>
                      <w:sz w:val="21"/>
                      <w:szCs w:val="21"/>
                    </w:rPr>
                  </w:pPr>
                </w:p>
              </w:tc>
              <w:tc>
                <w:tcPr>
                  <w:tcW w:w="1293" w:type="pct"/>
                  <w:noWrap w:val="0"/>
                  <w:vAlign w:val="center"/>
                </w:tcPr>
                <w:p w14:paraId="0156EF5D">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pacing w:val="3"/>
                      <w:sz w:val="21"/>
                      <w:szCs w:val="21"/>
                      <w:lang w:eastAsia="zh-CN"/>
                    </w:rPr>
                  </w:pPr>
                  <w:r>
                    <w:rPr>
                      <w:rFonts w:hint="default" w:ascii="Times New Roman" w:hAnsi="Times New Roman" w:cs="Times New Roman"/>
                      <w:color w:val="auto"/>
                      <w:spacing w:val="3"/>
                      <w:sz w:val="21"/>
                      <w:szCs w:val="21"/>
                      <w:lang w:eastAsia="zh-CN"/>
                    </w:rPr>
                    <w:t>叉车</w:t>
                  </w:r>
                </w:p>
              </w:tc>
              <w:tc>
                <w:tcPr>
                  <w:tcW w:w="862" w:type="pct"/>
                  <w:noWrap w:val="0"/>
                  <w:vAlign w:val="center"/>
                </w:tcPr>
                <w:p w14:paraId="4DE0BFB1">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pacing w:val="1"/>
                      <w:sz w:val="21"/>
                      <w:szCs w:val="21"/>
                      <w:lang w:val="en-US" w:eastAsia="zh-CN"/>
                    </w:rPr>
                  </w:pPr>
                  <w:r>
                    <w:rPr>
                      <w:rFonts w:hint="eastAsia" w:ascii="Times New Roman" w:hAnsi="Times New Roman" w:cs="Times New Roman"/>
                      <w:color w:val="auto"/>
                      <w:spacing w:val="1"/>
                      <w:sz w:val="21"/>
                      <w:szCs w:val="21"/>
                      <w:lang w:val="en-US" w:eastAsia="zh-CN"/>
                    </w:rPr>
                    <w:t>新能源电叉车</w:t>
                  </w:r>
                </w:p>
              </w:tc>
              <w:tc>
                <w:tcPr>
                  <w:tcW w:w="642" w:type="pct"/>
                  <w:noWrap w:val="0"/>
                  <w:vAlign w:val="center"/>
                </w:tcPr>
                <w:p w14:paraId="5D681B1A">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台</w:t>
                  </w:r>
                </w:p>
              </w:tc>
              <w:tc>
                <w:tcPr>
                  <w:tcW w:w="594" w:type="pct"/>
                  <w:noWrap w:val="0"/>
                  <w:vAlign w:val="center"/>
                </w:tcPr>
                <w:p w14:paraId="5BEE08F5">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pacing w:val="3"/>
                      <w:sz w:val="21"/>
                      <w:szCs w:val="21"/>
                      <w:lang w:val="en-US" w:eastAsia="zh-CN"/>
                    </w:rPr>
                    <w:t>1</w:t>
                  </w:r>
                </w:p>
              </w:tc>
              <w:tc>
                <w:tcPr>
                  <w:tcW w:w="1160" w:type="pct"/>
                  <w:noWrap w:val="0"/>
                  <w:vAlign w:val="center"/>
                </w:tcPr>
                <w:p w14:paraId="0C8B9CE6">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pacing w:val="3"/>
                      <w:sz w:val="21"/>
                      <w:szCs w:val="21"/>
                    </w:rPr>
                  </w:pPr>
                  <w:r>
                    <w:rPr>
                      <w:rFonts w:hint="eastAsia" w:ascii="Times New Roman" w:hAnsi="Times New Roman" w:cs="Times New Roman"/>
                      <w:color w:val="auto"/>
                      <w:spacing w:val="1"/>
                      <w:sz w:val="21"/>
                      <w:szCs w:val="21"/>
                      <w:lang w:val="en-US" w:eastAsia="zh-CN"/>
                    </w:rPr>
                    <w:t>/</w:t>
                  </w:r>
                </w:p>
              </w:tc>
            </w:tr>
            <w:tr w14:paraId="451F14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4" w:hRule="atLeast"/>
              </w:trPr>
              <w:tc>
                <w:tcPr>
                  <w:tcW w:w="446" w:type="pct"/>
                  <w:noWrap w:val="0"/>
                  <w:vAlign w:val="center"/>
                </w:tcPr>
                <w:p w14:paraId="17714B36">
                  <w:pPr>
                    <w:pStyle w:val="75"/>
                    <w:keepNext w:val="0"/>
                    <w:keepLines w:val="0"/>
                    <w:pageBreakBefore w:val="0"/>
                    <w:widowControl w:val="0"/>
                    <w:numPr>
                      <w:ilvl w:val="0"/>
                      <w:numId w:val="15"/>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pacing w:val="5"/>
                      <w:sz w:val="21"/>
                      <w:szCs w:val="21"/>
                    </w:rPr>
                  </w:pPr>
                </w:p>
              </w:tc>
              <w:tc>
                <w:tcPr>
                  <w:tcW w:w="1293" w:type="pct"/>
                  <w:noWrap w:val="0"/>
                  <w:vAlign w:val="center"/>
                </w:tcPr>
                <w:p w14:paraId="3CEC8D85">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Times New Roman"/>
                      <w:color w:val="auto"/>
                      <w:spacing w:val="3"/>
                      <w:sz w:val="21"/>
                      <w:szCs w:val="21"/>
                      <w:lang w:val="en-US" w:eastAsia="zh-CN"/>
                    </w:rPr>
                  </w:pPr>
                  <w:r>
                    <w:rPr>
                      <w:rFonts w:hint="eastAsia" w:ascii="Times New Roman" w:hAnsi="Times New Roman" w:cs="Times New Roman"/>
                      <w:color w:val="auto"/>
                      <w:spacing w:val="3"/>
                      <w:sz w:val="21"/>
                      <w:szCs w:val="21"/>
                      <w:lang w:val="en-US" w:eastAsia="zh-CN"/>
                    </w:rPr>
                    <w:t>集气罩</w:t>
                  </w:r>
                </w:p>
              </w:tc>
              <w:tc>
                <w:tcPr>
                  <w:tcW w:w="862" w:type="pct"/>
                  <w:noWrap w:val="0"/>
                  <w:vAlign w:val="center"/>
                </w:tcPr>
                <w:p w14:paraId="1A6B17AC">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pacing w:val="1"/>
                      <w:sz w:val="21"/>
                      <w:szCs w:val="21"/>
                      <w:lang w:val="en-US" w:eastAsia="zh-CN"/>
                    </w:rPr>
                  </w:pPr>
                  <w:r>
                    <w:rPr>
                      <w:rFonts w:hint="eastAsia" w:ascii="Times New Roman" w:hAnsi="Times New Roman" w:cs="Times New Roman"/>
                      <w:color w:val="auto"/>
                      <w:spacing w:val="1"/>
                      <w:sz w:val="21"/>
                      <w:szCs w:val="21"/>
                      <w:lang w:val="en-US" w:eastAsia="zh-CN"/>
                    </w:rPr>
                    <w:t>/</w:t>
                  </w:r>
                </w:p>
              </w:tc>
              <w:tc>
                <w:tcPr>
                  <w:tcW w:w="642" w:type="pct"/>
                  <w:noWrap w:val="0"/>
                  <w:vAlign w:val="center"/>
                </w:tcPr>
                <w:p w14:paraId="00DC3F49">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Times New Roman"/>
                      <w:color w:val="auto"/>
                      <w:sz w:val="21"/>
                      <w:szCs w:val="21"/>
                      <w:lang w:eastAsia="zh-CN"/>
                    </w:rPr>
                  </w:pPr>
                  <w:r>
                    <w:rPr>
                      <w:rFonts w:hint="eastAsia" w:ascii="Times New Roman" w:hAnsi="Times New Roman" w:cs="Times New Roman"/>
                      <w:color w:val="auto"/>
                      <w:sz w:val="21"/>
                      <w:szCs w:val="21"/>
                      <w:lang w:eastAsia="zh-CN"/>
                    </w:rPr>
                    <w:t>套</w:t>
                  </w:r>
                </w:p>
              </w:tc>
              <w:tc>
                <w:tcPr>
                  <w:tcW w:w="594" w:type="pct"/>
                  <w:noWrap w:val="0"/>
                  <w:vAlign w:val="center"/>
                </w:tcPr>
                <w:p w14:paraId="4F3B7750">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pacing w:val="3"/>
                      <w:sz w:val="21"/>
                      <w:szCs w:val="21"/>
                      <w:lang w:val="en-US" w:eastAsia="zh-CN"/>
                    </w:rPr>
                  </w:pPr>
                  <w:r>
                    <w:rPr>
                      <w:rFonts w:hint="eastAsia" w:ascii="Times New Roman" w:hAnsi="Times New Roman" w:cs="Times New Roman"/>
                      <w:color w:val="auto"/>
                      <w:spacing w:val="3"/>
                      <w:sz w:val="21"/>
                      <w:szCs w:val="21"/>
                      <w:lang w:val="en-US" w:eastAsia="zh-CN"/>
                    </w:rPr>
                    <w:t>8</w:t>
                  </w:r>
                </w:p>
              </w:tc>
              <w:tc>
                <w:tcPr>
                  <w:tcW w:w="1160" w:type="pct"/>
                  <w:noWrap w:val="0"/>
                  <w:vAlign w:val="center"/>
                </w:tcPr>
                <w:p w14:paraId="6BDF54FA">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pacing w:val="1"/>
                      <w:sz w:val="21"/>
                      <w:szCs w:val="21"/>
                      <w:lang w:val="en-US" w:eastAsia="zh-CN"/>
                    </w:rPr>
                  </w:pPr>
                  <w:r>
                    <w:rPr>
                      <w:rFonts w:hint="eastAsia" w:ascii="Times New Roman" w:hAnsi="Times New Roman" w:cs="Times New Roman"/>
                      <w:color w:val="auto"/>
                      <w:spacing w:val="1"/>
                      <w:sz w:val="21"/>
                      <w:szCs w:val="21"/>
                      <w:lang w:val="en-US" w:eastAsia="zh-CN"/>
                    </w:rPr>
                    <w:t>/</w:t>
                  </w:r>
                </w:p>
              </w:tc>
            </w:tr>
            <w:tr w14:paraId="04933B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4" w:hRule="atLeast"/>
              </w:trPr>
              <w:tc>
                <w:tcPr>
                  <w:tcW w:w="446" w:type="pct"/>
                  <w:noWrap w:val="0"/>
                  <w:vAlign w:val="center"/>
                </w:tcPr>
                <w:p w14:paraId="5F252E59">
                  <w:pPr>
                    <w:pStyle w:val="75"/>
                    <w:keepNext w:val="0"/>
                    <w:keepLines w:val="0"/>
                    <w:pageBreakBefore w:val="0"/>
                    <w:widowControl w:val="0"/>
                    <w:numPr>
                      <w:ilvl w:val="0"/>
                      <w:numId w:val="15"/>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pacing w:val="5"/>
                      <w:sz w:val="21"/>
                      <w:szCs w:val="21"/>
                    </w:rPr>
                  </w:pPr>
                </w:p>
              </w:tc>
              <w:tc>
                <w:tcPr>
                  <w:tcW w:w="1293" w:type="pct"/>
                  <w:noWrap w:val="0"/>
                  <w:vAlign w:val="center"/>
                </w:tcPr>
                <w:p w14:paraId="01B6C4DD">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pacing w:val="3"/>
                      <w:sz w:val="21"/>
                      <w:szCs w:val="21"/>
                      <w:lang w:eastAsia="zh-CN"/>
                    </w:rPr>
                  </w:pPr>
                  <w:r>
                    <w:rPr>
                      <w:rFonts w:hint="eastAsia" w:ascii="Times New Roman" w:hAnsi="Times New Roman" w:cs="Times New Roman"/>
                      <w:color w:val="auto"/>
                      <w:spacing w:val="3"/>
                      <w:sz w:val="21"/>
                      <w:szCs w:val="21"/>
                      <w:lang w:eastAsia="zh-CN"/>
                    </w:rPr>
                    <w:t>风机</w:t>
                  </w:r>
                </w:p>
              </w:tc>
              <w:tc>
                <w:tcPr>
                  <w:tcW w:w="862" w:type="pct"/>
                  <w:noWrap w:val="0"/>
                  <w:vAlign w:val="center"/>
                </w:tcPr>
                <w:p w14:paraId="7FBE00F5">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color w:val="auto"/>
                      <w:sz w:val="21"/>
                      <w:szCs w:val="21"/>
                      <w:highlight w:val="none"/>
                      <w:lang w:val="en-US" w:eastAsia="zh-CN"/>
                    </w:rPr>
                  </w:pPr>
                  <w:r>
                    <w:rPr>
                      <w:rFonts w:hint="eastAsia" w:ascii="Times New Roman" w:hAnsi="Times New Roman" w:eastAsia="宋体" w:cs="Times New Roman"/>
                      <w:color w:val="auto"/>
                      <w:kern w:val="0"/>
                      <w:sz w:val="21"/>
                      <w:szCs w:val="21"/>
                      <w:lang w:val="en-US" w:eastAsia="zh-CN" w:bidi="ar"/>
                    </w:rPr>
                    <w:t>22680</w:t>
                  </w:r>
                  <w:r>
                    <w:rPr>
                      <w:rFonts w:hint="default" w:ascii="Times New Roman" w:hAnsi="Times New Roman" w:cs="Times New Roman"/>
                      <w:color w:val="auto"/>
                      <w:sz w:val="21"/>
                      <w:szCs w:val="21"/>
                      <w:highlight w:val="none"/>
                      <w:lang w:val="en-US" w:eastAsia="zh-CN"/>
                    </w:rPr>
                    <w:t>m</w:t>
                  </w:r>
                  <w:r>
                    <w:rPr>
                      <w:rFonts w:hint="default" w:ascii="Times New Roman" w:hAnsi="Times New Roman"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lang w:val="en-US" w:eastAsia="zh-CN"/>
                    </w:rPr>
                    <w:t>/h</w:t>
                  </w:r>
                  <w:r>
                    <w:rPr>
                      <w:rFonts w:hint="eastAsia" w:ascii="Times New Roman" w:hAnsi="Times New Roman" w:cs="Times New Roman"/>
                      <w:color w:val="auto"/>
                      <w:sz w:val="21"/>
                      <w:szCs w:val="21"/>
                      <w:highlight w:val="none"/>
                      <w:lang w:val="en-US" w:eastAsia="zh-CN"/>
                    </w:rPr>
                    <w:t>×2；</w:t>
                  </w:r>
                </w:p>
                <w:p w14:paraId="6575711C">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eastAsia="宋体" w:cs="Times New Roman"/>
                      <w:color w:val="auto"/>
                      <w:kern w:val="0"/>
                      <w:sz w:val="21"/>
                      <w:szCs w:val="21"/>
                      <w:lang w:val="en-US" w:eastAsia="zh-CN" w:bidi="ar"/>
                    </w:rPr>
                    <w:t>11592</w:t>
                  </w:r>
                  <w:r>
                    <w:rPr>
                      <w:rFonts w:hint="default" w:ascii="Times New Roman" w:hAnsi="Times New Roman" w:cs="Times New Roman"/>
                      <w:color w:val="auto"/>
                      <w:sz w:val="21"/>
                      <w:szCs w:val="21"/>
                      <w:highlight w:val="none"/>
                      <w:lang w:val="en-US" w:eastAsia="zh-CN"/>
                    </w:rPr>
                    <w:t>m</w:t>
                  </w:r>
                  <w:r>
                    <w:rPr>
                      <w:rFonts w:hint="default" w:ascii="Times New Roman" w:hAnsi="Times New Roman"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lang w:val="en-US" w:eastAsia="zh-CN"/>
                    </w:rPr>
                    <w:t>/h</w:t>
                  </w:r>
                  <w:r>
                    <w:rPr>
                      <w:rFonts w:hint="eastAsia" w:ascii="Times New Roman" w:hAnsi="Times New Roman" w:cs="Times New Roman"/>
                      <w:color w:val="auto"/>
                      <w:sz w:val="21"/>
                      <w:szCs w:val="21"/>
                      <w:highlight w:val="none"/>
                      <w:lang w:val="en-US" w:eastAsia="zh-CN"/>
                    </w:rPr>
                    <w:t>×2；</w:t>
                  </w:r>
                </w:p>
                <w:p w14:paraId="22234061">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pacing w:val="1"/>
                      <w:sz w:val="21"/>
                      <w:szCs w:val="21"/>
                      <w:lang w:val="en-US" w:eastAsia="zh-CN"/>
                    </w:rPr>
                  </w:pPr>
                  <w:r>
                    <w:rPr>
                      <w:rFonts w:hint="eastAsia" w:ascii="Times New Roman" w:hAnsi="Times New Roman" w:eastAsia="宋体" w:cs="Times New Roman"/>
                      <w:color w:val="auto"/>
                      <w:kern w:val="0"/>
                      <w:sz w:val="21"/>
                      <w:szCs w:val="21"/>
                      <w:lang w:val="en-US" w:eastAsia="zh-CN" w:bidi="ar"/>
                    </w:rPr>
                    <w:t>13000</w:t>
                  </w:r>
                  <w:r>
                    <w:rPr>
                      <w:rFonts w:hint="default" w:ascii="Times New Roman" w:hAnsi="Times New Roman" w:cs="Times New Roman"/>
                      <w:color w:val="auto"/>
                      <w:sz w:val="21"/>
                      <w:szCs w:val="21"/>
                      <w:highlight w:val="none"/>
                      <w:lang w:val="en-US" w:eastAsia="zh-CN"/>
                    </w:rPr>
                    <w:t>m</w:t>
                  </w:r>
                  <w:r>
                    <w:rPr>
                      <w:rFonts w:hint="default" w:ascii="Times New Roman" w:hAnsi="Times New Roman"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lang w:val="en-US" w:eastAsia="zh-CN"/>
                    </w:rPr>
                    <w:t>/h</w:t>
                  </w:r>
                  <w:r>
                    <w:rPr>
                      <w:rFonts w:hint="eastAsia" w:ascii="Times New Roman" w:hAnsi="Times New Roman" w:cs="Times New Roman"/>
                      <w:color w:val="auto"/>
                      <w:sz w:val="21"/>
                      <w:szCs w:val="21"/>
                      <w:highlight w:val="none"/>
                      <w:lang w:val="en-US" w:eastAsia="zh-CN"/>
                    </w:rPr>
                    <w:t>×1</w:t>
                  </w:r>
                </w:p>
              </w:tc>
              <w:tc>
                <w:tcPr>
                  <w:tcW w:w="642" w:type="pct"/>
                  <w:noWrap w:val="0"/>
                  <w:vAlign w:val="center"/>
                </w:tcPr>
                <w:p w14:paraId="5F73EC42">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Times New Roman"/>
                      <w:color w:val="auto"/>
                      <w:sz w:val="21"/>
                      <w:szCs w:val="21"/>
                      <w:lang w:eastAsia="zh-CN"/>
                    </w:rPr>
                  </w:pPr>
                  <w:r>
                    <w:rPr>
                      <w:rFonts w:hint="eastAsia" w:ascii="Times New Roman" w:hAnsi="Times New Roman" w:cs="Times New Roman"/>
                      <w:color w:val="auto"/>
                      <w:sz w:val="21"/>
                      <w:szCs w:val="21"/>
                      <w:lang w:eastAsia="zh-CN"/>
                    </w:rPr>
                    <w:t>套</w:t>
                  </w:r>
                </w:p>
              </w:tc>
              <w:tc>
                <w:tcPr>
                  <w:tcW w:w="594" w:type="pct"/>
                  <w:noWrap w:val="0"/>
                  <w:vAlign w:val="center"/>
                </w:tcPr>
                <w:p w14:paraId="547D41BA">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pacing w:val="3"/>
                      <w:sz w:val="21"/>
                      <w:szCs w:val="21"/>
                      <w:lang w:val="en-US" w:eastAsia="zh-CN"/>
                    </w:rPr>
                  </w:pPr>
                  <w:r>
                    <w:rPr>
                      <w:rFonts w:hint="eastAsia" w:ascii="Times New Roman" w:hAnsi="Times New Roman" w:cs="Times New Roman"/>
                      <w:color w:val="auto"/>
                      <w:spacing w:val="3"/>
                      <w:sz w:val="21"/>
                      <w:szCs w:val="21"/>
                      <w:lang w:val="en-US" w:eastAsia="zh-CN"/>
                    </w:rPr>
                    <w:t>5</w:t>
                  </w:r>
                </w:p>
              </w:tc>
              <w:tc>
                <w:tcPr>
                  <w:tcW w:w="1160" w:type="pct"/>
                  <w:noWrap w:val="0"/>
                  <w:vAlign w:val="center"/>
                </w:tcPr>
                <w:p w14:paraId="1C3F9BA7">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pacing w:val="1"/>
                      <w:sz w:val="21"/>
                      <w:szCs w:val="21"/>
                      <w:lang w:val="en-US" w:eastAsia="zh-CN"/>
                    </w:rPr>
                  </w:pPr>
                  <w:r>
                    <w:rPr>
                      <w:rFonts w:hint="eastAsia" w:ascii="Times New Roman" w:hAnsi="Times New Roman" w:cs="Times New Roman"/>
                      <w:color w:val="auto"/>
                      <w:spacing w:val="1"/>
                      <w:sz w:val="21"/>
                      <w:szCs w:val="21"/>
                      <w:lang w:val="en-US" w:eastAsia="zh-CN"/>
                    </w:rPr>
                    <w:t>/</w:t>
                  </w:r>
                </w:p>
              </w:tc>
            </w:tr>
            <w:tr w14:paraId="52892C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4" w:hRule="atLeast"/>
              </w:trPr>
              <w:tc>
                <w:tcPr>
                  <w:tcW w:w="446" w:type="pct"/>
                  <w:noWrap w:val="0"/>
                  <w:vAlign w:val="center"/>
                </w:tcPr>
                <w:p w14:paraId="539464C6">
                  <w:pPr>
                    <w:pStyle w:val="75"/>
                    <w:keepNext w:val="0"/>
                    <w:keepLines w:val="0"/>
                    <w:pageBreakBefore w:val="0"/>
                    <w:widowControl w:val="0"/>
                    <w:numPr>
                      <w:ilvl w:val="0"/>
                      <w:numId w:val="15"/>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pacing w:val="5"/>
                      <w:sz w:val="21"/>
                      <w:szCs w:val="21"/>
                    </w:rPr>
                  </w:pPr>
                </w:p>
              </w:tc>
              <w:tc>
                <w:tcPr>
                  <w:tcW w:w="1293" w:type="pct"/>
                  <w:noWrap w:val="0"/>
                  <w:vAlign w:val="center"/>
                </w:tcPr>
                <w:p w14:paraId="3EFD56AA">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pacing w:val="3"/>
                      <w:sz w:val="21"/>
                      <w:szCs w:val="21"/>
                      <w:lang w:eastAsia="zh-CN"/>
                    </w:rPr>
                  </w:pPr>
                  <w:r>
                    <w:rPr>
                      <w:rFonts w:hint="default" w:ascii="Times New Roman" w:hAnsi="Times New Roman" w:cs="Times New Roman"/>
                      <w:color w:val="auto"/>
                      <w:spacing w:val="8"/>
                      <w:sz w:val="21"/>
                      <w:szCs w:val="21"/>
                    </w:rPr>
                    <w:t>布袋除尘器</w:t>
                  </w:r>
                </w:p>
              </w:tc>
              <w:tc>
                <w:tcPr>
                  <w:tcW w:w="862" w:type="pct"/>
                  <w:noWrap w:val="0"/>
                  <w:vAlign w:val="center"/>
                </w:tcPr>
                <w:p w14:paraId="2D97EA1F">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pacing w:val="1"/>
                      <w:sz w:val="21"/>
                      <w:szCs w:val="21"/>
                      <w:lang w:val="en-US" w:eastAsia="zh-CN"/>
                    </w:rPr>
                  </w:pPr>
                  <w:r>
                    <w:rPr>
                      <w:rFonts w:hint="eastAsia" w:ascii="Times New Roman" w:hAnsi="Times New Roman" w:cs="Times New Roman"/>
                      <w:color w:val="auto"/>
                      <w:spacing w:val="1"/>
                      <w:sz w:val="21"/>
                      <w:szCs w:val="21"/>
                      <w:lang w:val="en-US" w:eastAsia="zh-CN"/>
                    </w:rPr>
                    <w:t>/</w:t>
                  </w:r>
                </w:p>
              </w:tc>
              <w:tc>
                <w:tcPr>
                  <w:tcW w:w="642" w:type="pct"/>
                  <w:noWrap w:val="0"/>
                  <w:vAlign w:val="center"/>
                </w:tcPr>
                <w:p w14:paraId="1CA79E2B">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eastAsia="zh-CN"/>
                    </w:rPr>
                    <w:t>套</w:t>
                  </w:r>
                </w:p>
              </w:tc>
              <w:tc>
                <w:tcPr>
                  <w:tcW w:w="594" w:type="pct"/>
                  <w:noWrap w:val="0"/>
                  <w:vAlign w:val="center"/>
                </w:tcPr>
                <w:p w14:paraId="19B00986">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position w:val="1"/>
                      <w:sz w:val="21"/>
                      <w:szCs w:val="21"/>
                      <w:lang w:val="en-US" w:eastAsia="zh-CN"/>
                    </w:rPr>
                    <w:t>4</w:t>
                  </w:r>
                </w:p>
              </w:tc>
              <w:tc>
                <w:tcPr>
                  <w:tcW w:w="1160" w:type="pct"/>
                  <w:noWrap w:val="0"/>
                  <w:vAlign w:val="center"/>
                </w:tcPr>
                <w:p w14:paraId="7F7EFFC8">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pacing w:val="3"/>
                      <w:sz w:val="21"/>
                      <w:szCs w:val="21"/>
                    </w:rPr>
                  </w:pPr>
                  <w:r>
                    <w:rPr>
                      <w:rFonts w:hint="eastAsia" w:ascii="Times New Roman" w:hAnsi="Times New Roman" w:cs="Times New Roman"/>
                      <w:color w:val="auto"/>
                      <w:spacing w:val="1"/>
                      <w:sz w:val="21"/>
                      <w:szCs w:val="21"/>
                      <w:lang w:val="en-US" w:eastAsia="zh-CN"/>
                    </w:rPr>
                    <w:t>/</w:t>
                  </w:r>
                </w:p>
              </w:tc>
            </w:tr>
            <w:tr w14:paraId="303488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4" w:hRule="atLeast"/>
              </w:trPr>
              <w:tc>
                <w:tcPr>
                  <w:tcW w:w="446" w:type="pct"/>
                  <w:noWrap w:val="0"/>
                  <w:vAlign w:val="center"/>
                </w:tcPr>
                <w:p w14:paraId="3F064272">
                  <w:pPr>
                    <w:pStyle w:val="75"/>
                    <w:keepNext w:val="0"/>
                    <w:keepLines w:val="0"/>
                    <w:pageBreakBefore w:val="0"/>
                    <w:widowControl w:val="0"/>
                    <w:numPr>
                      <w:ilvl w:val="0"/>
                      <w:numId w:val="15"/>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pacing w:val="5"/>
                      <w:sz w:val="21"/>
                      <w:szCs w:val="21"/>
                    </w:rPr>
                  </w:pPr>
                </w:p>
              </w:tc>
              <w:tc>
                <w:tcPr>
                  <w:tcW w:w="1293" w:type="pct"/>
                  <w:noWrap w:val="0"/>
                  <w:vAlign w:val="center"/>
                </w:tcPr>
                <w:p w14:paraId="0091DBE9">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pacing w:val="8"/>
                      <w:sz w:val="21"/>
                      <w:szCs w:val="21"/>
                    </w:rPr>
                    <w:t>有机废气处理（</w:t>
                  </w:r>
                  <w:r>
                    <w:rPr>
                      <w:rFonts w:hint="eastAsia" w:ascii="Times New Roman" w:hAnsi="Times New Roman" w:eastAsia="宋体" w:cs="Times New Roman"/>
                      <w:color w:val="auto"/>
                      <w:sz w:val="21"/>
                      <w:szCs w:val="21"/>
                      <w:highlight w:val="none"/>
                      <w:lang w:eastAsia="zh-CN"/>
                    </w:rPr>
                    <w:t>带有自动控制系统的</w:t>
                  </w:r>
                  <w:r>
                    <w:rPr>
                      <w:rFonts w:hint="default" w:ascii="Times New Roman" w:hAnsi="Times New Roman" w:eastAsia="宋体" w:cs="Times New Roman"/>
                      <w:color w:val="auto"/>
                      <w:kern w:val="2"/>
                      <w:sz w:val="21"/>
                      <w:szCs w:val="21"/>
                      <w:highlight w:val="none"/>
                      <w:lang w:val="en-US" w:eastAsia="zh-CN" w:bidi="ar-SA"/>
                    </w:rPr>
                    <w:t>二级</w:t>
                  </w:r>
                  <w:r>
                    <w:rPr>
                      <w:rFonts w:hint="default" w:ascii="Times New Roman" w:hAnsi="Times New Roman" w:cs="Times New Roman"/>
                      <w:color w:val="auto"/>
                      <w:spacing w:val="8"/>
                      <w:sz w:val="21"/>
                      <w:szCs w:val="21"/>
                    </w:rPr>
                    <w:t>活</w:t>
                  </w:r>
                  <w:r>
                    <w:rPr>
                      <w:rFonts w:hint="default" w:ascii="Times New Roman" w:hAnsi="Times New Roman" w:cs="Times New Roman"/>
                      <w:color w:val="auto"/>
                      <w:spacing w:val="5"/>
                      <w:sz w:val="21"/>
                      <w:szCs w:val="21"/>
                    </w:rPr>
                    <w:t>性炭吸附）</w:t>
                  </w:r>
                </w:p>
              </w:tc>
              <w:tc>
                <w:tcPr>
                  <w:tcW w:w="862" w:type="pct"/>
                  <w:noWrap w:val="0"/>
                  <w:vAlign w:val="center"/>
                </w:tcPr>
                <w:p w14:paraId="3354033B">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pacing w:val="1"/>
                      <w:sz w:val="21"/>
                      <w:szCs w:val="21"/>
                      <w:lang w:val="en-US" w:eastAsia="zh-CN"/>
                    </w:rPr>
                    <w:t>/</w:t>
                  </w:r>
                </w:p>
              </w:tc>
              <w:tc>
                <w:tcPr>
                  <w:tcW w:w="642" w:type="pct"/>
                  <w:noWrap w:val="0"/>
                  <w:vAlign w:val="center"/>
                </w:tcPr>
                <w:p w14:paraId="39BDB195">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eastAsia="zh-CN"/>
                    </w:rPr>
                    <w:t>套</w:t>
                  </w:r>
                </w:p>
              </w:tc>
              <w:tc>
                <w:tcPr>
                  <w:tcW w:w="594" w:type="pct"/>
                  <w:noWrap w:val="0"/>
                  <w:vAlign w:val="center"/>
                </w:tcPr>
                <w:p w14:paraId="3A32C34E">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Times New Roman" w:cs="Times New Roman"/>
                      <w:color w:val="auto"/>
                      <w:kern w:val="2"/>
                      <w:sz w:val="21"/>
                      <w:szCs w:val="21"/>
                      <w:lang w:val="en-US" w:eastAsia="zh-CN" w:bidi="ar-SA"/>
                    </w:rPr>
                  </w:pPr>
                  <w:r>
                    <w:rPr>
                      <w:rFonts w:hint="default" w:ascii="Times New Roman" w:hAnsi="Times New Roman" w:eastAsia="Times New Roman" w:cs="Times New Roman"/>
                      <w:color w:val="auto"/>
                      <w:position w:val="1"/>
                      <w:sz w:val="21"/>
                      <w:szCs w:val="21"/>
                    </w:rPr>
                    <w:t>1</w:t>
                  </w:r>
                </w:p>
              </w:tc>
              <w:tc>
                <w:tcPr>
                  <w:tcW w:w="1160" w:type="pct"/>
                  <w:noWrap w:val="0"/>
                  <w:vAlign w:val="center"/>
                </w:tcPr>
                <w:p w14:paraId="5363032E">
                  <w:pPr>
                    <w:pStyle w:val="75"/>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auto"/>
                      <w:spacing w:val="3"/>
                      <w:sz w:val="21"/>
                      <w:szCs w:val="21"/>
                    </w:rPr>
                  </w:pPr>
                  <w:r>
                    <w:rPr>
                      <w:rFonts w:hint="eastAsia" w:ascii="Times New Roman" w:hAnsi="Times New Roman" w:cs="Times New Roman"/>
                      <w:color w:val="auto"/>
                      <w:spacing w:val="1"/>
                      <w:sz w:val="21"/>
                      <w:szCs w:val="21"/>
                      <w:lang w:val="en-US" w:eastAsia="zh-CN"/>
                    </w:rPr>
                    <w:t>/</w:t>
                  </w:r>
                </w:p>
              </w:tc>
            </w:tr>
          </w:tbl>
          <w:p w14:paraId="0239EA86">
            <w:pPr>
              <w:pStyle w:val="69"/>
              <w:rPr>
                <w:color w:val="auto"/>
                <w:highlight w:val="none"/>
              </w:rPr>
            </w:pPr>
          </w:p>
          <w:p w14:paraId="7FF2D194">
            <w:pPr>
              <w:pStyle w:val="69"/>
              <w:rPr>
                <w:color w:val="auto"/>
                <w:sz w:val="24"/>
                <w:highlight w:val="none"/>
              </w:rPr>
            </w:pPr>
            <w:r>
              <w:rPr>
                <w:rFonts w:hint="eastAsia"/>
                <w:color w:val="auto"/>
                <w:sz w:val="24"/>
                <w:highlight w:val="none"/>
              </w:rPr>
              <w:t>7、</w:t>
            </w:r>
            <w:r>
              <w:rPr>
                <w:color w:val="auto"/>
                <w:sz w:val="24"/>
                <w:highlight w:val="none"/>
              </w:rPr>
              <w:t>工作制度和劳动定员</w:t>
            </w:r>
          </w:p>
          <w:p w14:paraId="10ED625A">
            <w:pPr>
              <w:adjustRightInd w:val="0"/>
              <w:snapToGrid w:val="0"/>
              <w:ind w:firstLine="480" w:firstLineChars="200"/>
              <w:rPr>
                <w:rFonts w:hint="eastAsia" w:eastAsia="宋体"/>
                <w:color w:val="auto"/>
                <w:highlight w:val="none"/>
                <w:lang w:eastAsia="zh-CN"/>
              </w:rPr>
            </w:pPr>
            <w:r>
              <w:rPr>
                <w:rFonts w:hint="eastAsia"/>
                <w:color w:val="auto"/>
                <w:sz w:val="24"/>
                <w:highlight w:val="none"/>
              </w:rPr>
              <w:t>本项目</w:t>
            </w:r>
            <w:r>
              <w:rPr>
                <w:rFonts w:hint="eastAsia"/>
                <w:color w:val="auto"/>
                <w:sz w:val="24"/>
                <w:highlight w:val="none"/>
                <w:lang w:eastAsia="zh-CN"/>
              </w:rPr>
              <w:t>地板</w:t>
            </w:r>
            <w:r>
              <w:rPr>
                <w:rFonts w:hint="eastAsia"/>
                <w:color w:val="auto"/>
                <w:sz w:val="24"/>
                <w:highlight w:val="none"/>
              </w:rPr>
              <w:t>生产劳动定员为</w:t>
            </w:r>
            <w:r>
              <w:rPr>
                <w:rFonts w:hint="eastAsia"/>
                <w:color w:val="auto"/>
                <w:sz w:val="24"/>
                <w:highlight w:val="none"/>
                <w:lang w:val="en-US" w:eastAsia="zh-CN"/>
              </w:rPr>
              <w:t>20</w:t>
            </w:r>
            <w:r>
              <w:rPr>
                <w:rFonts w:hint="eastAsia"/>
                <w:color w:val="auto"/>
                <w:sz w:val="24"/>
                <w:highlight w:val="none"/>
              </w:rPr>
              <w:t>人。每日</w:t>
            </w:r>
            <w:r>
              <w:rPr>
                <w:rFonts w:hint="eastAsia"/>
                <w:color w:val="auto"/>
                <w:sz w:val="24"/>
                <w:highlight w:val="none"/>
                <w:lang w:val="en-US" w:eastAsia="zh-CN"/>
              </w:rPr>
              <w:t>9</w:t>
            </w:r>
            <w:r>
              <w:rPr>
                <w:rFonts w:hint="eastAsia"/>
                <w:color w:val="auto"/>
                <w:sz w:val="24"/>
                <w:highlight w:val="none"/>
              </w:rPr>
              <w:t>小时工作制</w:t>
            </w:r>
            <w:r>
              <w:rPr>
                <w:rFonts w:hint="eastAsia"/>
                <w:color w:val="auto"/>
                <w:sz w:val="24"/>
                <w:highlight w:val="none"/>
                <w:lang w:eastAsia="zh-CN"/>
              </w:rPr>
              <w:t>（</w:t>
            </w:r>
            <w:r>
              <w:rPr>
                <w:rFonts w:hint="eastAsia"/>
                <w:color w:val="auto"/>
                <w:sz w:val="24"/>
                <w:highlight w:val="none"/>
                <w:lang w:val="en-US" w:eastAsia="zh-CN"/>
              </w:rPr>
              <w:t>7:00-16:00</w:t>
            </w:r>
            <w:r>
              <w:rPr>
                <w:rFonts w:hint="eastAsia"/>
                <w:color w:val="auto"/>
                <w:sz w:val="24"/>
                <w:highlight w:val="none"/>
                <w:lang w:eastAsia="zh-CN"/>
              </w:rPr>
              <w:t>），</w:t>
            </w:r>
            <w:r>
              <w:rPr>
                <w:rFonts w:hint="eastAsia"/>
                <w:color w:val="auto"/>
                <w:sz w:val="24"/>
                <w:highlight w:val="none"/>
              </w:rPr>
              <w:t>年生产</w:t>
            </w:r>
            <w:r>
              <w:rPr>
                <w:rFonts w:hint="eastAsia"/>
                <w:color w:val="auto"/>
                <w:sz w:val="24"/>
                <w:highlight w:val="none"/>
                <w:lang w:val="en-US" w:eastAsia="zh-CN"/>
              </w:rPr>
              <w:t>330</w:t>
            </w:r>
            <w:r>
              <w:rPr>
                <w:rFonts w:hint="eastAsia"/>
                <w:color w:val="auto"/>
                <w:sz w:val="24"/>
                <w:highlight w:val="none"/>
              </w:rPr>
              <w:t>天，年生产时长</w:t>
            </w:r>
            <w:r>
              <w:rPr>
                <w:rFonts w:hint="eastAsia"/>
                <w:color w:val="auto"/>
                <w:sz w:val="24"/>
                <w:highlight w:val="none"/>
                <w:lang w:val="en-US" w:eastAsia="zh-CN"/>
              </w:rPr>
              <w:t>297</w:t>
            </w:r>
            <w:r>
              <w:rPr>
                <w:rFonts w:hint="eastAsia"/>
                <w:color w:val="auto"/>
                <w:sz w:val="24"/>
                <w:highlight w:val="none"/>
              </w:rPr>
              <w:t>0h。</w:t>
            </w:r>
            <w:r>
              <w:rPr>
                <w:rFonts w:hint="eastAsia"/>
                <w:color w:val="auto"/>
                <w:sz w:val="24"/>
                <w:highlight w:val="none"/>
                <w:lang w:eastAsia="zh-CN"/>
              </w:rPr>
              <w:t>无食堂、宿舍。</w:t>
            </w:r>
          </w:p>
          <w:p w14:paraId="2CD1F794">
            <w:pPr>
              <w:pStyle w:val="69"/>
              <w:rPr>
                <w:color w:val="auto"/>
                <w:sz w:val="24"/>
                <w:highlight w:val="none"/>
              </w:rPr>
            </w:pPr>
            <w:r>
              <w:rPr>
                <w:rFonts w:hint="eastAsia"/>
                <w:color w:val="auto"/>
                <w:sz w:val="24"/>
                <w:highlight w:val="none"/>
              </w:rPr>
              <w:t>8、</w:t>
            </w:r>
            <w:r>
              <w:rPr>
                <w:color w:val="auto"/>
                <w:sz w:val="24"/>
                <w:highlight w:val="none"/>
              </w:rPr>
              <w:t>公用工程</w:t>
            </w:r>
          </w:p>
          <w:p w14:paraId="160E495F">
            <w:pPr>
              <w:pStyle w:val="59"/>
              <w:ind w:firstLine="480"/>
              <w:rPr>
                <w:color w:val="auto"/>
                <w:sz w:val="24"/>
                <w:highlight w:val="none"/>
              </w:rPr>
            </w:pPr>
            <w:r>
              <w:rPr>
                <w:color w:val="auto"/>
                <w:sz w:val="24"/>
                <w:highlight w:val="none"/>
              </w:rPr>
              <w:t>（1）给水</w:t>
            </w:r>
          </w:p>
          <w:p w14:paraId="6D52EA9F">
            <w:pPr>
              <w:pStyle w:val="59"/>
              <w:ind w:firstLine="480"/>
              <w:rPr>
                <w:rFonts w:hint="eastAsia"/>
                <w:color w:val="auto"/>
                <w:spacing w:val="-4"/>
                <w:sz w:val="24"/>
                <w:szCs w:val="24"/>
                <w:lang w:eastAsia="zh-CN"/>
              </w:rPr>
            </w:pPr>
            <w:r>
              <w:rPr>
                <w:rFonts w:hint="default" w:ascii="Times New Roman" w:hAnsi="Times New Roman" w:eastAsia="宋体" w:cs="Times New Roman"/>
                <w:color w:val="auto"/>
                <w:sz w:val="24"/>
                <w:highlight w:val="none"/>
              </w:rPr>
              <w:t>①</w:t>
            </w:r>
            <w:r>
              <w:rPr>
                <w:rFonts w:hint="eastAsia" w:ascii="Times New Roman" w:hAnsi="Times New Roman" w:eastAsia="宋体" w:cs="Times New Roman"/>
                <w:color w:val="auto"/>
                <w:sz w:val="24"/>
                <w:highlight w:val="none"/>
                <w:lang w:eastAsia="zh-CN"/>
              </w:rPr>
              <w:t>生</w:t>
            </w:r>
            <w:r>
              <w:rPr>
                <w:rFonts w:hint="eastAsia"/>
                <w:color w:val="auto"/>
                <w:spacing w:val="-4"/>
                <w:sz w:val="24"/>
                <w:szCs w:val="24"/>
                <w:lang w:eastAsia="zh-CN"/>
              </w:rPr>
              <w:t>活用水</w:t>
            </w:r>
          </w:p>
          <w:p w14:paraId="35E1D7B0">
            <w:pPr>
              <w:keepNext w:val="0"/>
              <w:keepLines w:val="0"/>
              <w:pageBreakBefore w:val="0"/>
              <w:widowControl/>
              <w:suppressLineNumbers w:val="0"/>
              <w:kinsoku/>
              <w:wordWrap/>
              <w:overflowPunct/>
              <w:topLinePunct w:val="0"/>
              <w:autoSpaceDE/>
              <w:autoSpaceDN/>
              <w:bidi w:val="0"/>
              <w:adjustRightInd/>
              <w:snapToGrid/>
              <w:ind w:firstLine="464" w:firstLineChars="200"/>
              <w:jc w:val="left"/>
              <w:textAlignment w:val="auto"/>
              <w:rPr>
                <w:color w:val="auto"/>
                <w:sz w:val="24"/>
                <w:szCs w:val="24"/>
              </w:rPr>
            </w:pPr>
            <w:r>
              <w:rPr>
                <w:color w:val="auto"/>
                <w:spacing w:val="-4"/>
                <w:sz w:val="24"/>
                <w:szCs w:val="24"/>
              </w:rPr>
              <w:t>本项目生产不需要水，不产生生产废水。生活用</w:t>
            </w:r>
            <w:r>
              <w:rPr>
                <w:rFonts w:ascii="Times New Roman" w:hAnsi="Times New Roman" w:eastAsia="宋体" w:cs="Times New Roman"/>
                <w:color w:val="auto"/>
                <w:spacing w:val="-4"/>
                <w:sz w:val="24"/>
                <w:szCs w:val="24"/>
              </w:rPr>
              <w:t>水</w:t>
            </w:r>
            <w:r>
              <w:rPr>
                <w:rFonts w:hint="eastAsia" w:ascii="Times New Roman" w:hAnsi="Times New Roman" w:eastAsia="宋体" w:cs="Times New Roman"/>
                <w:color w:val="auto"/>
                <w:spacing w:val="-4"/>
                <w:sz w:val="24"/>
                <w:szCs w:val="24"/>
                <w:lang w:eastAsia="zh-CN"/>
              </w:rPr>
              <w:t>利用园区供水管网</w:t>
            </w:r>
            <w:r>
              <w:rPr>
                <w:color w:val="auto"/>
                <w:spacing w:val="-4"/>
                <w:sz w:val="24"/>
                <w:szCs w:val="24"/>
              </w:rPr>
              <w:t>。</w:t>
            </w:r>
            <w:r>
              <w:rPr>
                <w:rFonts w:hint="eastAsia"/>
                <w:color w:val="auto"/>
                <w:spacing w:val="-4"/>
                <w:sz w:val="24"/>
                <w:szCs w:val="24"/>
                <w:lang w:eastAsia="zh-CN"/>
              </w:rPr>
              <w:t>项目</w:t>
            </w:r>
            <w:r>
              <w:rPr>
                <w:color w:val="auto"/>
                <w:spacing w:val="-4"/>
                <w:sz w:val="24"/>
                <w:szCs w:val="24"/>
              </w:rPr>
              <w:t>职工</w:t>
            </w:r>
            <w:r>
              <w:rPr>
                <w:rFonts w:hint="eastAsia"/>
                <w:color w:val="auto"/>
                <w:spacing w:val="-4"/>
                <w:sz w:val="24"/>
                <w:szCs w:val="24"/>
                <w:lang w:eastAsia="zh-CN"/>
              </w:rPr>
              <w:t>共</w:t>
            </w:r>
            <w:r>
              <w:rPr>
                <w:rFonts w:hint="eastAsia" w:ascii="Times New Roman" w:hAnsi="Times New Roman" w:eastAsia="宋体" w:cs="Times New Roman"/>
                <w:color w:val="auto"/>
                <w:spacing w:val="-4"/>
                <w:sz w:val="24"/>
                <w:szCs w:val="24"/>
                <w:lang w:val="en-US" w:eastAsia="zh-CN"/>
              </w:rPr>
              <w:t>20</w:t>
            </w:r>
            <w:r>
              <w:rPr>
                <w:color w:val="auto"/>
                <w:spacing w:val="-4"/>
                <w:sz w:val="24"/>
                <w:szCs w:val="24"/>
              </w:rPr>
              <w:t>人</w:t>
            </w:r>
            <w:r>
              <w:rPr>
                <w:rFonts w:hint="default" w:ascii="Times New Roman" w:hAnsi="Times New Roman" w:cs="Times New Roman"/>
                <w:color w:val="auto"/>
                <w:spacing w:val="-58"/>
                <w:sz w:val="24"/>
                <w:szCs w:val="24"/>
              </w:rPr>
              <w:t>，</w:t>
            </w:r>
            <w:r>
              <w:rPr>
                <w:rFonts w:hint="default" w:ascii="Times New Roman" w:hAnsi="Times New Roman" w:cs="Times New Roman"/>
                <w:color w:val="auto"/>
                <w:sz w:val="24"/>
                <w:szCs w:val="24"/>
              </w:rPr>
              <w:t>根据辽宁省行业用</w:t>
            </w:r>
            <w:r>
              <w:rPr>
                <w:rFonts w:hint="default" w:ascii="Times New Roman" w:hAnsi="Times New Roman" w:eastAsia="宋体" w:cs="Times New Roman"/>
                <w:color w:val="auto"/>
                <w:spacing w:val="-4"/>
                <w:sz w:val="24"/>
                <w:szCs w:val="24"/>
              </w:rPr>
              <w:t>水定额（DB21/T</w:t>
            </w:r>
            <w:r>
              <w:rPr>
                <w:rFonts w:hint="eastAsia" w:ascii="Times New Roman" w:hAnsi="Times New Roman" w:eastAsia="宋体" w:cs="Times New Roman"/>
                <w:color w:val="auto"/>
                <w:spacing w:val="-4"/>
                <w:sz w:val="24"/>
                <w:szCs w:val="24"/>
                <w:lang w:val="en-US" w:eastAsia="zh-CN"/>
              </w:rPr>
              <w:t xml:space="preserve"> </w:t>
            </w:r>
            <w:r>
              <w:rPr>
                <w:rFonts w:hint="default" w:ascii="Times New Roman" w:hAnsi="Times New Roman" w:eastAsia="宋体" w:cs="Times New Roman"/>
                <w:color w:val="auto"/>
                <w:spacing w:val="-4"/>
                <w:sz w:val="24"/>
                <w:szCs w:val="24"/>
              </w:rPr>
              <w:t>1237-2020）中U9920农村居民生活用水定额：</w:t>
            </w:r>
            <w:r>
              <w:rPr>
                <w:rFonts w:hint="eastAsia" w:ascii="Times New Roman" w:hAnsi="Times New Roman" w:eastAsia="宋体" w:cs="Times New Roman"/>
                <w:color w:val="auto"/>
                <w:spacing w:val="-4"/>
                <w:sz w:val="24"/>
                <w:szCs w:val="24"/>
                <w:lang w:val="en-US" w:eastAsia="zh-CN"/>
              </w:rPr>
              <w:t>80</w:t>
            </w:r>
            <w:r>
              <w:rPr>
                <w:rFonts w:hint="default" w:ascii="Times New Roman" w:hAnsi="Times New Roman" w:eastAsia="宋体" w:cs="Times New Roman"/>
                <w:color w:val="auto"/>
                <w:spacing w:val="-4"/>
                <w:sz w:val="24"/>
                <w:szCs w:val="24"/>
              </w:rPr>
              <w:t>L/（人·</w:t>
            </w:r>
            <w:r>
              <w:rPr>
                <w:rFonts w:hint="default" w:ascii="Times New Roman" w:hAnsi="Times New Roman" w:eastAsia="宋体" w:cs="Times New Roman"/>
                <w:color w:val="auto"/>
                <w:spacing w:val="-4"/>
                <w:sz w:val="24"/>
                <w:szCs w:val="24"/>
                <w:lang w:val="en-US" w:eastAsia="zh-CN"/>
              </w:rPr>
              <w:t>d</w:t>
            </w:r>
            <w:r>
              <w:rPr>
                <w:rFonts w:hint="default" w:ascii="Times New Roman" w:hAnsi="Times New Roman" w:eastAsia="宋体" w:cs="Times New Roman"/>
                <w:color w:val="auto"/>
                <w:spacing w:val="-4"/>
                <w:sz w:val="24"/>
                <w:szCs w:val="24"/>
              </w:rPr>
              <w:t>）（</w:t>
            </w:r>
            <w:r>
              <w:rPr>
                <w:rFonts w:hint="eastAsia" w:ascii="Times New Roman" w:hAnsi="Times New Roman" w:eastAsia="宋体" w:cs="Times New Roman"/>
                <w:color w:val="auto"/>
                <w:spacing w:val="-4"/>
                <w:sz w:val="24"/>
                <w:szCs w:val="24"/>
                <w:lang w:val="en-US" w:eastAsia="zh-CN"/>
              </w:rPr>
              <w:t>全日供水，室内有洗涤池和部分其他卫生设施</w:t>
            </w:r>
            <w:r>
              <w:rPr>
                <w:rFonts w:hint="default" w:ascii="Times New Roman" w:hAnsi="Times New Roman" w:eastAsia="宋体" w:cs="Times New Roman"/>
                <w:color w:val="auto"/>
                <w:spacing w:val="-4"/>
                <w:sz w:val="24"/>
                <w:szCs w:val="24"/>
              </w:rPr>
              <w:t>）。</w:t>
            </w:r>
            <w:r>
              <w:rPr>
                <w:rFonts w:hint="eastAsia" w:ascii="Times New Roman" w:hAnsi="Times New Roman" w:eastAsia="宋体" w:cs="Times New Roman"/>
                <w:color w:val="auto"/>
                <w:spacing w:val="-4"/>
                <w:sz w:val="24"/>
                <w:szCs w:val="24"/>
                <w:lang w:eastAsia="zh-CN"/>
              </w:rPr>
              <w:t>全年工作</w:t>
            </w:r>
            <w:r>
              <w:rPr>
                <w:rFonts w:hint="eastAsia" w:ascii="Times New Roman" w:hAnsi="Times New Roman" w:eastAsia="宋体" w:cs="Times New Roman"/>
                <w:color w:val="auto"/>
                <w:spacing w:val="-4"/>
                <w:sz w:val="24"/>
                <w:szCs w:val="24"/>
                <w:lang w:val="en-US" w:eastAsia="zh-CN"/>
              </w:rPr>
              <w:t>330天</w:t>
            </w:r>
            <w:r>
              <w:rPr>
                <w:rFonts w:hint="default" w:ascii="Times New Roman" w:hAnsi="Times New Roman" w:cs="Times New Roman"/>
                <w:color w:val="auto"/>
                <w:sz w:val="24"/>
                <w:szCs w:val="24"/>
              </w:rPr>
              <w:t>，</w:t>
            </w:r>
            <w:r>
              <w:rPr>
                <w:color w:val="auto"/>
                <w:sz w:val="24"/>
                <w:szCs w:val="24"/>
              </w:rPr>
              <w:t>则</w:t>
            </w:r>
            <w:r>
              <w:rPr>
                <w:rFonts w:hint="eastAsia"/>
                <w:color w:val="auto"/>
                <w:sz w:val="24"/>
                <w:szCs w:val="24"/>
                <w:lang w:eastAsia="zh-CN"/>
              </w:rPr>
              <w:t>生活</w:t>
            </w:r>
            <w:r>
              <w:rPr>
                <w:color w:val="auto"/>
                <w:sz w:val="24"/>
                <w:szCs w:val="24"/>
              </w:rPr>
              <w:t>用水量为</w:t>
            </w:r>
            <w:r>
              <w:rPr>
                <w:rFonts w:hint="eastAsia"/>
                <w:color w:val="auto"/>
                <w:sz w:val="24"/>
                <w:szCs w:val="24"/>
                <w:lang w:val="en-US" w:eastAsia="zh-CN"/>
              </w:rPr>
              <w:t>1.6</w:t>
            </w:r>
            <w:r>
              <w:rPr>
                <w:color w:val="auto"/>
                <w:sz w:val="24"/>
                <w:szCs w:val="24"/>
              </w:rPr>
              <w:t>m</w:t>
            </w:r>
            <w:r>
              <w:rPr>
                <w:color w:val="auto"/>
                <w:sz w:val="24"/>
                <w:szCs w:val="24"/>
                <w:vertAlign w:val="superscript"/>
              </w:rPr>
              <w:t>3</w:t>
            </w:r>
            <w:r>
              <w:rPr>
                <w:color w:val="auto"/>
                <w:sz w:val="24"/>
                <w:szCs w:val="24"/>
              </w:rPr>
              <w:t>/d，</w:t>
            </w:r>
            <w:r>
              <w:rPr>
                <w:rFonts w:hint="eastAsia"/>
                <w:color w:val="auto"/>
                <w:sz w:val="24"/>
                <w:szCs w:val="24"/>
                <w:lang w:val="en-US" w:eastAsia="zh-CN"/>
              </w:rPr>
              <w:t>528</w:t>
            </w:r>
            <w:r>
              <w:rPr>
                <w:color w:val="auto"/>
                <w:sz w:val="24"/>
                <w:szCs w:val="24"/>
              </w:rPr>
              <w:t>m</w:t>
            </w:r>
            <w:r>
              <w:rPr>
                <w:color w:val="auto"/>
                <w:sz w:val="24"/>
                <w:szCs w:val="24"/>
                <w:vertAlign w:val="superscript"/>
              </w:rPr>
              <w:t>3</w:t>
            </w:r>
            <w:r>
              <w:rPr>
                <w:color w:val="auto"/>
                <w:sz w:val="24"/>
                <w:szCs w:val="24"/>
              </w:rPr>
              <w:t>/a。</w:t>
            </w:r>
          </w:p>
          <w:p w14:paraId="55CA9D84">
            <w:pPr>
              <w:pStyle w:val="59"/>
              <w:ind w:firstLine="480"/>
              <w:rPr>
                <w:rFonts w:hint="eastAsia"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fldChar w:fldCharType="begin"/>
            </w:r>
            <w:r>
              <w:rPr>
                <w:rFonts w:hint="default" w:ascii="Times New Roman" w:hAnsi="Times New Roman" w:eastAsia="宋体" w:cs="Times New Roman"/>
                <w:color w:val="auto"/>
                <w:sz w:val="24"/>
                <w:highlight w:val="none"/>
              </w:rPr>
              <w:instrText xml:space="preserve"> = 2 \* GB3 \* MERGEFORMAT </w:instrText>
            </w:r>
            <w:r>
              <w:rPr>
                <w:rFonts w:hint="default" w:ascii="Times New Roman" w:hAnsi="Times New Roman" w:eastAsia="宋体" w:cs="Times New Roman"/>
                <w:color w:val="auto"/>
                <w:sz w:val="24"/>
                <w:highlight w:val="none"/>
              </w:rPr>
              <w:fldChar w:fldCharType="separate"/>
            </w:r>
            <w:r>
              <w:rPr>
                <w:rFonts w:hint="default" w:ascii="Times New Roman" w:hAnsi="Times New Roman" w:eastAsia="宋体" w:cs="Times New Roman"/>
                <w:color w:val="auto"/>
                <w:sz w:val="24"/>
                <w:highlight w:val="none"/>
              </w:rPr>
              <w:t>②</w:t>
            </w:r>
            <w:r>
              <w:rPr>
                <w:rFonts w:hint="default" w:ascii="Times New Roman" w:hAnsi="Times New Roman" w:eastAsia="宋体" w:cs="Times New Roman"/>
                <w:color w:val="auto"/>
                <w:sz w:val="24"/>
                <w:highlight w:val="none"/>
              </w:rPr>
              <w:fldChar w:fldCharType="end"/>
            </w:r>
            <w:r>
              <w:rPr>
                <w:rFonts w:hint="eastAsia" w:ascii="Times New Roman" w:hAnsi="Times New Roman" w:eastAsia="宋体" w:cs="Times New Roman"/>
                <w:color w:val="auto"/>
                <w:sz w:val="24"/>
                <w:highlight w:val="none"/>
                <w:lang w:eastAsia="zh-CN"/>
              </w:rPr>
              <w:t>洒水抑尘用水</w:t>
            </w:r>
          </w:p>
          <w:p w14:paraId="361C9197">
            <w:pPr>
              <w:pStyle w:val="59"/>
              <w:ind w:firstLine="480"/>
              <w:rPr>
                <w:rFonts w:hint="eastAsia" w:eastAsia="宋体"/>
                <w:color w:val="auto"/>
                <w:sz w:val="24"/>
                <w:highlight w:val="none"/>
                <w:lang w:val="en-US" w:eastAsia="zh-CN"/>
              </w:rPr>
            </w:pPr>
            <w:r>
              <w:rPr>
                <w:color w:val="auto"/>
                <w:spacing w:val="-4"/>
                <w:sz w:val="24"/>
                <w:szCs w:val="24"/>
              </w:rPr>
              <w:t>本项目</w:t>
            </w:r>
            <w:r>
              <w:rPr>
                <w:rFonts w:hint="eastAsia"/>
                <w:color w:val="auto"/>
                <w:spacing w:val="-4"/>
                <w:sz w:val="24"/>
                <w:szCs w:val="24"/>
                <w:lang w:eastAsia="zh-CN"/>
              </w:rPr>
              <w:t>定期对生产车间地面进行洒水抑尘。</w:t>
            </w:r>
            <w:r>
              <w:rPr>
                <w:rFonts w:hint="default" w:ascii="Times New Roman" w:hAnsi="Times New Roman" w:cs="Times New Roman"/>
                <w:color w:val="auto"/>
                <w:sz w:val="24"/>
                <w:szCs w:val="24"/>
              </w:rPr>
              <w:t>根据辽宁省行业用</w:t>
            </w:r>
            <w:r>
              <w:rPr>
                <w:rFonts w:hint="default" w:ascii="Times New Roman" w:hAnsi="Times New Roman" w:eastAsia="宋体" w:cs="Times New Roman"/>
                <w:color w:val="auto"/>
                <w:spacing w:val="-4"/>
                <w:sz w:val="24"/>
                <w:szCs w:val="24"/>
              </w:rPr>
              <w:t>水定额（DB21/T</w:t>
            </w:r>
            <w:r>
              <w:rPr>
                <w:rFonts w:hint="eastAsia" w:ascii="Times New Roman" w:hAnsi="Times New Roman" w:eastAsia="宋体" w:cs="Times New Roman"/>
                <w:color w:val="auto"/>
                <w:spacing w:val="-4"/>
                <w:sz w:val="24"/>
                <w:szCs w:val="24"/>
                <w:lang w:val="en-US" w:eastAsia="zh-CN"/>
              </w:rPr>
              <w:t xml:space="preserve"> </w:t>
            </w:r>
            <w:r>
              <w:rPr>
                <w:rFonts w:hint="default" w:ascii="Times New Roman" w:hAnsi="Times New Roman" w:eastAsia="宋体" w:cs="Times New Roman"/>
                <w:color w:val="auto"/>
                <w:spacing w:val="-4"/>
                <w:sz w:val="24"/>
                <w:szCs w:val="24"/>
              </w:rPr>
              <w:t>1237-2020）中</w:t>
            </w:r>
            <w:r>
              <w:rPr>
                <w:rFonts w:hint="eastAsia" w:ascii="Times New Roman" w:hAnsi="Times New Roman" w:eastAsia="宋体" w:cs="Times New Roman"/>
                <w:color w:val="auto"/>
                <w:spacing w:val="-4"/>
                <w:sz w:val="24"/>
                <w:szCs w:val="24"/>
                <w:lang w:val="en-US" w:eastAsia="zh-CN"/>
              </w:rPr>
              <w:t>N782环境卫生管理用水定额：1.4L/（m</w:t>
            </w:r>
            <w:r>
              <w:rPr>
                <w:rFonts w:hint="eastAsia" w:ascii="Times New Roman" w:hAnsi="Times New Roman" w:eastAsia="宋体" w:cs="Times New Roman"/>
                <w:color w:val="auto"/>
                <w:spacing w:val="-4"/>
                <w:sz w:val="24"/>
                <w:szCs w:val="24"/>
                <w:vertAlign w:val="superscript"/>
                <w:lang w:val="en-US" w:eastAsia="zh-CN"/>
              </w:rPr>
              <w:t>2</w:t>
            </w:r>
            <w:r>
              <w:rPr>
                <w:rFonts w:hint="default" w:ascii="Times New Roman" w:hAnsi="Times New Roman" w:eastAsia="宋体" w:cs="Times New Roman"/>
                <w:color w:val="auto"/>
                <w:spacing w:val="-4"/>
                <w:sz w:val="24"/>
                <w:szCs w:val="24"/>
              </w:rPr>
              <w:t>·</w:t>
            </w:r>
            <w:r>
              <w:rPr>
                <w:rFonts w:hint="default" w:ascii="Times New Roman" w:hAnsi="Times New Roman" w:eastAsia="宋体" w:cs="Times New Roman"/>
                <w:color w:val="auto"/>
                <w:spacing w:val="-4"/>
                <w:sz w:val="24"/>
                <w:szCs w:val="24"/>
                <w:lang w:val="en-US" w:eastAsia="zh-CN"/>
              </w:rPr>
              <w:t>d</w:t>
            </w:r>
            <w:r>
              <w:rPr>
                <w:rFonts w:hint="eastAsia" w:ascii="Times New Roman" w:hAnsi="Times New Roman" w:eastAsia="宋体" w:cs="Times New Roman"/>
                <w:color w:val="auto"/>
                <w:spacing w:val="-4"/>
                <w:sz w:val="24"/>
                <w:szCs w:val="24"/>
                <w:lang w:val="en-US" w:eastAsia="zh-CN"/>
              </w:rPr>
              <w:t>）。生产车间7161.82m</w:t>
            </w:r>
            <w:r>
              <w:rPr>
                <w:rFonts w:hint="eastAsia" w:ascii="Times New Roman" w:hAnsi="Times New Roman" w:eastAsia="宋体" w:cs="Times New Roman"/>
                <w:color w:val="auto"/>
                <w:spacing w:val="-4"/>
                <w:sz w:val="24"/>
                <w:szCs w:val="24"/>
                <w:vertAlign w:val="superscript"/>
                <w:lang w:val="en-US" w:eastAsia="zh-CN"/>
              </w:rPr>
              <w:t>2</w:t>
            </w:r>
            <w:r>
              <w:rPr>
                <w:rFonts w:hint="eastAsia" w:ascii="Times New Roman" w:hAnsi="Times New Roman" w:eastAsia="宋体" w:cs="Times New Roman"/>
                <w:color w:val="auto"/>
                <w:spacing w:val="-4"/>
                <w:sz w:val="24"/>
                <w:szCs w:val="24"/>
                <w:lang w:val="en-US" w:eastAsia="zh-CN"/>
              </w:rPr>
              <w:t>，则洒水抑尘水用量为3308.76</w:t>
            </w:r>
            <w:r>
              <w:rPr>
                <w:color w:val="auto"/>
                <w:sz w:val="24"/>
                <w:szCs w:val="24"/>
              </w:rPr>
              <w:t>m</w:t>
            </w:r>
            <w:r>
              <w:rPr>
                <w:color w:val="auto"/>
                <w:sz w:val="24"/>
                <w:szCs w:val="24"/>
                <w:vertAlign w:val="superscript"/>
              </w:rPr>
              <w:t>3</w:t>
            </w:r>
            <w:r>
              <w:rPr>
                <w:color w:val="auto"/>
                <w:sz w:val="24"/>
                <w:szCs w:val="24"/>
              </w:rPr>
              <w:t>/a</w:t>
            </w:r>
            <w:r>
              <w:rPr>
                <w:rFonts w:hint="eastAsia"/>
                <w:color w:val="auto"/>
                <w:sz w:val="24"/>
                <w:szCs w:val="24"/>
                <w:lang w:eastAsia="zh-CN"/>
              </w:rPr>
              <w:t>。</w:t>
            </w:r>
          </w:p>
          <w:p w14:paraId="1F7D0A77">
            <w:pPr>
              <w:pStyle w:val="59"/>
              <w:ind w:firstLine="480"/>
              <w:rPr>
                <w:color w:val="auto"/>
                <w:sz w:val="24"/>
                <w:highlight w:val="none"/>
              </w:rPr>
            </w:pPr>
            <w:r>
              <w:rPr>
                <w:color w:val="auto"/>
                <w:sz w:val="24"/>
                <w:highlight w:val="none"/>
              </w:rPr>
              <w:t>（2）排水</w:t>
            </w:r>
          </w:p>
          <w:p w14:paraId="1DE59FAB">
            <w:pPr>
              <w:pStyle w:val="59"/>
              <w:ind w:firstLine="480"/>
              <w:rPr>
                <w:rFonts w:hint="eastAsia"/>
                <w:color w:val="auto"/>
                <w:spacing w:val="-4"/>
                <w:sz w:val="24"/>
                <w:szCs w:val="24"/>
                <w:lang w:eastAsia="zh-CN"/>
              </w:rPr>
            </w:pPr>
            <w:r>
              <w:rPr>
                <w:rFonts w:hint="default" w:ascii="Times New Roman" w:hAnsi="Times New Roman" w:eastAsia="宋体" w:cs="Times New Roman"/>
                <w:color w:val="auto"/>
                <w:sz w:val="24"/>
                <w:highlight w:val="none"/>
              </w:rPr>
              <w:t>①</w:t>
            </w:r>
            <w:r>
              <w:rPr>
                <w:rFonts w:hint="eastAsia" w:ascii="Times New Roman" w:hAnsi="Times New Roman" w:eastAsia="宋体" w:cs="Times New Roman"/>
                <w:color w:val="auto"/>
                <w:sz w:val="24"/>
                <w:highlight w:val="none"/>
                <w:lang w:eastAsia="zh-CN"/>
              </w:rPr>
              <w:t>生</w:t>
            </w:r>
            <w:r>
              <w:rPr>
                <w:rFonts w:hint="eastAsia"/>
                <w:color w:val="auto"/>
                <w:spacing w:val="-4"/>
                <w:sz w:val="24"/>
                <w:szCs w:val="24"/>
                <w:lang w:eastAsia="zh-CN"/>
              </w:rPr>
              <w:t>活污水</w:t>
            </w:r>
          </w:p>
          <w:p w14:paraId="797416F3">
            <w:pPr>
              <w:pStyle w:val="59"/>
              <w:ind w:firstLine="480"/>
              <w:rPr>
                <w:rFonts w:hint="eastAsia"/>
                <w:color w:val="auto"/>
                <w:sz w:val="24"/>
                <w:szCs w:val="24"/>
                <w:highlight w:val="none"/>
                <w:lang w:eastAsia="zh-CN"/>
              </w:rPr>
            </w:pPr>
            <w:r>
              <w:rPr>
                <w:rFonts w:hint="eastAsia"/>
                <w:color w:val="auto"/>
                <w:sz w:val="24"/>
                <w:highlight w:val="none"/>
                <w:lang w:eastAsia="zh-CN"/>
              </w:rPr>
              <w:t>本项目生活污水</w:t>
            </w:r>
            <w:r>
              <w:rPr>
                <w:rFonts w:hint="default" w:ascii="Times New Roman" w:hAnsi="Times New Roman" w:cs="Times New Roman"/>
                <w:color w:val="auto"/>
                <w:sz w:val="24"/>
                <w:szCs w:val="24"/>
              </w:rPr>
              <w:t>按用水量的80%计，则生活污水产生量为</w:t>
            </w:r>
            <w:r>
              <w:rPr>
                <w:rFonts w:hint="eastAsia" w:ascii="Times New Roman" w:hAnsi="Times New Roman" w:cs="Times New Roman"/>
                <w:color w:val="auto"/>
                <w:sz w:val="24"/>
                <w:szCs w:val="24"/>
                <w:lang w:val="en-US" w:eastAsia="zh-CN"/>
              </w:rPr>
              <w:t>422.4</w:t>
            </w:r>
            <w:r>
              <w:rPr>
                <w:rFonts w:hint="default" w:ascii="Times New Roman" w:hAnsi="Times New Roman" w:cs="Times New Roman"/>
                <w:color w:val="auto"/>
                <w:sz w:val="24"/>
                <w:szCs w:val="24"/>
              </w:rPr>
              <w:t>m</w:t>
            </w:r>
            <w:r>
              <w:rPr>
                <w:rFonts w:hint="default" w:ascii="Times New Roman" w:hAnsi="Times New Roman" w:cs="Times New Roman"/>
                <w:color w:val="auto"/>
                <w:sz w:val="24"/>
                <w:szCs w:val="24"/>
                <w:vertAlign w:val="superscript"/>
              </w:rPr>
              <w:t>3</w:t>
            </w:r>
            <w:r>
              <w:rPr>
                <w:rFonts w:hint="default" w:ascii="Times New Roman" w:hAnsi="Times New Roman" w:cs="Times New Roman"/>
                <w:color w:val="auto"/>
                <w:sz w:val="24"/>
                <w:szCs w:val="24"/>
              </w:rPr>
              <w:t>/a。</w:t>
            </w:r>
            <w:r>
              <w:rPr>
                <w:rFonts w:hint="eastAsia"/>
                <w:color w:val="auto"/>
                <w:sz w:val="24"/>
                <w:szCs w:val="24"/>
                <w:highlight w:val="none"/>
                <w:lang w:eastAsia="zh-CN"/>
              </w:rPr>
              <w:t>生活污水</w:t>
            </w:r>
            <w:r>
              <w:rPr>
                <w:rFonts w:hint="default" w:ascii="Times New Roman" w:hAnsi="Times New Roman" w:eastAsia="宋体" w:cs="Times New Roman"/>
                <w:color w:val="auto"/>
                <w:sz w:val="24"/>
                <w:szCs w:val="24"/>
              </w:rPr>
              <w:t>排入抚顺县救兵镇污水处理厂</w:t>
            </w:r>
            <w:r>
              <w:rPr>
                <w:rFonts w:hint="eastAsia"/>
                <w:color w:val="auto"/>
                <w:sz w:val="24"/>
                <w:szCs w:val="24"/>
                <w:highlight w:val="none"/>
                <w:lang w:eastAsia="zh-CN"/>
              </w:rPr>
              <w:t>。</w:t>
            </w:r>
          </w:p>
          <w:p w14:paraId="0F316614">
            <w:pPr>
              <w:pStyle w:val="59"/>
              <w:ind w:firstLine="480"/>
              <w:rPr>
                <w:rFonts w:hint="eastAsia"/>
                <w:color w:val="auto"/>
                <w:sz w:val="24"/>
                <w:szCs w:val="24"/>
                <w:highlight w:val="none"/>
                <w:lang w:eastAsia="zh-CN"/>
              </w:rPr>
            </w:pPr>
            <w:r>
              <w:rPr>
                <w:rFonts w:hint="default" w:ascii="Times New Roman" w:hAnsi="Times New Roman" w:eastAsia="宋体" w:cs="Times New Roman"/>
                <w:color w:val="auto"/>
                <w:sz w:val="24"/>
                <w:highlight w:val="none"/>
              </w:rPr>
              <w:fldChar w:fldCharType="begin"/>
            </w:r>
            <w:r>
              <w:rPr>
                <w:rFonts w:hint="default" w:ascii="Times New Roman" w:hAnsi="Times New Roman" w:eastAsia="宋体" w:cs="Times New Roman"/>
                <w:color w:val="auto"/>
                <w:sz w:val="24"/>
                <w:highlight w:val="none"/>
              </w:rPr>
              <w:instrText xml:space="preserve"> = 2 \* GB3 \* MERGEFORMAT </w:instrText>
            </w:r>
            <w:r>
              <w:rPr>
                <w:rFonts w:hint="default" w:ascii="Times New Roman" w:hAnsi="Times New Roman" w:eastAsia="宋体" w:cs="Times New Roman"/>
                <w:color w:val="auto"/>
                <w:sz w:val="24"/>
                <w:highlight w:val="none"/>
              </w:rPr>
              <w:fldChar w:fldCharType="separate"/>
            </w:r>
            <w:r>
              <w:rPr>
                <w:rFonts w:hint="default" w:ascii="Times New Roman" w:hAnsi="Times New Roman" w:eastAsia="宋体" w:cs="Times New Roman"/>
                <w:color w:val="auto"/>
                <w:sz w:val="24"/>
                <w:highlight w:val="none"/>
              </w:rPr>
              <w:t>②</w:t>
            </w:r>
            <w:r>
              <w:rPr>
                <w:rFonts w:hint="default" w:ascii="Times New Roman" w:hAnsi="Times New Roman" w:eastAsia="宋体" w:cs="Times New Roman"/>
                <w:color w:val="auto"/>
                <w:sz w:val="24"/>
                <w:highlight w:val="none"/>
              </w:rPr>
              <w:fldChar w:fldCharType="end"/>
            </w:r>
            <w:r>
              <w:rPr>
                <w:rFonts w:hint="eastAsia" w:ascii="Times New Roman" w:hAnsi="Times New Roman" w:eastAsia="宋体" w:cs="Times New Roman"/>
                <w:color w:val="auto"/>
                <w:sz w:val="24"/>
                <w:highlight w:val="none"/>
                <w:lang w:eastAsia="zh-CN"/>
              </w:rPr>
              <w:t>洒水抑尘</w:t>
            </w:r>
          </w:p>
          <w:p w14:paraId="1CE6C697">
            <w:pPr>
              <w:pStyle w:val="59"/>
              <w:ind w:firstLine="480"/>
              <w:rPr>
                <w:rFonts w:hint="eastAsia"/>
                <w:color w:val="auto"/>
                <w:sz w:val="24"/>
                <w:szCs w:val="24"/>
                <w:highlight w:val="none"/>
                <w:lang w:eastAsia="zh-CN"/>
              </w:rPr>
            </w:pPr>
            <w:r>
              <w:rPr>
                <w:rFonts w:hint="eastAsia" w:ascii="Times New Roman" w:hAnsi="Times New Roman" w:cs="Times New Roman"/>
                <w:color w:val="auto"/>
                <w:sz w:val="24"/>
                <w:szCs w:val="24"/>
                <w:lang w:val="en-US" w:eastAsia="zh-CN"/>
              </w:rPr>
              <w:t>洒水抑尘用水以自然形式全部蒸发。</w:t>
            </w:r>
          </w:p>
          <w:p w14:paraId="17C9F320">
            <w:pPr>
              <w:pStyle w:val="59"/>
              <w:ind w:firstLine="0" w:firstLineChars="0"/>
              <w:jc w:val="center"/>
              <w:rPr>
                <w:color w:val="auto"/>
              </w:rPr>
            </w:pPr>
            <w:r>
              <w:rPr>
                <w:color w:val="auto"/>
              </w:rPr>
              <w:drawing>
                <wp:inline distT="0" distB="0" distL="114300" distR="114300">
                  <wp:extent cx="4144010" cy="1774825"/>
                  <wp:effectExtent l="0" t="0" r="8890" b="15875"/>
                  <wp:docPr id="1" name="图片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409"/>
                          <pic:cNvPicPr>
                            <a:picLocks noChangeAspect="1"/>
                          </pic:cNvPicPr>
                        </pic:nvPicPr>
                        <pic:blipFill>
                          <a:blip r:embed="rId9"/>
                          <a:stretch>
                            <a:fillRect/>
                          </a:stretch>
                        </pic:blipFill>
                        <pic:spPr>
                          <a:xfrm>
                            <a:off x="0" y="0"/>
                            <a:ext cx="4144010" cy="1774825"/>
                          </a:xfrm>
                          <a:prstGeom prst="rect">
                            <a:avLst/>
                          </a:prstGeom>
                          <a:noFill/>
                          <a:ln>
                            <a:noFill/>
                          </a:ln>
                        </pic:spPr>
                      </pic:pic>
                    </a:graphicData>
                  </a:graphic>
                </wp:inline>
              </w:drawing>
            </w:r>
          </w:p>
          <w:p w14:paraId="6388A597">
            <w:pPr>
              <w:pStyle w:val="59"/>
              <w:numPr>
                <w:ilvl w:val="0"/>
                <w:numId w:val="16"/>
              </w:numPr>
              <w:ind w:left="0" w:leftChars="0" w:firstLine="0" w:firstLineChars="0"/>
              <w:jc w:val="center"/>
              <w:rPr>
                <w:b/>
                <w:bCs/>
                <w:color w:val="auto"/>
                <w:highlight w:val="none"/>
              </w:rPr>
            </w:pPr>
            <w:r>
              <w:rPr>
                <w:rFonts w:hint="eastAsia"/>
                <w:b/>
                <w:bCs/>
                <w:color w:val="auto"/>
                <w:highlight w:val="none"/>
                <w:lang w:val="en-US" w:eastAsia="zh-CN"/>
              </w:rPr>
              <w:t xml:space="preserve"> </w:t>
            </w:r>
            <w:r>
              <w:rPr>
                <w:b/>
                <w:bCs/>
                <w:color w:val="auto"/>
                <w:highlight w:val="none"/>
              </w:rPr>
              <w:t>水平衡一览图</w:t>
            </w:r>
            <w:r>
              <w:rPr>
                <w:rFonts w:hint="eastAsia"/>
                <w:b/>
                <w:bCs/>
                <w:color w:val="auto"/>
                <w:highlight w:val="none"/>
              </w:rPr>
              <w:t>（</w:t>
            </w:r>
            <w:r>
              <w:rPr>
                <w:b/>
                <w:bCs/>
                <w:color w:val="auto"/>
                <w:highlight w:val="none"/>
              </w:rPr>
              <w:t>t/</w:t>
            </w:r>
            <w:r>
              <w:rPr>
                <w:rFonts w:hint="eastAsia"/>
                <w:b/>
                <w:bCs/>
                <w:color w:val="auto"/>
                <w:highlight w:val="none"/>
              </w:rPr>
              <w:t>a）</w:t>
            </w:r>
          </w:p>
          <w:p w14:paraId="638651DA">
            <w:pPr>
              <w:pStyle w:val="59"/>
              <w:ind w:firstLine="480"/>
              <w:rPr>
                <w:color w:val="auto"/>
                <w:sz w:val="24"/>
                <w:highlight w:val="none"/>
              </w:rPr>
            </w:pPr>
            <w:r>
              <w:rPr>
                <w:color w:val="auto"/>
                <w:sz w:val="24"/>
                <w:highlight w:val="none"/>
              </w:rPr>
              <w:t>（</w:t>
            </w:r>
            <w:r>
              <w:rPr>
                <w:rFonts w:hint="eastAsia"/>
                <w:color w:val="auto"/>
                <w:sz w:val="24"/>
                <w:highlight w:val="none"/>
                <w:lang w:val="en-US" w:eastAsia="zh-CN"/>
              </w:rPr>
              <w:t>3</w:t>
            </w:r>
            <w:r>
              <w:rPr>
                <w:color w:val="auto"/>
                <w:sz w:val="24"/>
                <w:highlight w:val="none"/>
              </w:rPr>
              <w:t>）供电</w:t>
            </w:r>
          </w:p>
          <w:p w14:paraId="44F76E2F">
            <w:pPr>
              <w:pStyle w:val="59"/>
              <w:ind w:firstLine="480"/>
              <w:rPr>
                <w:color w:val="auto"/>
                <w:sz w:val="24"/>
                <w:highlight w:val="none"/>
              </w:rPr>
            </w:pPr>
            <w:r>
              <w:rPr>
                <w:color w:val="auto"/>
                <w:sz w:val="24"/>
                <w:highlight w:val="none"/>
              </w:rPr>
              <w:t>本项</w:t>
            </w:r>
            <w:r>
              <w:rPr>
                <w:color w:val="auto"/>
                <w:sz w:val="24"/>
                <w:szCs w:val="24"/>
                <w:highlight w:val="none"/>
              </w:rPr>
              <w:t>目</w:t>
            </w:r>
            <w:r>
              <w:rPr>
                <w:rFonts w:ascii="Times New Roman" w:hAnsi="Times New Roman" w:cs="Times New Roman"/>
                <w:color w:val="auto"/>
                <w:sz w:val="24"/>
                <w:szCs w:val="24"/>
              </w:rPr>
              <w:t>电源由当地市政电网接入，</w:t>
            </w:r>
            <w:r>
              <w:rPr>
                <w:color w:val="auto"/>
                <w:sz w:val="24"/>
                <w:szCs w:val="24"/>
                <w:highlight w:val="none"/>
              </w:rPr>
              <w:t>用</w:t>
            </w:r>
            <w:r>
              <w:rPr>
                <w:color w:val="auto"/>
                <w:sz w:val="24"/>
                <w:highlight w:val="none"/>
              </w:rPr>
              <w:t>电量约为</w:t>
            </w:r>
            <w:r>
              <w:rPr>
                <w:rFonts w:hint="eastAsia"/>
                <w:color w:val="auto"/>
                <w:sz w:val="24"/>
                <w:highlight w:val="none"/>
                <w:lang w:val="en-US" w:eastAsia="zh-CN"/>
              </w:rPr>
              <w:t>37.5</w:t>
            </w:r>
            <w:r>
              <w:rPr>
                <w:color w:val="auto"/>
                <w:sz w:val="24"/>
                <w:highlight w:val="none"/>
              </w:rPr>
              <w:t>万Kwh/</w:t>
            </w:r>
            <w:r>
              <w:rPr>
                <w:rFonts w:hint="eastAsia"/>
                <w:color w:val="auto"/>
                <w:sz w:val="24"/>
                <w:highlight w:val="none"/>
              </w:rPr>
              <w:t>a</w:t>
            </w:r>
            <w:r>
              <w:rPr>
                <w:color w:val="auto"/>
                <w:sz w:val="24"/>
                <w:highlight w:val="none"/>
              </w:rPr>
              <w:t>。</w:t>
            </w:r>
          </w:p>
          <w:p w14:paraId="5797EBB0">
            <w:pPr>
              <w:pStyle w:val="59"/>
              <w:ind w:firstLine="480"/>
              <w:rPr>
                <w:color w:val="auto"/>
                <w:sz w:val="24"/>
                <w:highlight w:val="none"/>
              </w:rPr>
            </w:pPr>
            <w:r>
              <w:rPr>
                <w:color w:val="auto"/>
                <w:sz w:val="24"/>
                <w:highlight w:val="none"/>
              </w:rPr>
              <w:t>（</w:t>
            </w:r>
            <w:r>
              <w:rPr>
                <w:rFonts w:hint="eastAsia"/>
                <w:color w:val="auto"/>
                <w:sz w:val="24"/>
                <w:highlight w:val="none"/>
                <w:lang w:val="en-US" w:eastAsia="zh-CN"/>
              </w:rPr>
              <w:t>4</w:t>
            </w:r>
            <w:r>
              <w:rPr>
                <w:color w:val="auto"/>
                <w:sz w:val="24"/>
                <w:highlight w:val="none"/>
              </w:rPr>
              <w:t>）</w:t>
            </w:r>
            <w:r>
              <w:rPr>
                <w:rFonts w:hint="eastAsia"/>
                <w:color w:val="auto"/>
                <w:sz w:val="24"/>
                <w:highlight w:val="none"/>
                <w:lang w:eastAsia="zh-CN"/>
              </w:rPr>
              <w:t>供</w:t>
            </w:r>
            <w:r>
              <w:rPr>
                <w:color w:val="auto"/>
                <w:sz w:val="24"/>
                <w:highlight w:val="none"/>
              </w:rPr>
              <w:t>暖</w:t>
            </w:r>
          </w:p>
          <w:p w14:paraId="0355DC73">
            <w:pPr>
              <w:pStyle w:val="59"/>
              <w:ind w:firstLine="480"/>
              <w:rPr>
                <w:rFonts w:hint="default"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eastAsia="zh-CN"/>
              </w:rPr>
              <w:t>本项目办公楼供暖采用空调取暖。</w:t>
            </w:r>
          </w:p>
          <w:p w14:paraId="442F0D94">
            <w:pPr>
              <w:pStyle w:val="69"/>
              <w:rPr>
                <w:rFonts w:hint="eastAsia"/>
                <w:color w:val="auto"/>
                <w:sz w:val="24"/>
                <w:highlight w:val="none"/>
              </w:rPr>
            </w:pPr>
            <w:r>
              <w:rPr>
                <w:rFonts w:hint="eastAsia"/>
                <w:color w:val="auto"/>
                <w:sz w:val="24"/>
                <w:highlight w:val="none"/>
              </w:rPr>
              <w:t>9、平面布置</w:t>
            </w:r>
          </w:p>
          <w:p w14:paraId="37370DDD">
            <w:pPr>
              <w:adjustRightInd w:val="0"/>
              <w:snapToGrid w:val="0"/>
              <w:ind w:firstLine="480" w:firstLineChars="200"/>
              <w:jc w:val="both"/>
              <w:rPr>
                <w:color w:val="auto"/>
                <w:sz w:val="24"/>
                <w:highlight w:val="none"/>
              </w:rPr>
            </w:pPr>
            <w:r>
              <w:rPr>
                <w:rFonts w:hint="eastAsia"/>
                <w:color w:val="auto"/>
                <w:sz w:val="24"/>
                <w:highlight w:val="none"/>
              </w:rPr>
              <w:t>本项目位于辽宁省抚顺市抚顺县救兵镇</w:t>
            </w:r>
            <w:r>
              <w:rPr>
                <w:rFonts w:hint="eastAsia"/>
                <w:color w:val="auto"/>
                <w:sz w:val="24"/>
                <w:highlight w:val="none"/>
                <w:lang w:eastAsia="zh-CN"/>
              </w:rPr>
              <w:t>康西</w:t>
            </w:r>
            <w:r>
              <w:rPr>
                <w:rFonts w:hint="eastAsia"/>
                <w:color w:val="auto"/>
                <w:sz w:val="24"/>
                <w:highlight w:val="none"/>
              </w:rPr>
              <w:t>村救兵木业和新材料产业园区B区。本项目</w:t>
            </w:r>
            <w:r>
              <w:rPr>
                <w:rFonts w:hint="eastAsia"/>
                <w:color w:val="auto"/>
                <w:sz w:val="24"/>
                <w:highlight w:val="none"/>
                <w:lang w:eastAsia="zh-CN"/>
              </w:rPr>
              <w:t>厂区及车间</w:t>
            </w:r>
            <w:r>
              <w:rPr>
                <w:rFonts w:hint="eastAsia"/>
                <w:color w:val="auto"/>
                <w:sz w:val="24"/>
                <w:highlight w:val="none"/>
              </w:rPr>
              <w:t>平面布置详见附图</w:t>
            </w:r>
            <w:r>
              <w:rPr>
                <w:rFonts w:hint="eastAsia"/>
                <w:color w:val="auto"/>
                <w:sz w:val="24"/>
                <w:highlight w:val="none"/>
                <w:lang w:val="en-US" w:eastAsia="zh-CN"/>
              </w:rPr>
              <w:t>2、附图3</w:t>
            </w:r>
            <w:r>
              <w:rPr>
                <w:rFonts w:hint="eastAsia"/>
                <w:color w:val="auto"/>
                <w:sz w:val="24"/>
                <w:highlight w:val="none"/>
              </w:rPr>
              <w:t>。</w:t>
            </w:r>
          </w:p>
        </w:tc>
      </w:tr>
      <w:tr w14:paraId="669115C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4" w:hRule="atLeast"/>
          <w:jc w:val="center"/>
        </w:trPr>
        <w:tc>
          <w:tcPr>
            <w:tcW w:w="426" w:type="dxa"/>
            <w:tcBorders>
              <w:left w:val="single" w:color="auto" w:sz="4" w:space="0"/>
            </w:tcBorders>
            <w:noWrap w:val="0"/>
            <w:vAlign w:val="center"/>
          </w:tcPr>
          <w:p w14:paraId="6C889BC7">
            <w:pPr>
              <w:pStyle w:val="21"/>
              <w:adjustRightInd w:val="0"/>
              <w:snapToGrid w:val="0"/>
              <w:spacing w:before="0" w:beforeAutospacing="0" w:after="0" w:afterAutospacing="0"/>
              <w:jc w:val="center"/>
              <w:rPr>
                <w:rFonts w:ascii="Times New Roman" w:hAnsi="Times New Roman"/>
                <w:color w:val="auto"/>
                <w:sz w:val="21"/>
                <w:szCs w:val="21"/>
                <w:highlight w:val="none"/>
                <w:lang w:val="en-US" w:eastAsia="zh-CN"/>
              </w:rPr>
            </w:pPr>
            <w:r>
              <w:rPr>
                <w:rFonts w:ascii="Times New Roman" w:hAnsi="Times New Roman"/>
                <w:color w:val="auto"/>
                <w:sz w:val="21"/>
                <w:szCs w:val="21"/>
                <w:highlight w:val="none"/>
                <w:lang w:val="en-US" w:eastAsia="zh-CN"/>
              </w:rPr>
              <w:t>工艺流程和产排污环节</w:t>
            </w:r>
          </w:p>
        </w:tc>
        <w:tc>
          <w:tcPr>
            <w:tcW w:w="8634" w:type="dxa"/>
            <w:tcBorders>
              <w:right w:val="single" w:color="auto" w:sz="4" w:space="0"/>
            </w:tcBorders>
            <w:noWrap w:val="0"/>
            <w:vAlign w:val="top"/>
          </w:tcPr>
          <w:p w14:paraId="58522F50">
            <w:pPr>
              <w:pStyle w:val="69"/>
              <w:rPr>
                <w:b w:val="0"/>
                <w:bCs/>
                <w:color w:val="auto"/>
                <w:sz w:val="24"/>
                <w:highlight w:val="none"/>
              </w:rPr>
            </w:pPr>
            <w:r>
              <w:rPr>
                <w:rFonts w:hint="eastAsia"/>
                <w:color w:val="auto"/>
                <w:sz w:val="24"/>
                <w:highlight w:val="none"/>
              </w:rPr>
              <w:t>1、</w:t>
            </w:r>
            <w:r>
              <w:rPr>
                <w:color w:val="auto"/>
                <w:sz w:val="24"/>
                <w:highlight w:val="none"/>
              </w:rPr>
              <w:t>施工期工艺流程及排污节点</w:t>
            </w:r>
          </w:p>
          <w:p w14:paraId="05BF70F3">
            <w:pPr>
              <w:pStyle w:val="75"/>
              <w:spacing w:beforeLines="50" w:line="360" w:lineRule="auto"/>
              <w:ind w:firstLine="480" w:firstLineChars="200"/>
              <w:jc w:val="both"/>
              <w:outlineLvl w:val="1"/>
              <w:rPr>
                <w:rFonts w:ascii="Times New Roman" w:hAnsi="Times New Roman" w:cs="Times New Roman"/>
                <w:color w:val="auto"/>
              </w:rPr>
            </w:pPr>
            <w:r>
              <w:rPr>
                <w:rFonts w:ascii="Times New Roman" w:hAnsi="Times New Roman" w:cs="Times New Roman"/>
                <w:color w:val="auto"/>
              </w:rPr>
              <w:t>本项目属于新建项目，</w:t>
            </w:r>
            <w:r>
              <w:rPr>
                <w:rFonts w:hint="eastAsia" w:ascii="Times New Roman" w:hAnsi="Times New Roman" w:cs="Times New Roman"/>
                <w:color w:val="auto"/>
                <w:lang w:eastAsia="zh-CN"/>
              </w:rPr>
              <w:t>租</w:t>
            </w:r>
            <w:r>
              <w:rPr>
                <w:rFonts w:ascii="Times New Roman" w:hAnsi="Times New Roman" w:cs="Times New Roman"/>
                <w:color w:val="auto"/>
              </w:rPr>
              <w:t>用现有空厂房，</w:t>
            </w:r>
            <w:r>
              <w:rPr>
                <w:rFonts w:hint="eastAsia" w:ascii="Times New Roman" w:hAnsi="Times New Roman" w:eastAsia="宋体" w:cs="Times New Roman"/>
                <w:b w:val="0"/>
                <w:color w:val="auto"/>
                <w:kern w:val="0"/>
                <w:sz w:val="24"/>
                <w:szCs w:val="24"/>
                <w:highlight w:val="none"/>
                <w:lang w:val="en-US" w:eastAsia="zh-CN" w:bidi="ar-SA"/>
              </w:rPr>
              <w:t>且项目设备安装基本已完成，施工期仅涉及挥发性有机物的环保设施/设备安装和建设，及危废贮存点的建设，</w:t>
            </w:r>
            <w:r>
              <w:rPr>
                <w:rFonts w:ascii="Times New Roman" w:hAnsi="Times New Roman" w:cs="Times New Roman"/>
                <w:color w:val="auto"/>
              </w:rPr>
              <w:t>不涉及土建工程，因此施工期环境影响较小，主要环境影响来自运营期。施工期工艺流程及主要产污节点图见下图。</w:t>
            </w:r>
          </w:p>
          <w:p w14:paraId="138CC97E">
            <w:pPr>
              <w:pStyle w:val="75"/>
              <w:tabs>
                <w:tab w:val="left" w:pos="0"/>
              </w:tabs>
              <w:spacing w:beforeLines="50" w:line="360" w:lineRule="auto"/>
              <w:jc w:val="center"/>
              <w:rPr>
                <w:rFonts w:ascii="Times New Roman" w:hAnsi="Times New Roman" w:cs="Times New Roman"/>
                <w:color w:val="auto"/>
              </w:rPr>
            </w:pPr>
            <w:r>
              <w:rPr>
                <w:color w:val="auto"/>
              </w:rPr>
              <w:drawing>
                <wp:inline distT="0" distB="0" distL="114300" distR="114300">
                  <wp:extent cx="2686685" cy="1901190"/>
                  <wp:effectExtent l="0" t="0" r="18415" b="3810"/>
                  <wp:docPr id="2" name="图片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424"/>
                          <pic:cNvPicPr>
                            <a:picLocks noChangeAspect="1"/>
                          </pic:cNvPicPr>
                        </pic:nvPicPr>
                        <pic:blipFill>
                          <a:blip r:embed="rId10"/>
                          <a:stretch>
                            <a:fillRect/>
                          </a:stretch>
                        </pic:blipFill>
                        <pic:spPr>
                          <a:xfrm>
                            <a:off x="0" y="0"/>
                            <a:ext cx="2686685" cy="1901190"/>
                          </a:xfrm>
                          <a:prstGeom prst="rect">
                            <a:avLst/>
                          </a:prstGeom>
                          <a:noFill/>
                          <a:ln>
                            <a:noFill/>
                          </a:ln>
                        </pic:spPr>
                      </pic:pic>
                    </a:graphicData>
                  </a:graphic>
                </wp:inline>
              </w:drawing>
            </w:r>
          </w:p>
          <w:p w14:paraId="1C3E1F4C">
            <w:pPr>
              <w:pStyle w:val="75"/>
              <w:numPr>
                <w:ilvl w:val="0"/>
                <w:numId w:val="17"/>
              </w:numPr>
              <w:spacing w:beforeLines="50" w:line="360" w:lineRule="auto"/>
              <w:jc w:val="center"/>
              <w:rPr>
                <w:rFonts w:ascii="Times New Roman" w:hAnsi="Times New Roman" w:cs="Times New Roman"/>
                <w:color w:val="auto"/>
                <w:sz w:val="21"/>
                <w:szCs w:val="21"/>
              </w:rPr>
            </w:pPr>
            <w:r>
              <w:rPr>
                <w:rFonts w:ascii="Times New Roman" w:hAnsi="Times New Roman" w:cs="Times New Roman"/>
                <w:b/>
                <w:bCs/>
                <w:color w:val="auto"/>
                <w:sz w:val="21"/>
                <w:szCs w:val="21"/>
              </w:rPr>
              <w:t>施工期工艺流程及排污节点图</w:t>
            </w:r>
          </w:p>
          <w:p w14:paraId="7F77945E">
            <w:pPr>
              <w:ind w:firstLine="480"/>
              <w:rPr>
                <w:color w:val="auto"/>
                <w:sz w:val="24"/>
                <w:szCs w:val="24"/>
                <w:highlight w:val="none"/>
              </w:rPr>
            </w:pPr>
          </w:p>
          <w:p w14:paraId="1A2ECA59">
            <w:pPr>
              <w:pStyle w:val="69"/>
              <w:rPr>
                <w:color w:val="auto"/>
                <w:sz w:val="24"/>
                <w:highlight w:val="none"/>
              </w:rPr>
            </w:pPr>
            <w:r>
              <w:rPr>
                <w:rFonts w:hint="eastAsia"/>
                <w:color w:val="auto"/>
                <w:sz w:val="24"/>
                <w:highlight w:val="none"/>
              </w:rPr>
              <w:t>2、</w:t>
            </w:r>
            <w:r>
              <w:rPr>
                <w:color w:val="auto"/>
                <w:sz w:val="24"/>
                <w:highlight w:val="none"/>
              </w:rPr>
              <w:t>运营期工艺流程及排污节点</w:t>
            </w:r>
          </w:p>
          <w:p w14:paraId="61BDBC3F">
            <w:pPr>
              <w:pStyle w:val="59"/>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jc w:val="left"/>
              <w:textAlignment w:val="auto"/>
              <w:rPr>
                <w:rFonts w:hint="default"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lang w:val="en-US" w:eastAsia="zh-CN"/>
              </w:rPr>
              <w:t>1</w:t>
            </w:r>
            <w:r>
              <w:rPr>
                <w:rFonts w:hint="eastAsia"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本项目</w:t>
            </w:r>
            <w:r>
              <w:rPr>
                <w:rFonts w:hint="eastAsia" w:ascii="Times New Roman" w:hAnsi="Times New Roman" w:eastAsia="宋体" w:cs="Times New Roman"/>
                <w:color w:val="auto"/>
                <w:sz w:val="24"/>
                <w:highlight w:val="none"/>
                <w:lang w:eastAsia="zh-CN"/>
              </w:rPr>
              <w:t>地</w:t>
            </w:r>
            <w:r>
              <w:rPr>
                <w:rFonts w:hint="default" w:ascii="Times New Roman" w:hAnsi="Times New Roman" w:eastAsia="宋体" w:cs="Times New Roman"/>
                <w:color w:val="auto"/>
                <w:sz w:val="24"/>
                <w:highlight w:val="none"/>
                <w:lang w:eastAsia="zh-CN"/>
              </w:rPr>
              <w:t>板生产</w:t>
            </w:r>
            <w:r>
              <w:rPr>
                <w:rFonts w:hint="default" w:ascii="Times New Roman" w:hAnsi="Times New Roman" w:eastAsia="宋体" w:cs="Times New Roman"/>
                <w:color w:val="auto"/>
                <w:sz w:val="24"/>
                <w:highlight w:val="none"/>
              </w:rPr>
              <w:t>工艺流程简述</w:t>
            </w:r>
            <w:r>
              <w:rPr>
                <w:rFonts w:hint="default" w:ascii="Times New Roman" w:hAnsi="Times New Roman" w:eastAsia="宋体" w:cs="Times New Roman"/>
                <w:color w:val="auto"/>
                <w:sz w:val="24"/>
                <w:highlight w:val="none"/>
                <w:lang w:eastAsia="zh-CN"/>
              </w:rPr>
              <w:t>如下：</w:t>
            </w:r>
          </w:p>
          <w:p w14:paraId="29C48F80">
            <w:pPr>
              <w:pStyle w:val="59"/>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jc w:val="left"/>
              <w:textAlignment w:val="auto"/>
              <w:rPr>
                <w:rFonts w:hint="default" w:ascii="Times New Roman" w:hAnsi="Times New Roman" w:eastAsia="宋体" w:cs="Times New Roman"/>
                <w:color w:val="auto"/>
                <w:sz w:val="24"/>
                <w:szCs w:val="22"/>
              </w:rPr>
            </w:pPr>
            <w:r>
              <w:rPr>
                <w:rFonts w:hint="default"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eastAsia="zh-CN"/>
              </w:rPr>
              <w:t>下料</w:t>
            </w:r>
            <w:r>
              <w:rPr>
                <w:rFonts w:hint="default"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2"/>
                <w:lang w:eastAsia="zh-CN"/>
              </w:rPr>
              <w:t>将</w:t>
            </w:r>
            <w:r>
              <w:rPr>
                <w:rFonts w:hint="default" w:ascii="Times New Roman" w:hAnsi="Times New Roman" w:eastAsia="宋体" w:cs="Times New Roman"/>
                <w:color w:val="auto"/>
                <w:sz w:val="24"/>
                <w:szCs w:val="22"/>
                <w:lang w:eastAsia="zh-CN"/>
              </w:rPr>
              <w:t>外购的</w:t>
            </w:r>
            <w:r>
              <w:rPr>
                <w:rFonts w:hint="eastAsia" w:ascii="Times New Roman" w:hAnsi="Times New Roman" w:eastAsia="宋体" w:cs="Times New Roman"/>
                <w:color w:val="auto"/>
                <w:sz w:val="24"/>
                <w:szCs w:val="22"/>
                <w:lang w:eastAsia="zh-CN"/>
              </w:rPr>
              <w:t>地板坯</w:t>
            </w:r>
            <w:r>
              <w:rPr>
                <w:rFonts w:hint="default" w:ascii="Times New Roman" w:hAnsi="Times New Roman" w:eastAsia="宋体" w:cs="Times New Roman"/>
                <w:color w:val="auto"/>
                <w:sz w:val="24"/>
                <w:szCs w:val="22"/>
                <w:lang w:eastAsia="zh-CN"/>
              </w:rPr>
              <w:t>根据需要先用</w:t>
            </w:r>
            <w:r>
              <w:rPr>
                <w:rFonts w:hint="eastAsia" w:ascii="Times New Roman" w:hAnsi="Times New Roman" w:eastAsia="宋体" w:cs="Times New Roman"/>
                <w:color w:val="auto"/>
                <w:sz w:val="24"/>
                <w:szCs w:val="22"/>
                <w:highlight w:val="none"/>
                <w:lang w:eastAsia="zh-CN"/>
              </w:rPr>
              <w:t>优选锯</w:t>
            </w:r>
            <w:r>
              <w:rPr>
                <w:rFonts w:hint="default" w:ascii="Times New Roman" w:hAnsi="Times New Roman" w:eastAsia="宋体" w:cs="Times New Roman"/>
                <w:color w:val="auto"/>
                <w:sz w:val="24"/>
                <w:szCs w:val="22"/>
                <w:highlight w:val="none"/>
                <w:lang w:eastAsia="zh-CN"/>
              </w:rPr>
              <w:t>进</w:t>
            </w:r>
            <w:r>
              <w:rPr>
                <w:rFonts w:hint="default" w:ascii="Times New Roman" w:hAnsi="Times New Roman" w:eastAsia="宋体" w:cs="Times New Roman"/>
                <w:color w:val="auto"/>
                <w:sz w:val="24"/>
                <w:szCs w:val="22"/>
                <w:lang w:eastAsia="zh-CN"/>
              </w:rPr>
              <w:t>行</w:t>
            </w:r>
            <w:r>
              <w:rPr>
                <w:rFonts w:hint="eastAsia" w:ascii="Times New Roman" w:hAnsi="Times New Roman" w:eastAsia="宋体" w:cs="Times New Roman"/>
                <w:color w:val="auto"/>
                <w:sz w:val="24"/>
                <w:szCs w:val="22"/>
                <w:lang w:eastAsia="zh-CN"/>
              </w:rPr>
              <w:t>下</w:t>
            </w:r>
            <w:r>
              <w:rPr>
                <w:rFonts w:hint="default" w:ascii="Times New Roman" w:hAnsi="Times New Roman" w:eastAsia="宋体" w:cs="Times New Roman"/>
                <w:color w:val="auto"/>
                <w:sz w:val="24"/>
                <w:szCs w:val="22"/>
                <w:lang w:eastAsia="zh-CN"/>
              </w:rPr>
              <w:t>料处理，得到符合要求尺寸的木料。下料过程会产生</w:t>
            </w:r>
            <w:r>
              <w:rPr>
                <w:rFonts w:hint="eastAsia" w:ascii="Times New Roman" w:hAnsi="Times New Roman" w:eastAsia="宋体" w:cs="Times New Roman"/>
                <w:color w:val="auto"/>
                <w:sz w:val="24"/>
                <w:szCs w:val="22"/>
                <w:lang w:eastAsia="zh-CN"/>
              </w:rPr>
              <w:t>下料废气</w:t>
            </w:r>
            <w:r>
              <w:rPr>
                <w:rFonts w:hint="eastAsia" w:ascii="Times New Roman" w:hAnsi="Times New Roman" w:eastAsia="宋体" w:cs="Times New Roman"/>
                <w:color w:val="auto"/>
                <w:sz w:val="24"/>
                <w:szCs w:val="22"/>
                <w:lang w:val="en-US" w:eastAsia="zh-CN"/>
              </w:rPr>
              <w:t>G1颗粒物、</w:t>
            </w:r>
            <w:r>
              <w:rPr>
                <w:rFonts w:hint="default" w:ascii="Times New Roman" w:hAnsi="Times New Roman" w:eastAsia="宋体" w:cs="Times New Roman"/>
                <w:color w:val="auto"/>
                <w:sz w:val="24"/>
                <w:szCs w:val="22"/>
              </w:rPr>
              <w:t>S1废木料</w:t>
            </w:r>
            <w:r>
              <w:rPr>
                <w:rFonts w:hint="default" w:ascii="Times New Roman" w:hAnsi="Times New Roman" w:eastAsia="宋体" w:cs="Times New Roman"/>
                <w:color w:val="auto"/>
                <w:sz w:val="24"/>
                <w:szCs w:val="22"/>
                <w:lang w:eastAsia="zh-CN"/>
              </w:rPr>
              <w:t>、</w:t>
            </w:r>
            <w:r>
              <w:rPr>
                <w:rFonts w:hint="default" w:ascii="Times New Roman" w:hAnsi="Times New Roman" w:eastAsia="宋体" w:cs="Times New Roman"/>
                <w:color w:val="auto"/>
                <w:sz w:val="24"/>
                <w:szCs w:val="22"/>
              </w:rPr>
              <w:t>N</w:t>
            </w:r>
            <w:r>
              <w:rPr>
                <w:rFonts w:hint="eastAsia" w:ascii="Times New Roman" w:hAnsi="Times New Roman" w:eastAsia="宋体" w:cs="Times New Roman"/>
                <w:color w:val="auto"/>
                <w:sz w:val="24"/>
                <w:szCs w:val="22"/>
                <w:lang w:val="en-US" w:eastAsia="zh-CN"/>
              </w:rPr>
              <w:t>1</w:t>
            </w:r>
            <w:r>
              <w:rPr>
                <w:rFonts w:hint="default" w:ascii="Times New Roman" w:hAnsi="Times New Roman" w:eastAsia="宋体" w:cs="Times New Roman"/>
                <w:color w:val="auto"/>
                <w:sz w:val="24"/>
                <w:szCs w:val="22"/>
              </w:rPr>
              <w:t>噪声。</w:t>
            </w:r>
          </w:p>
          <w:p w14:paraId="0AC0725D">
            <w:pPr>
              <w:pStyle w:val="59"/>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jc w:val="left"/>
              <w:textAlignment w:val="auto"/>
              <w:rPr>
                <w:rFonts w:hint="eastAsia" w:ascii="Times New Roman" w:hAnsi="Times New Roman" w:eastAsia="宋体" w:cs="Times New Roman"/>
                <w:color w:val="auto"/>
                <w:sz w:val="24"/>
                <w:szCs w:val="22"/>
                <w:lang w:eastAsia="zh-CN"/>
              </w:rPr>
            </w:pPr>
            <w:r>
              <w:rPr>
                <w:rFonts w:hint="default"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eastAsia="zh-CN"/>
              </w:rPr>
              <w:t>刨光</w:t>
            </w:r>
            <w:r>
              <w:rPr>
                <w:rFonts w:hint="default"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2"/>
                <w:lang w:eastAsia="zh-CN"/>
              </w:rPr>
              <w:t>利用压刨机对板材进行刨光，使表面光滑平整。此工序会产生G2颗粒物、N2噪声。</w:t>
            </w:r>
          </w:p>
          <w:p w14:paraId="118A156F">
            <w:pPr>
              <w:pStyle w:val="59"/>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jc w:val="left"/>
              <w:textAlignment w:val="auto"/>
              <w:rPr>
                <w:rFonts w:hint="eastAsia" w:ascii="Times New Roman" w:hAnsi="Times New Roman" w:eastAsia="宋体" w:cs="Times New Roman"/>
                <w:color w:val="auto"/>
                <w:sz w:val="24"/>
                <w:szCs w:val="22"/>
                <w:lang w:eastAsia="zh-CN"/>
              </w:rPr>
            </w:pPr>
            <w:r>
              <w:rPr>
                <w:rFonts w:hint="default"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eastAsia="zh-CN"/>
              </w:rPr>
              <w:t>梳齿、指接</w:t>
            </w:r>
            <w:r>
              <w:rPr>
                <w:rFonts w:hint="default"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eastAsia="zh-CN"/>
              </w:rPr>
              <w:t>利用梳齿机</w:t>
            </w:r>
            <w:r>
              <w:rPr>
                <w:rFonts w:hint="eastAsia" w:ascii="Times New Roman" w:hAnsi="Times New Roman" w:eastAsia="宋体" w:cs="Times New Roman"/>
                <w:color w:val="auto"/>
                <w:sz w:val="24"/>
                <w:szCs w:val="24"/>
                <w:lang w:eastAsia="zh-CN"/>
              </w:rPr>
              <w:t>切削木材端面形成齿形结构实现短木料拼接延长</w:t>
            </w:r>
            <w:r>
              <w:rPr>
                <w:rFonts w:hint="eastAsia" w:ascii="Times New Roman" w:hAnsi="Times New Roman" w:eastAsia="宋体" w:cs="Times New Roman"/>
                <w:color w:val="auto"/>
                <w:sz w:val="24"/>
                <w:szCs w:val="24"/>
                <w:lang w:eastAsia="zh-CN"/>
              </w:rPr>
              <w:t>，</w:t>
            </w:r>
            <w:r>
              <w:rPr>
                <w:rFonts w:hint="eastAsia"/>
                <w:bCs/>
                <w:color w:val="auto"/>
                <w:sz w:val="24"/>
                <w:szCs w:val="24"/>
                <w:lang w:eastAsia="zh-CN"/>
              </w:rPr>
              <w:t>现场工作人员</w:t>
            </w:r>
            <w:r>
              <w:rPr>
                <w:rFonts w:hint="eastAsia"/>
                <w:bCs/>
                <w:color w:val="auto"/>
                <w:sz w:val="24"/>
                <w:szCs w:val="24"/>
              </w:rPr>
              <w:t>对板材涂</w:t>
            </w:r>
            <w:r>
              <w:rPr>
                <w:rFonts w:hint="eastAsia"/>
                <w:bCs/>
                <w:color w:val="auto"/>
                <w:sz w:val="24"/>
                <w:szCs w:val="24"/>
                <w:lang w:eastAsia="zh-CN"/>
              </w:rPr>
              <w:t>木工胶，然后</w:t>
            </w:r>
            <w:r>
              <w:rPr>
                <w:rFonts w:hint="eastAsia"/>
                <w:bCs/>
                <w:color w:val="auto"/>
                <w:sz w:val="24"/>
                <w:szCs w:val="24"/>
              </w:rPr>
              <w:t>采用指接</w:t>
            </w:r>
            <w:r>
              <w:rPr>
                <w:rFonts w:hint="eastAsia"/>
                <w:bCs/>
                <w:color w:val="auto"/>
                <w:sz w:val="24"/>
                <w:szCs w:val="24"/>
                <w:lang w:eastAsia="zh-CN"/>
              </w:rPr>
              <w:t>机将板材</w:t>
            </w:r>
            <w:r>
              <w:rPr>
                <w:rFonts w:hint="eastAsia"/>
                <w:bCs/>
                <w:color w:val="auto"/>
                <w:sz w:val="24"/>
                <w:szCs w:val="24"/>
              </w:rPr>
              <w:t>组合在一起，</w:t>
            </w:r>
            <w:r>
              <w:rPr>
                <w:rFonts w:hint="eastAsia"/>
                <w:bCs/>
                <w:color w:val="auto"/>
                <w:sz w:val="24"/>
                <w:szCs w:val="24"/>
                <w:lang w:eastAsia="zh-CN"/>
              </w:rPr>
              <w:t>使木板</w:t>
            </w:r>
            <w:r>
              <w:rPr>
                <w:rFonts w:hint="eastAsia"/>
                <w:bCs/>
                <w:color w:val="auto"/>
                <w:sz w:val="24"/>
                <w:szCs w:val="24"/>
              </w:rPr>
              <w:t>对齿摆放整齐，加压，并定长。此工序会产生G</w:t>
            </w:r>
            <w:r>
              <w:rPr>
                <w:rFonts w:hint="eastAsia"/>
                <w:bCs/>
                <w:color w:val="auto"/>
                <w:sz w:val="24"/>
                <w:szCs w:val="24"/>
                <w:lang w:val="en-US" w:eastAsia="zh-CN"/>
              </w:rPr>
              <w:t>3</w:t>
            </w:r>
            <w:r>
              <w:rPr>
                <w:rFonts w:hint="eastAsia"/>
                <w:bCs/>
                <w:color w:val="auto"/>
                <w:sz w:val="24"/>
                <w:szCs w:val="24"/>
                <w:lang w:eastAsia="zh-CN"/>
              </w:rPr>
              <w:t>梳齿废气</w:t>
            </w:r>
            <w:r>
              <w:rPr>
                <w:rFonts w:hint="eastAsia"/>
                <w:bCs/>
                <w:color w:val="auto"/>
                <w:sz w:val="24"/>
                <w:szCs w:val="24"/>
              </w:rPr>
              <w:t>、G</w:t>
            </w:r>
            <w:r>
              <w:rPr>
                <w:rFonts w:hint="eastAsia"/>
                <w:bCs/>
                <w:color w:val="auto"/>
                <w:sz w:val="24"/>
                <w:szCs w:val="24"/>
                <w:lang w:val="en-US" w:eastAsia="zh-CN"/>
              </w:rPr>
              <w:t>4指接废气、</w:t>
            </w:r>
            <w:r>
              <w:rPr>
                <w:rFonts w:hint="eastAsia"/>
                <w:bCs/>
                <w:color w:val="auto"/>
                <w:sz w:val="24"/>
                <w:szCs w:val="24"/>
              </w:rPr>
              <w:t>N</w:t>
            </w:r>
            <w:r>
              <w:rPr>
                <w:rFonts w:hint="eastAsia"/>
                <w:bCs/>
                <w:color w:val="auto"/>
                <w:sz w:val="24"/>
                <w:szCs w:val="24"/>
                <w:lang w:val="en-US" w:eastAsia="zh-CN"/>
              </w:rPr>
              <w:t>3</w:t>
            </w:r>
            <w:r>
              <w:rPr>
                <w:rFonts w:hint="eastAsia"/>
                <w:bCs/>
                <w:color w:val="auto"/>
                <w:sz w:val="24"/>
                <w:szCs w:val="24"/>
              </w:rPr>
              <w:t>噪声、S</w:t>
            </w:r>
            <w:r>
              <w:rPr>
                <w:rFonts w:hint="eastAsia"/>
                <w:bCs/>
                <w:color w:val="auto"/>
                <w:sz w:val="24"/>
                <w:szCs w:val="24"/>
                <w:lang w:val="en-US" w:eastAsia="zh-CN"/>
              </w:rPr>
              <w:t>2废木料、</w:t>
            </w:r>
            <w:r>
              <w:rPr>
                <w:rFonts w:hint="eastAsia"/>
                <w:bCs/>
                <w:color w:val="auto"/>
                <w:sz w:val="24"/>
                <w:szCs w:val="24"/>
              </w:rPr>
              <w:t>S</w:t>
            </w:r>
            <w:r>
              <w:rPr>
                <w:rFonts w:hint="eastAsia"/>
                <w:bCs/>
                <w:color w:val="auto"/>
                <w:sz w:val="24"/>
                <w:szCs w:val="24"/>
                <w:lang w:val="en-US" w:eastAsia="zh-CN"/>
              </w:rPr>
              <w:t>3废胶渣、废胶桶</w:t>
            </w:r>
            <w:r>
              <w:rPr>
                <w:rFonts w:hint="eastAsia"/>
                <w:bCs/>
                <w:color w:val="auto"/>
                <w:sz w:val="24"/>
                <w:szCs w:val="24"/>
              </w:rPr>
              <w:t>。</w:t>
            </w:r>
          </w:p>
          <w:p w14:paraId="7931640D">
            <w:pPr>
              <w:pStyle w:val="75"/>
              <w:keepNext w:val="0"/>
              <w:keepLines w:val="0"/>
              <w:pageBreakBefore w:val="0"/>
              <w:widowControl w:val="0"/>
              <w:kinsoku/>
              <w:wordWrap/>
              <w:overflowPunct/>
              <w:topLinePunct w:val="0"/>
              <w:autoSpaceDE/>
              <w:autoSpaceDN/>
              <w:bidi w:val="0"/>
              <w:adjustRightInd/>
              <w:snapToGrid/>
              <w:spacing w:line="360" w:lineRule="auto"/>
              <w:ind w:left="0" w:right="0" w:firstLine="468" w:firstLineChars="200"/>
              <w:jc w:val="left"/>
              <w:textAlignment w:val="auto"/>
              <w:rPr>
                <w:rFonts w:hint="eastAsia" w:ascii="Times New Roman" w:hAnsi="Times New Roman" w:eastAsia="宋体" w:cs="Times New Roman"/>
                <w:color w:val="auto"/>
                <w:spacing w:val="-3"/>
                <w:sz w:val="24"/>
                <w:szCs w:val="24"/>
                <w:lang w:eastAsia="zh-CN"/>
              </w:rPr>
            </w:pPr>
            <w:r>
              <w:rPr>
                <w:rFonts w:hint="default" w:ascii="Times New Roman" w:hAnsi="Times New Roman" w:eastAsia="宋体" w:cs="Times New Roman"/>
                <w:color w:val="auto"/>
                <w:spacing w:val="-3"/>
                <w:sz w:val="24"/>
                <w:szCs w:val="24"/>
              </w:rPr>
              <w:t>【</w:t>
            </w:r>
            <w:r>
              <w:rPr>
                <w:rFonts w:hint="eastAsia" w:ascii="Times New Roman" w:hAnsi="Times New Roman" w:cs="Times New Roman"/>
                <w:color w:val="auto"/>
                <w:spacing w:val="-3"/>
                <w:sz w:val="24"/>
                <w:szCs w:val="24"/>
                <w:lang w:eastAsia="zh-CN"/>
              </w:rPr>
              <w:t>微波烘干</w:t>
            </w:r>
            <w:r>
              <w:rPr>
                <w:rFonts w:hint="default" w:ascii="Times New Roman" w:hAnsi="Times New Roman" w:eastAsia="宋体" w:cs="Times New Roman"/>
                <w:color w:val="auto"/>
                <w:spacing w:val="-3"/>
                <w:sz w:val="24"/>
                <w:szCs w:val="24"/>
              </w:rPr>
              <w:t>】</w:t>
            </w:r>
            <w:r>
              <w:rPr>
                <w:rFonts w:hint="eastAsia" w:ascii="Times New Roman" w:hAnsi="Times New Roman" w:eastAsia="宋体" w:cs="Times New Roman"/>
                <w:color w:val="auto"/>
                <w:spacing w:val="-3"/>
                <w:sz w:val="24"/>
                <w:szCs w:val="24"/>
                <w:lang w:eastAsia="zh-CN"/>
              </w:rPr>
              <w:t>因部分出口产品对含水率的要求，利用</w:t>
            </w:r>
            <w:r>
              <w:rPr>
                <w:rFonts w:hint="eastAsia" w:ascii="Times New Roman" w:hAnsi="Times New Roman" w:cs="Times New Roman"/>
                <w:color w:val="auto"/>
                <w:spacing w:val="3"/>
                <w:sz w:val="24"/>
                <w:szCs w:val="24"/>
                <w:lang w:eastAsia="zh-CN"/>
              </w:rPr>
              <w:t>微波干燥杀菌杀虫机对板材进行微波烘干。微波具备电场所特有的振荡周期短、穿透能力强、热量均匀渗透、热损失少、热效率高且环保的特点。本项目仅对出口产品进行微波烘干</w:t>
            </w:r>
            <w:r>
              <w:rPr>
                <w:rFonts w:hint="eastAsia" w:ascii="Times New Roman" w:hAnsi="Times New Roman" w:cs="Times New Roman"/>
                <w:color w:val="auto"/>
                <w:spacing w:val="3"/>
                <w:sz w:val="24"/>
                <w:szCs w:val="24"/>
                <w:lang w:val="en-US" w:eastAsia="zh-CN"/>
              </w:rPr>
              <w:t>，</w:t>
            </w:r>
            <w:r>
              <w:rPr>
                <w:rFonts w:hint="eastAsia" w:ascii="Times New Roman" w:hAnsi="Times New Roman" w:cs="Times New Roman"/>
                <w:color w:val="auto"/>
                <w:spacing w:val="3"/>
                <w:sz w:val="24"/>
                <w:szCs w:val="24"/>
                <w:lang w:eastAsia="zh-CN"/>
              </w:rPr>
              <w:t>微波干燥杀菌杀虫机</w:t>
            </w:r>
            <w:r>
              <w:rPr>
                <w:rFonts w:hint="eastAsia" w:ascii="Times New Roman" w:hAnsi="Times New Roman" w:cs="Times New Roman"/>
                <w:color w:val="auto"/>
                <w:spacing w:val="3"/>
                <w:sz w:val="24"/>
                <w:szCs w:val="24"/>
                <w:lang w:val="en-US" w:eastAsia="zh-CN"/>
              </w:rPr>
              <w:t>采用电加热，9台</w:t>
            </w:r>
            <w:r>
              <w:rPr>
                <w:rFonts w:hint="eastAsia" w:ascii="Times New Roman" w:hAnsi="Times New Roman" w:cs="Times New Roman"/>
                <w:color w:val="auto"/>
                <w:spacing w:val="3"/>
                <w:sz w:val="24"/>
                <w:szCs w:val="24"/>
                <w:lang w:eastAsia="zh-CN"/>
              </w:rPr>
              <w:t>微波干燥杀菌杀虫机采用串联方式，板材经传送带传输。</w:t>
            </w:r>
            <w:r>
              <w:rPr>
                <w:rFonts w:hint="eastAsia"/>
                <w:bCs/>
                <w:color w:val="auto"/>
                <w:sz w:val="24"/>
                <w:szCs w:val="24"/>
              </w:rPr>
              <w:t>此工序会产</w:t>
            </w:r>
            <w:r>
              <w:rPr>
                <w:rFonts w:hint="default" w:ascii="Times New Roman" w:hAnsi="Times New Roman" w:cs="Times New Roman"/>
                <w:bCs/>
                <w:color w:val="auto"/>
                <w:sz w:val="24"/>
                <w:szCs w:val="24"/>
              </w:rPr>
              <w:t>生G</w:t>
            </w:r>
            <w:r>
              <w:rPr>
                <w:rFonts w:hint="eastAsia" w:ascii="Times New Roman" w:hAnsi="Times New Roman" w:cs="Times New Roman"/>
                <w:bCs/>
                <w:color w:val="auto"/>
                <w:sz w:val="24"/>
                <w:szCs w:val="24"/>
                <w:lang w:val="en-US" w:eastAsia="zh-CN"/>
              </w:rPr>
              <w:t>5</w:t>
            </w:r>
            <w:r>
              <w:rPr>
                <w:rFonts w:hint="eastAsia"/>
                <w:bCs/>
                <w:color w:val="auto"/>
                <w:sz w:val="24"/>
                <w:szCs w:val="24"/>
                <w:lang w:eastAsia="zh-CN"/>
              </w:rPr>
              <w:t>烘干废气</w:t>
            </w:r>
            <w:r>
              <w:rPr>
                <w:rFonts w:hint="default" w:ascii="Times New Roman" w:hAnsi="Times New Roman" w:cs="Times New Roman"/>
                <w:bCs/>
                <w:color w:val="auto"/>
                <w:sz w:val="24"/>
                <w:szCs w:val="24"/>
              </w:rPr>
              <w:t>、N</w:t>
            </w:r>
            <w:r>
              <w:rPr>
                <w:rFonts w:hint="default" w:ascii="Times New Roman" w:hAnsi="Times New Roman" w:cs="Times New Roman"/>
                <w:bCs/>
                <w:color w:val="auto"/>
                <w:sz w:val="24"/>
                <w:szCs w:val="24"/>
                <w:lang w:val="en-US" w:eastAsia="zh-CN"/>
              </w:rPr>
              <w:t>4</w:t>
            </w:r>
            <w:r>
              <w:rPr>
                <w:rFonts w:hint="eastAsia"/>
                <w:bCs/>
                <w:color w:val="auto"/>
                <w:sz w:val="24"/>
                <w:szCs w:val="24"/>
              </w:rPr>
              <w:t>噪声</w:t>
            </w:r>
            <w:r>
              <w:rPr>
                <w:rFonts w:hint="eastAsia"/>
                <w:bCs/>
                <w:color w:val="auto"/>
                <w:sz w:val="24"/>
                <w:szCs w:val="24"/>
                <w:lang w:eastAsia="zh-CN"/>
              </w:rPr>
              <w:t>。</w:t>
            </w:r>
          </w:p>
          <w:p w14:paraId="1A4413B9">
            <w:pPr>
              <w:pStyle w:val="75"/>
              <w:keepNext w:val="0"/>
              <w:keepLines w:val="0"/>
              <w:pageBreakBefore w:val="0"/>
              <w:widowControl w:val="0"/>
              <w:kinsoku/>
              <w:wordWrap/>
              <w:overflowPunct/>
              <w:topLinePunct w:val="0"/>
              <w:autoSpaceDE/>
              <w:autoSpaceDN/>
              <w:bidi w:val="0"/>
              <w:adjustRightInd/>
              <w:snapToGrid/>
              <w:spacing w:line="360" w:lineRule="auto"/>
              <w:ind w:left="0" w:right="0" w:firstLine="468" w:firstLineChars="200"/>
              <w:jc w:val="left"/>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pacing w:val="-3"/>
                <w:sz w:val="24"/>
                <w:szCs w:val="24"/>
              </w:rPr>
              <w:t>【</w:t>
            </w:r>
            <w:r>
              <w:rPr>
                <w:rFonts w:hint="eastAsia" w:ascii="Times New Roman" w:hAnsi="Times New Roman" w:cs="Times New Roman"/>
                <w:color w:val="auto"/>
                <w:spacing w:val="-3"/>
                <w:sz w:val="24"/>
                <w:szCs w:val="24"/>
                <w:lang w:eastAsia="zh-CN"/>
              </w:rPr>
              <w:t>砂光</w:t>
            </w:r>
            <w:r>
              <w:rPr>
                <w:rFonts w:hint="default" w:ascii="Times New Roman" w:hAnsi="Times New Roman" w:eastAsia="宋体" w:cs="Times New Roman"/>
                <w:color w:val="auto"/>
                <w:spacing w:val="-3"/>
                <w:sz w:val="24"/>
                <w:szCs w:val="24"/>
              </w:rPr>
              <w:t>】</w:t>
            </w:r>
            <w:r>
              <w:rPr>
                <w:rFonts w:hint="eastAsia"/>
                <w:bCs/>
                <w:color w:val="auto"/>
                <w:szCs w:val="24"/>
              </w:rPr>
              <w:t>为了增加原料平整度，需要经过砂光工序对产品进行打磨</w:t>
            </w:r>
            <w:r>
              <w:rPr>
                <w:rFonts w:hint="eastAsia"/>
                <w:bCs/>
                <w:color w:val="auto"/>
                <w:szCs w:val="24"/>
                <w:lang w:eastAsia="zh-CN"/>
              </w:rPr>
              <w:t>。</w:t>
            </w:r>
            <w:r>
              <w:rPr>
                <w:rFonts w:hint="default" w:ascii="Times New Roman" w:hAnsi="Times New Roman" w:eastAsia="宋体" w:cs="Times New Roman"/>
                <w:color w:val="auto"/>
                <w:spacing w:val="-3"/>
                <w:sz w:val="24"/>
                <w:szCs w:val="24"/>
              </w:rPr>
              <w:t>采用砂光机对板材表面进行打磨找平，此工序产生砂光废气G</w:t>
            </w:r>
            <w:r>
              <w:rPr>
                <w:rFonts w:hint="eastAsia" w:ascii="Times New Roman" w:hAnsi="Times New Roman" w:cs="Times New Roman"/>
                <w:color w:val="auto"/>
                <w:spacing w:val="-3"/>
                <w:sz w:val="24"/>
                <w:szCs w:val="24"/>
                <w:lang w:val="en-US" w:eastAsia="zh-CN"/>
              </w:rPr>
              <w:t>6</w:t>
            </w:r>
            <w:r>
              <w:rPr>
                <w:rFonts w:hint="default" w:ascii="Times New Roman" w:hAnsi="Times New Roman" w:eastAsia="宋体" w:cs="Times New Roman"/>
                <w:color w:val="auto"/>
                <w:spacing w:val="-3"/>
                <w:sz w:val="24"/>
                <w:szCs w:val="24"/>
              </w:rPr>
              <w:t>颗粒物、噪声N</w:t>
            </w:r>
            <w:r>
              <w:rPr>
                <w:rFonts w:hint="eastAsia" w:ascii="Times New Roman" w:hAnsi="Times New Roman" w:cs="Times New Roman"/>
                <w:color w:val="auto"/>
                <w:spacing w:val="-3"/>
                <w:sz w:val="24"/>
                <w:szCs w:val="24"/>
                <w:lang w:val="en-US" w:eastAsia="zh-CN"/>
              </w:rPr>
              <w:t>5</w:t>
            </w:r>
            <w:r>
              <w:rPr>
                <w:rFonts w:hint="default" w:ascii="Times New Roman" w:hAnsi="Times New Roman" w:eastAsia="宋体" w:cs="Times New Roman"/>
                <w:color w:val="auto"/>
                <w:spacing w:val="-11"/>
                <w:sz w:val="24"/>
                <w:szCs w:val="24"/>
              </w:rPr>
              <w:t>。</w:t>
            </w:r>
          </w:p>
          <w:p w14:paraId="71C58884">
            <w:pPr>
              <w:pStyle w:val="75"/>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jc w:val="left"/>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rPr>
              <w:t>【</w:t>
            </w:r>
            <w:r>
              <w:rPr>
                <w:rFonts w:hint="eastAsia" w:ascii="Times New Roman" w:hAnsi="Times New Roman" w:cs="Times New Roman"/>
                <w:color w:val="auto"/>
                <w:sz w:val="24"/>
                <w:szCs w:val="24"/>
                <w:lang w:eastAsia="zh-CN"/>
              </w:rPr>
              <w:t>开槽</w:t>
            </w:r>
            <w:r>
              <w:rPr>
                <w:rFonts w:hint="default" w:ascii="Times New Roman" w:hAnsi="Times New Roman" w:eastAsia="宋体" w:cs="Times New Roman"/>
                <w:color w:val="auto"/>
                <w:sz w:val="24"/>
                <w:szCs w:val="24"/>
              </w:rPr>
              <w:t>】</w:t>
            </w:r>
            <w:r>
              <w:rPr>
                <w:rFonts w:hint="eastAsia" w:ascii="Times New Roman" w:hAnsi="Times New Roman" w:cs="Times New Roman"/>
                <w:color w:val="auto"/>
                <w:sz w:val="24"/>
                <w:szCs w:val="24"/>
                <w:lang w:eastAsia="zh-CN"/>
              </w:rPr>
              <w:t>板材</w:t>
            </w:r>
            <w:r>
              <w:rPr>
                <w:rFonts w:hint="eastAsia"/>
                <w:bCs/>
                <w:color w:val="auto"/>
                <w:szCs w:val="24"/>
              </w:rPr>
              <w:t>经过</w:t>
            </w:r>
            <w:r>
              <w:rPr>
                <w:rFonts w:hint="eastAsia"/>
                <w:bCs/>
                <w:color w:val="auto"/>
                <w:szCs w:val="24"/>
                <w:lang w:eastAsia="zh-CN"/>
              </w:rPr>
              <w:t>四面刨和履带式双端铣</w:t>
            </w:r>
            <w:r>
              <w:rPr>
                <w:rFonts w:hint="eastAsia"/>
                <w:bCs/>
                <w:color w:val="auto"/>
                <w:szCs w:val="24"/>
              </w:rPr>
              <w:t>将板边四周铣削出榫头和榫槽</w:t>
            </w:r>
            <w:r>
              <w:rPr>
                <w:rFonts w:hint="default" w:ascii="Times New Roman" w:hAnsi="Times New Roman" w:eastAsia="宋体" w:cs="Times New Roman"/>
                <w:color w:val="auto"/>
                <w:sz w:val="24"/>
                <w:szCs w:val="24"/>
              </w:rPr>
              <w:t>。此工序产生开槽废气G</w:t>
            </w:r>
            <w:r>
              <w:rPr>
                <w:rFonts w:hint="eastAsia" w:ascii="Times New Roman" w:hAnsi="Times New Roman" w:cs="Times New Roman"/>
                <w:color w:val="auto"/>
                <w:sz w:val="24"/>
                <w:szCs w:val="24"/>
                <w:lang w:val="en-US" w:eastAsia="zh-CN"/>
              </w:rPr>
              <w:t>7</w:t>
            </w:r>
            <w:r>
              <w:rPr>
                <w:rFonts w:hint="default" w:ascii="Times New Roman" w:hAnsi="Times New Roman" w:eastAsia="宋体" w:cs="Times New Roman"/>
                <w:color w:val="auto"/>
                <w:sz w:val="24"/>
                <w:szCs w:val="24"/>
              </w:rPr>
              <w:t>颗粒物、</w:t>
            </w:r>
            <w:r>
              <w:rPr>
                <w:rFonts w:hint="eastAsia" w:ascii="Times New Roman" w:hAnsi="Times New Roman" w:cs="Times New Roman"/>
                <w:color w:val="auto"/>
                <w:sz w:val="24"/>
                <w:szCs w:val="24"/>
                <w:lang w:eastAsia="zh-CN"/>
              </w:rPr>
              <w:t>废木料</w:t>
            </w:r>
            <w:r>
              <w:rPr>
                <w:rFonts w:hint="default" w:ascii="Times New Roman" w:hAnsi="Times New Roman" w:eastAsia="宋体" w:cs="Times New Roman"/>
                <w:color w:val="auto"/>
                <w:sz w:val="24"/>
                <w:szCs w:val="24"/>
              </w:rPr>
              <w:t>S</w:t>
            </w:r>
            <w:r>
              <w:rPr>
                <w:rFonts w:hint="eastAsia" w:ascii="Times New Roman" w:hAnsi="Times New Roman" w:cs="Times New Roman"/>
                <w:color w:val="auto"/>
                <w:sz w:val="24"/>
                <w:szCs w:val="24"/>
                <w:lang w:val="en-US" w:eastAsia="zh-CN"/>
              </w:rPr>
              <w:t>4</w:t>
            </w:r>
            <w:r>
              <w:rPr>
                <w:rFonts w:hint="default" w:ascii="Times New Roman" w:hAnsi="Times New Roman" w:eastAsia="宋体" w:cs="Times New Roman"/>
                <w:color w:val="auto"/>
                <w:sz w:val="24"/>
                <w:szCs w:val="24"/>
              </w:rPr>
              <w:t>、噪</w:t>
            </w:r>
            <w:r>
              <w:rPr>
                <w:rFonts w:hint="eastAsia" w:ascii="Times New Roman" w:hAnsi="Times New Roman" w:cs="Times New Roman"/>
                <w:color w:val="auto"/>
                <w:sz w:val="24"/>
                <w:szCs w:val="24"/>
                <w:lang w:eastAsia="zh-CN"/>
              </w:rPr>
              <w:t>声</w:t>
            </w:r>
            <w:r>
              <w:rPr>
                <w:rFonts w:hint="default" w:ascii="Times New Roman" w:hAnsi="Times New Roman" w:eastAsia="宋体" w:cs="Times New Roman"/>
                <w:color w:val="auto"/>
                <w:sz w:val="24"/>
                <w:szCs w:val="24"/>
              </w:rPr>
              <w:t>N</w:t>
            </w:r>
            <w:r>
              <w:rPr>
                <w:rFonts w:hint="eastAsia" w:ascii="Times New Roman" w:hAnsi="Times New Roman" w:cs="Times New Roman"/>
                <w:color w:val="auto"/>
                <w:sz w:val="24"/>
                <w:szCs w:val="24"/>
                <w:lang w:val="en-US" w:eastAsia="zh-CN"/>
              </w:rPr>
              <w:t>6</w:t>
            </w:r>
            <w:r>
              <w:rPr>
                <w:rFonts w:hint="default" w:ascii="Times New Roman" w:hAnsi="Times New Roman" w:eastAsia="宋体" w:cs="Times New Roman"/>
                <w:color w:val="auto"/>
                <w:sz w:val="24"/>
                <w:szCs w:val="24"/>
              </w:rPr>
              <w:t>。</w:t>
            </w:r>
            <w:r>
              <w:rPr>
                <w:rFonts w:hint="eastAsia" w:ascii="Times New Roman" w:hAnsi="Times New Roman" w:cs="Times New Roman"/>
                <w:color w:val="auto"/>
                <w:sz w:val="24"/>
                <w:szCs w:val="24"/>
                <w:lang w:eastAsia="zh-CN"/>
              </w:rPr>
              <w:t>根据客户需求，</w:t>
            </w:r>
            <w:r>
              <w:rPr>
                <w:rFonts w:hint="eastAsia" w:ascii="Times New Roman" w:hAnsi="Times New Roman" w:cs="Times New Roman"/>
                <w:color w:val="auto"/>
                <w:sz w:val="24"/>
                <w:szCs w:val="24"/>
                <w:lang w:eastAsia="zh-CN"/>
              </w:rPr>
              <w:t>开槽后无需辊漆的地板（产品</w:t>
            </w:r>
            <w:r>
              <w:rPr>
                <w:rFonts w:hint="eastAsia" w:ascii="Times New Roman" w:hAnsi="Times New Roman" w:cs="Times New Roman"/>
                <w:color w:val="auto"/>
                <w:sz w:val="24"/>
                <w:szCs w:val="24"/>
                <w:lang w:val="en-US" w:eastAsia="zh-CN"/>
              </w:rPr>
              <w:t>1</w:t>
            </w:r>
            <w:r>
              <w:rPr>
                <w:rFonts w:hint="eastAsia" w:ascii="Times New Roman" w:hAnsi="Times New Roman" w:cs="Times New Roman"/>
                <w:color w:val="auto"/>
                <w:sz w:val="24"/>
                <w:szCs w:val="24"/>
                <w:lang w:eastAsia="zh-CN"/>
              </w:rPr>
              <w:t>）即可进行包装</w:t>
            </w:r>
            <w:r>
              <w:rPr>
                <w:rFonts w:hint="eastAsia" w:ascii="Times New Roman" w:hAnsi="Times New Roman" w:cs="Times New Roman"/>
                <w:color w:val="auto"/>
                <w:sz w:val="24"/>
                <w:szCs w:val="24"/>
                <w:lang w:val="en-US" w:eastAsia="zh-CN"/>
              </w:rPr>
              <w:t>。</w:t>
            </w:r>
          </w:p>
          <w:p w14:paraId="0AB2DE93">
            <w:pPr>
              <w:pStyle w:val="75"/>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jc w:val="left"/>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eastAsia="zh-CN"/>
              </w:rPr>
              <w:t>轻砂光</w:t>
            </w:r>
            <w:r>
              <w:rPr>
                <w:rFonts w:hint="default" w:ascii="Times New Roman" w:hAnsi="Times New Roman" w:eastAsia="宋体" w:cs="Times New Roman"/>
                <w:color w:val="auto"/>
                <w:sz w:val="24"/>
                <w:szCs w:val="24"/>
              </w:rPr>
              <w:t>】</w:t>
            </w:r>
            <w:r>
              <w:rPr>
                <w:rFonts w:hint="eastAsia"/>
                <w:bCs/>
                <w:color w:val="auto"/>
                <w:szCs w:val="24"/>
              </w:rPr>
              <w:t>为了增加</w:t>
            </w:r>
            <w:r>
              <w:rPr>
                <w:rFonts w:hint="eastAsia"/>
                <w:bCs/>
                <w:color w:val="auto"/>
                <w:szCs w:val="24"/>
                <w:lang w:eastAsia="zh-CN"/>
              </w:rPr>
              <w:t>工件</w:t>
            </w:r>
            <w:r>
              <w:rPr>
                <w:rFonts w:hint="eastAsia"/>
                <w:bCs/>
                <w:color w:val="auto"/>
                <w:szCs w:val="24"/>
              </w:rPr>
              <w:t>平整</w:t>
            </w:r>
            <w:r>
              <w:rPr>
                <w:rFonts w:hint="eastAsia"/>
                <w:bCs/>
                <w:color w:val="auto"/>
                <w:szCs w:val="24"/>
                <w:lang w:eastAsia="zh-CN"/>
              </w:rPr>
              <w:t>和</w:t>
            </w:r>
            <w:r>
              <w:rPr>
                <w:rFonts w:hint="eastAsia"/>
                <w:bCs/>
                <w:color w:val="auto"/>
                <w:szCs w:val="24"/>
              </w:rPr>
              <w:t>光滑</w:t>
            </w:r>
            <w:r>
              <w:rPr>
                <w:rFonts w:hint="eastAsia"/>
                <w:bCs/>
                <w:color w:val="auto"/>
                <w:szCs w:val="24"/>
                <w:lang w:eastAsia="zh-CN"/>
              </w:rPr>
              <w:t>，</w:t>
            </w:r>
            <w:r>
              <w:rPr>
                <w:rFonts w:hint="eastAsia"/>
                <w:bCs/>
                <w:color w:val="auto"/>
                <w:szCs w:val="24"/>
              </w:rPr>
              <w:t>使用</w:t>
            </w:r>
            <w:r>
              <w:rPr>
                <w:rFonts w:hint="eastAsia"/>
                <w:bCs/>
                <w:color w:val="auto"/>
                <w:szCs w:val="24"/>
                <w:lang w:eastAsia="zh-CN"/>
              </w:rPr>
              <w:t>轻砂</w:t>
            </w:r>
            <w:r>
              <w:rPr>
                <w:rFonts w:hint="eastAsia"/>
                <w:bCs/>
                <w:color w:val="auto"/>
                <w:szCs w:val="24"/>
              </w:rPr>
              <w:t>机对</w:t>
            </w:r>
            <w:r>
              <w:rPr>
                <w:rFonts w:hint="eastAsia"/>
                <w:bCs/>
                <w:color w:val="auto"/>
                <w:szCs w:val="24"/>
                <w:lang w:eastAsia="zh-CN"/>
              </w:rPr>
              <w:t>板材</w:t>
            </w:r>
            <w:r>
              <w:rPr>
                <w:rFonts w:hint="eastAsia"/>
                <w:bCs/>
                <w:color w:val="auto"/>
                <w:szCs w:val="24"/>
              </w:rPr>
              <w:t>表面进行砂光，该工序产生</w:t>
            </w:r>
            <w:r>
              <w:rPr>
                <w:rFonts w:hint="default" w:ascii="Times New Roman" w:hAnsi="Times New Roman" w:eastAsia="宋体" w:cs="Times New Roman"/>
                <w:color w:val="auto"/>
                <w:sz w:val="24"/>
                <w:szCs w:val="24"/>
              </w:rPr>
              <w:t>G</w:t>
            </w:r>
            <w:r>
              <w:rPr>
                <w:rFonts w:hint="eastAsia" w:ascii="Times New Roman" w:hAnsi="Times New Roman" w:cs="Times New Roman"/>
                <w:color w:val="auto"/>
                <w:sz w:val="24"/>
                <w:szCs w:val="24"/>
                <w:lang w:val="en-US" w:eastAsia="zh-CN"/>
              </w:rPr>
              <w:t>8</w:t>
            </w:r>
            <w:r>
              <w:rPr>
                <w:rFonts w:hint="eastAsia"/>
                <w:bCs/>
                <w:color w:val="auto"/>
                <w:szCs w:val="24"/>
                <w:lang w:eastAsia="zh-CN"/>
              </w:rPr>
              <w:t>砂光</w:t>
            </w:r>
            <w:r>
              <w:rPr>
                <w:rFonts w:hint="eastAsia"/>
                <w:bCs/>
                <w:color w:val="auto"/>
                <w:szCs w:val="24"/>
              </w:rPr>
              <w:t>废气</w:t>
            </w:r>
            <w:r>
              <w:rPr>
                <w:rFonts w:hint="default" w:ascii="Times New Roman" w:hAnsi="Times New Roman" w:cs="Times New Roman"/>
                <w:bCs/>
                <w:color w:val="auto"/>
                <w:szCs w:val="24"/>
              </w:rPr>
              <w:t>、N</w:t>
            </w:r>
            <w:r>
              <w:rPr>
                <w:rFonts w:hint="eastAsia" w:ascii="Times New Roman" w:hAnsi="Times New Roman" w:cs="Times New Roman"/>
                <w:bCs/>
                <w:color w:val="auto"/>
                <w:szCs w:val="24"/>
                <w:lang w:val="en-US" w:eastAsia="zh-CN"/>
              </w:rPr>
              <w:t>7</w:t>
            </w:r>
            <w:r>
              <w:rPr>
                <w:rFonts w:hint="default" w:ascii="Times New Roman" w:hAnsi="Times New Roman" w:cs="Times New Roman"/>
                <w:bCs/>
                <w:color w:val="auto"/>
                <w:szCs w:val="24"/>
              </w:rPr>
              <w:t>噪</w:t>
            </w:r>
            <w:r>
              <w:rPr>
                <w:rFonts w:hint="eastAsia"/>
                <w:bCs/>
                <w:color w:val="auto"/>
                <w:szCs w:val="24"/>
              </w:rPr>
              <w:t>声；</w:t>
            </w:r>
          </w:p>
          <w:p w14:paraId="232FAE1B">
            <w:pPr>
              <w:pStyle w:val="75"/>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jc w:val="left"/>
              <w:textAlignment w:val="auto"/>
              <w:rPr>
                <w:rFonts w:hint="eastAsia" w:ascii="Times New Roman" w:hAnsi="Times New Roman" w:cs="Times New Roman"/>
                <w:color w:val="auto"/>
                <w:sz w:val="24"/>
                <w:szCs w:val="24"/>
                <w:lang w:eastAsia="zh-CN"/>
              </w:rPr>
            </w:pPr>
            <w:r>
              <w:rPr>
                <w:rFonts w:hint="default" w:ascii="Times New Roman" w:hAnsi="Times New Roman" w:eastAsia="宋体" w:cs="Times New Roman"/>
                <w:color w:val="auto"/>
                <w:sz w:val="24"/>
                <w:szCs w:val="24"/>
              </w:rPr>
              <w:t>【</w:t>
            </w:r>
            <w:r>
              <w:rPr>
                <w:rFonts w:hint="eastAsia" w:ascii="Times New Roman" w:hAnsi="Times New Roman" w:cs="Times New Roman"/>
                <w:color w:val="auto"/>
                <w:sz w:val="24"/>
                <w:szCs w:val="24"/>
                <w:lang w:eastAsia="zh-CN"/>
              </w:rPr>
              <w:t>辊涂、固化、油砂砂光</w:t>
            </w:r>
            <w:r>
              <w:rPr>
                <w:rFonts w:hint="default" w:ascii="Times New Roman" w:hAnsi="Times New Roman" w:eastAsia="宋体" w:cs="Times New Roman"/>
                <w:color w:val="auto"/>
                <w:sz w:val="24"/>
                <w:szCs w:val="24"/>
              </w:rPr>
              <w:t>】</w:t>
            </w:r>
            <w:r>
              <w:rPr>
                <w:rFonts w:hint="eastAsia" w:ascii="Times New Roman" w:hAnsi="Times New Roman" w:cs="Times New Roman"/>
                <w:color w:val="auto"/>
                <w:sz w:val="24"/>
                <w:szCs w:val="24"/>
                <w:lang w:eastAsia="zh-CN"/>
              </w:rPr>
              <w:t>开槽后的板材进入表面辊涂工序，</w:t>
            </w:r>
            <w:r>
              <w:rPr>
                <w:rFonts w:hint="eastAsia"/>
                <w:bCs/>
                <w:color w:val="auto"/>
                <w:szCs w:val="24"/>
              </w:rPr>
              <w:t>辊涂是以转辊</w:t>
            </w:r>
            <w:r>
              <w:rPr>
                <w:rFonts w:hint="eastAsia"/>
                <w:bCs/>
                <w:color w:val="auto"/>
                <w:szCs w:val="24"/>
                <w:lang w:eastAsia="zh-CN"/>
              </w:rPr>
              <w:t>作为</w:t>
            </w:r>
            <w:r>
              <w:rPr>
                <w:rFonts w:hint="eastAsia"/>
                <w:bCs/>
                <w:color w:val="auto"/>
                <w:szCs w:val="24"/>
              </w:rPr>
              <w:t>涂料的载体，涂料在转辊表面形成一定厚度的湿膜，然后借助转辊在转动过程中与被涂物接触，将涂料涂敷在被涂物的表面。</w:t>
            </w:r>
            <w:r>
              <w:rPr>
                <w:rFonts w:hint="eastAsia"/>
                <w:bCs/>
                <w:color w:val="auto"/>
                <w:szCs w:val="24"/>
                <w:lang w:eastAsia="zh-CN"/>
              </w:rPr>
              <w:t>在此工序中，板材先</w:t>
            </w:r>
            <w:r>
              <w:rPr>
                <w:rFonts w:hint="default" w:ascii="Times New Roman" w:hAnsi="Times New Roman" w:cs="Times New Roman"/>
                <w:bCs/>
                <w:color w:val="auto"/>
                <w:szCs w:val="24"/>
                <w:lang w:eastAsia="zh-CN"/>
              </w:rPr>
              <w:t>后经</w:t>
            </w:r>
            <w:r>
              <w:rPr>
                <w:rFonts w:hint="default" w:ascii="Times New Roman" w:hAnsi="Times New Roman" w:cs="Times New Roman"/>
                <w:bCs/>
                <w:color w:val="auto"/>
                <w:szCs w:val="24"/>
                <w:lang w:val="en-US" w:eastAsia="zh-CN"/>
              </w:rPr>
              <w:t>5次底漆辊涂+2次面漆辊涂，</w:t>
            </w:r>
            <w:r>
              <w:rPr>
                <w:rFonts w:hint="eastAsia" w:ascii="Times New Roman" w:hAnsi="Times New Roman" w:cs="Times New Roman"/>
                <w:bCs/>
                <w:color w:val="auto"/>
                <w:szCs w:val="24"/>
                <w:lang w:val="en-US" w:eastAsia="zh-CN"/>
              </w:rPr>
              <w:t>每次辊涂</w:t>
            </w:r>
            <w:r>
              <w:rPr>
                <w:rFonts w:hint="default" w:ascii="Times New Roman" w:hAnsi="Times New Roman" w:cs="Times New Roman"/>
                <w:bCs/>
                <w:color w:val="auto"/>
                <w:szCs w:val="24"/>
              </w:rPr>
              <w:t>上好漆</w:t>
            </w:r>
            <w:r>
              <w:rPr>
                <w:rFonts w:hint="default" w:ascii="Times New Roman" w:hAnsi="Times New Roman" w:cs="Times New Roman"/>
                <w:bCs/>
                <w:color w:val="auto"/>
                <w:szCs w:val="24"/>
                <w:lang w:eastAsia="zh-CN"/>
              </w:rPr>
              <w:t>料</w:t>
            </w:r>
            <w:r>
              <w:rPr>
                <w:rFonts w:hint="default" w:ascii="Times New Roman" w:hAnsi="Times New Roman" w:cs="Times New Roman"/>
                <w:bCs/>
                <w:color w:val="auto"/>
                <w:szCs w:val="24"/>
              </w:rPr>
              <w:t>的木地板毛板经紫外</w:t>
            </w:r>
            <w:r>
              <w:rPr>
                <w:rFonts w:hint="eastAsia" w:ascii="Times New Roman" w:hAnsi="Times New Roman" w:cs="Times New Roman"/>
                <w:bCs/>
                <w:color w:val="auto"/>
                <w:szCs w:val="24"/>
                <w:lang w:eastAsia="zh-CN"/>
              </w:rPr>
              <w:t>光固化机</w:t>
            </w:r>
            <w:r>
              <w:rPr>
                <w:rFonts w:hint="default" w:ascii="Times New Roman" w:hAnsi="Times New Roman" w:cs="Times New Roman"/>
                <w:bCs/>
                <w:color w:val="auto"/>
                <w:szCs w:val="24"/>
              </w:rPr>
              <w:t>照射，促使引发</w:t>
            </w:r>
            <w:r>
              <w:rPr>
                <w:rFonts w:hint="eastAsia"/>
                <w:bCs/>
                <w:color w:val="auto"/>
                <w:szCs w:val="24"/>
              </w:rPr>
              <w:t>剂分解，产生自由基，引发反应，瞬间固化成膜</w:t>
            </w:r>
            <w:r>
              <w:rPr>
                <w:rFonts w:hint="eastAsia"/>
                <w:bCs/>
                <w:color w:val="auto"/>
                <w:szCs w:val="24"/>
                <w:lang w:eastAsia="zh-CN"/>
              </w:rPr>
              <w:t>。</w:t>
            </w:r>
            <w:r>
              <w:rPr>
                <w:rFonts w:hint="eastAsia"/>
                <w:bCs/>
                <w:color w:val="auto"/>
                <w:szCs w:val="24"/>
              </w:rPr>
              <w:t>以上步骤重复</w:t>
            </w:r>
            <w:r>
              <w:rPr>
                <w:rFonts w:hint="eastAsia"/>
                <w:bCs/>
                <w:color w:val="auto"/>
                <w:szCs w:val="24"/>
                <w:lang w:eastAsia="zh-CN"/>
              </w:rPr>
              <w:t>进行共计</w:t>
            </w:r>
            <w:r>
              <w:rPr>
                <w:rFonts w:hint="default" w:ascii="Times New Roman" w:hAnsi="Times New Roman" w:cs="Times New Roman"/>
                <w:bCs/>
                <w:color w:val="auto"/>
                <w:szCs w:val="24"/>
                <w:lang w:val="en-US" w:eastAsia="zh-CN"/>
              </w:rPr>
              <w:t>7</w:t>
            </w:r>
            <w:r>
              <w:rPr>
                <w:rFonts w:hint="eastAsia"/>
                <w:bCs/>
                <w:color w:val="auto"/>
                <w:szCs w:val="24"/>
                <w:lang w:val="en-US" w:eastAsia="zh-CN"/>
              </w:rPr>
              <w:t>次（即</w:t>
            </w:r>
            <w:r>
              <w:rPr>
                <w:rFonts w:hint="default" w:ascii="Times New Roman" w:hAnsi="Times New Roman" w:cs="Times New Roman"/>
                <w:bCs/>
                <w:color w:val="auto"/>
                <w:szCs w:val="24"/>
                <w:lang w:val="en-US" w:eastAsia="zh-CN"/>
              </w:rPr>
              <w:t>5次底漆辊涂</w:t>
            </w:r>
            <w:r>
              <w:rPr>
                <w:rFonts w:hint="eastAsia" w:ascii="Times New Roman" w:hAnsi="Times New Roman" w:cs="Times New Roman"/>
                <w:bCs/>
                <w:color w:val="auto"/>
                <w:szCs w:val="24"/>
                <w:lang w:val="en-US" w:eastAsia="zh-CN"/>
              </w:rPr>
              <w:t>+5次紫外光固化</w:t>
            </w:r>
            <w:r>
              <w:rPr>
                <w:rFonts w:hint="default" w:ascii="Times New Roman" w:hAnsi="Times New Roman" w:cs="Times New Roman"/>
                <w:bCs/>
                <w:color w:val="auto"/>
                <w:szCs w:val="24"/>
                <w:lang w:val="en-US" w:eastAsia="zh-CN"/>
              </w:rPr>
              <w:t>+2次面漆辊涂</w:t>
            </w:r>
            <w:r>
              <w:rPr>
                <w:rFonts w:hint="eastAsia" w:ascii="Times New Roman" w:hAnsi="Times New Roman" w:cs="Times New Roman"/>
                <w:bCs/>
                <w:color w:val="auto"/>
                <w:szCs w:val="24"/>
                <w:lang w:val="en-US" w:eastAsia="zh-CN"/>
              </w:rPr>
              <w:t>+2次紫外光固化</w:t>
            </w:r>
            <w:r>
              <w:rPr>
                <w:rFonts w:hint="eastAsia"/>
                <w:bCs/>
                <w:color w:val="auto"/>
                <w:szCs w:val="24"/>
                <w:lang w:val="en-US" w:eastAsia="zh-CN"/>
              </w:rPr>
              <w:t>）</w:t>
            </w:r>
            <w:r>
              <w:rPr>
                <w:rFonts w:hint="eastAsia"/>
                <w:bCs/>
                <w:color w:val="auto"/>
                <w:szCs w:val="24"/>
              </w:rPr>
              <w:t>，即可完成</w:t>
            </w:r>
            <w:r>
              <w:rPr>
                <w:rFonts w:hint="eastAsia"/>
                <w:bCs/>
                <w:color w:val="auto"/>
                <w:szCs w:val="24"/>
                <w:lang w:eastAsia="zh-CN"/>
              </w:rPr>
              <w:t>漆料辊涂</w:t>
            </w:r>
            <w:r>
              <w:rPr>
                <w:rFonts w:hint="eastAsia"/>
                <w:bCs/>
                <w:color w:val="auto"/>
                <w:szCs w:val="24"/>
              </w:rPr>
              <w:t>上漆与固化工序</w:t>
            </w:r>
            <w:r>
              <w:rPr>
                <w:rFonts w:hint="eastAsia" w:ascii="Times New Roman" w:hAnsi="Times New Roman" w:cs="Times New Roman"/>
                <w:color w:val="auto"/>
                <w:sz w:val="24"/>
                <w:szCs w:val="24"/>
                <w:lang w:eastAsia="zh-CN"/>
              </w:rPr>
              <w:t>。</w:t>
            </w:r>
          </w:p>
          <w:p w14:paraId="29C31875">
            <w:pPr>
              <w:pStyle w:val="75"/>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jc w:val="left"/>
              <w:textAlignment w:val="auto"/>
              <w:rPr>
                <w:rFonts w:hint="eastAsia" w:ascii="Times New Roman" w:hAnsi="Times New Roman" w:cs="Times New Roman"/>
                <w:color w:val="auto"/>
                <w:sz w:val="24"/>
                <w:szCs w:val="24"/>
                <w:lang w:eastAsia="zh-CN"/>
              </w:rPr>
            </w:pPr>
            <w:r>
              <w:rPr>
                <w:rFonts w:hint="eastAsia" w:ascii="Times New Roman" w:hAnsi="Times New Roman" w:cs="Times New Roman"/>
                <w:color w:val="auto"/>
                <w:sz w:val="24"/>
                <w:szCs w:val="24"/>
                <w:lang w:eastAsia="zh-CN"/>
              </w:rPr>
              <w:t>涂装采用辊涂工艺，不产生漆雾，涂着效率99%。极少量涂料在辊涂过程中因设备滴漏、辊筒边缘微量飞溅等原因，未能完全利用，形成残留漆渣。</w:t>
            </w:r>
          </w:p>
          <w:p w14:paraId="537B8AD1">
            <w:pPr>
              <w:pStyle w:val="75"/>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jc w:val="left"/>
              <w:textAlignment w:val="auto"/>
              <w:rPr>
                <w:rFonts w:hint="eastAsia" w:ascii="Times New Roman" w:hAnsi="Times New Roman" w:eastAsia="宋体" w:cs="Times New Roman"/>
                <w:color w:val="auto"/>
                <w:sz w:val="24"/>
                <w:szCs w:val="24"/>
                <w:lang w:eastAsia="zh-CN"/>
              </w:rPr>
            </w:pPr>
            <w:r>
              <w:rPr>
                <w:rFonts w:hint="default" w:ascii="Times New Roman" w:hAnsi="Times New Roman" w:cs="Times New Roman"/>
                <w:bCs/>
                <w:color w:val="auto"/>
                <w:szCs w:val="24"/>
              </w:rPr>
              <w:t>为了增加</w:t>
            </w:r>
            <w:r>
              <w:rPr>
                <w:rFonts w:hint="default" w:ascii="Times New Roman" w:hAnsi="Times New Roman" w:cs="Times New Roman"/>
                <w:bCs/>
                <w:color w:val="auto"/>
                <w:szCs w:val="24"/>
                <w:lang w:eastAsia="zh-CN"/>
              </w:rPr>
              <w:t>工件</w:t>
            </w:r>
            <w:r>
              <w:rPr>
                <w:rFonts w:hint="default" w:ascii="Times New Roman" w:hAnsi="Times New Roman" w:cs="Times New Roman"/>
                <w:bCs/>
                <w:color w:val="auto"/>
                <w:szCs w:val="24"/>
              </w:rPr>
              <w:t>平整</w:t>
            </w:r>
            <w:r>
              <w:rPr>
                <w:rFonts w:hint="default" w:ascii="Times New Roman" w:hAnsi="Times New Roman" w:cs="Times New Roman"/>
                <w:bCs/>
                <w:color w:val="auto"/>
                <w:szCs w:val="24"/>
                <w:lang w:eastAsia="zh-CN"/>
              </w:rPr>
              <w:t>和</w:t>
            </w:r>
            <w:r>
              <w:rPr>
                <w:rFonts w:hint="default" w:ascii="Times New Roman" w:hAnsi="Times New Roman" w:cs="Times New Roman"/>
                <w:bCs/>
                <w:color w:val="auto"/>
                <w:szCs w:val="24"/>
              </w:rPr>
              <w:t>光滑</w:t>
            </w:r>
            <w:r>
              <w:rPr>
                <w:rFonts w:hint="default" w:ascii="Times New Roman" w:hAnsi="Times New Roman" w:cs="Times New Roman"/>
                <w:bCs/>
                <w:color w:val="auto"/>
                <w:szCs w:val="24"/>
                <w:lang w:eastAsia="zh-CN"/>
              </w:rPr>
              <w:t>，</w:t>
            </w:r>
            <w:r>
              <w:rPr>
                <w:rFonts w:hint="default" w:ascii="Times New Roman" w:hAnsi="Times New Roman" w:cs="Times New Roman"/>
                <w:bCs/>
                <w:color w:val="auto"/>
                <w:szCs w:val="24"/>
              </w:rPr>
              <w:t>使用</w:t>
            </w:r>
            <w:r>
              <w:rPr>
                <w:rFonts w:hint="default" w:ascii="Times New Roman" w:hAnsi="Times New Roman" w:cs="Times New Roman"/>
                <w:bCs/>
                <w:color w:val="auto"/>
                <w:szCs w:val="24"/>
                <w:lang w:eastAsia="zh-CN"/>
              </w:rPr>
              <w:t>油砂</w:t>
            </w:r>
            <w:r>
              <w:rPr>
                <w:rFonts w:hint="default" w:ascii="Times New Roman" w:hAnsi="Times New Roman" w:cs="Times New Roman"/>
                <w:bCs/>
                <w:color w:val="auto"/>
                <w:szCs w:val="24"/>
              </w:rPr>
              <w:t>机对表面进行</w:t>
            </w:r>
            <w:r>
              <w:rPr>
                <w:rFonts w:hint="default" w:ascii="Times New Roman" w:hAnsi="Times New Roman" w:cs="Times New Roman"/>
                <w:bCs/>
                <w:color w:val="auto"/>
                <w:szCs w:val="24"/>
                <w:lang w:eastAsia="zh-CN"/>
              </w:rPr>
              <w:t>油砂砂光</w:t>
            </w:r>
            <w:r>
              <w:rPr>
                <w:rFonts w:hint="default" w:ascii="Times New Roman" w:hAnsi="Times New Roman" w:cs="Times New Roman"/>
                <w:bCs/>
                <w:color w:val="auto"/>
                <w:szCs w:val="24"/>
              </w:rPr>
              <w:t>，</w:t>
            </w:r>
            <w:r>
              <w:rPr>
                <w:rFonts w:hint="default" w:ascii="Times New Roman" w:hAnsi="Times New Roman" w:cs="Times New Roman"/>
                <w:bCs/>
                <w:color w:val="auto"/>
                <w:szCs w:val="24"/>
                <w:lang w:eastAsia="zh-CN"/>
              </w:rPr>
              <w:t>油砂工段在第</w:t>
            </w:r>
            <w:r>
              <w:rPr>
                <w:rFonts w:hint="default" w:ascii="Times New Roman" w:hAnsi="Times New Roman" w:cs="Times New Roman"/>
                <w:bCs/>
                <w:color w:val="auto"/>
                <w:szCs w:val="24"/>
                <w:lang w:val="en-US" w:eastAsia="zh-CN"/>
              </w:rPr>
              <w:t>2、3、4</w:t>
            </w:r>
            <w:r>
              <w:rPr>
                <w:rFonts w:hint="eastAsia"/>
                <w:bCs/>
                <w:color w:val="auto"/>
                <w:szCs w:val="24"/>
                <w:lang w:val="en-US" w:eastAsia="zh-CN"/>
              </w:rPr>
              <w:t>次底漆辊涂+紫外光固化之后。</w:t>
            </w:r>
            <w:r>
              <w:rPr>
                <w:rFonts w:hint="eastAsia" w:ascii="Times New Roman" w:hAnsi="Times New Roman" w:cs="Times New Roman"/>
                <w:color w:val="auto"/>
                <w:sz w:val="24"/>
                <w:szCs w:val="24"/>
                <w:lang w:eastAsia="zh-CN"/>
              </w:rPr>
              <w:t>紫外光固化机的</w:t>
            </w:r>
            <w:r>
              <w:rPr>
                <w:rFonts w:hint="default" w:ascii="Times New Roman" w:hAnsi="Times New Roman" w:eastAsia="宋体" w:cs="Times New Roman"/>
                <w:color w:val="auto"/>
                <w:sz w:val="24"/>
                <w:szCs w:val="24"/>
              </w:rPr>
              <w:t>紫外灯管一年更换一次。</w:t>
            </w:r>
            <w:r>
              <w:rPr>
                <w:rFonts w:hint="default" w:ascii="Times New Roman" w:hAnsi="Times New Roman" w:eastAsia="宋体" w:cs="Times New Roman"/>
                <w:color w:val="auto"/>
                <w:sz w:val="24"/>
                <w:szCs w:val="24"/>
              </w:rPr>
              <w:t>此工序</w:t>
            </w:r>
            <w:r>
              <w:rPr>
                <w:rFonts w:hint="eastAsia" w:ascii="Times New Roman" w:hAnsi="Times New Roman" w:eastAsia="宋体" w:cs="Times New Roman"/>
                <w:color w:val="auto"/>
                <w:sz w:val="24"/>
                <w:szCs w:val="24"/>
                <w:lang w:eastAsia="zh-CN"/>
              </w:rPr>
              <w:t>会产生</w:t>
            </w:r>
            <w:r>
              <w:rPr>
                <w:rFonts w:hint="default" w:ascii="Times New Roman" w:hAnsi="Times New Roman" w:eastAsia="宋体" w:cs="Times New Roman"/>
                <w:color w:val="auto"/>
                <w:sz w:val="24"/>
                <w:szCs w:val="24"/>
              </w:rPr>
              <w:t>涂装固化废气G</w:t>
            </w:r>
            <w:r>
              <w:rPr>
                <w:rFonts w:hint="eastAsia" w:ascii="Times New Roman" w:hAnsi="Times New Roman" w:cs="Times New Roman"/>
                <w:color w:val="auto"/>
                <w:sz w:val="24"/>
                <w:szCs w:val="24"/>
                <w:lang w:val="en-US" w:eastAsia="zh-CN"/>
              </w:rPr>
              <w:t>9</w:t>
            </w:r>
            <w:r>
              <w:rPr>
                <w:rFonts w:hint="eastAsia" w:ascii="Times New Roman" w:hAnsi="Times New Roman" w:cs="Times New Roman"/>
                <w:color w:val="auto"/>
                <w:sz w:val="24"/>
                <w:szCs w:val="24"/>
                <w:lang w:eastAsia="zh-CN"/>
              </w:rPr>
              <w:t>挥发性有机物</w:t>
            </w:r>
            <w:r>
              <w:rPr>
                <w:rFonts w:hint="default" w:ascii="Times New Roman" w:hAnsi="Times New Roman" w:eastAsia="宋体" w:cs="Times New Roman"/>
                <w:color w:val="auto"/>
                <w:sz w:val="24"/>
                <w:szCs w:val="24"/>
              </w:rPr>
              <w:t>、</w:t>
            </w:r>
            <w:r>
              <w:rPr>
                <w:rFonts w:hint="eastAsia" w:ascii="Times New Roman" w:hAnsi="Times New Roman" w:cs="Times New Roman"/>
                <w:color w:val="auto"/>
                <w:sz w:val="24"/>
                <w:szCs w:val="24"/>
                <w:lang w:eastAsia="zh-CN"/>
              </w:rPr>
              <w:t>油砂废气</w:t>
            </w:r>
            <w:r>
              <w:rPr>
                <w:rFonts w:hint="eastAsia" w:ascii="Times New Roman" w:hAnsi="Times New Roman" w:cs="Times New Roman"/>
                <w:color w:val="auto"/>
                <w:sz w:val="24"/>
                <w:szCs w:val="24"/>
                <w:lang w:val="en-US" w:eastAsia="zh-CN"/>
              </w:rPr>
              <w:t>G10颗粒物、</w:t>
            </w:r>
            <w:r>
              <w:rPr>
                <w:rFonts w:hint="default" w:ascii="Times New Roman" w:hAnsi="Times New Roman" w:eastAsia="宋体" w:cs="Times New Roman"/>
                <w:color w:val="auto"/>
                <w:sz w:val="24"/>
                <w:szCs w:val="24"/>
              </w:rPr>
              <w:t>废紫外灯管S</w:t>
            </w:r>
            <w:r>
              <w:rPr>
                <w:rFonts w:hint="eastAsia" w:ascii="Times New Roman" w:hAnsi="Times New Roman" w:cs="Times New Roman"/>
                <w:color w:val="auto"/>
                <w:sz w:val="24"/>
                <w:szCs w:val="24"/>
                <w:lang w:val="en-US" w:eastAsia="zh-CN"/>
              </w:rPr>
              <w:t>5</w:t>
            </w:r>
            <w:r>
              <w:rPr>
                <w:rFonts w:hint="default" w:ascii="Times New Roman" w:hAnsi="Times New Roman" w:eastAsia="宋体" w:cs="Times New Roman"/>
                <w:color w:val="auto"/>
                <w:sz w:val="24"/>
                <w:szCs w:val="24"/>
              </w:rPr>
              <w:t>、废漆桶S</w:t>
            </w:r>
            <w:r>
              <w:rPr>
                <w:rFonts w:hint="eastAsia" w:ascii="Times New Roman" w:hAnsi="Times New Roman" w:cs="Times New Roman"/>
                <w:color w:val="auto"/>
                <w:sz w:val="24"/>
                <w:szCs w:val="24"/>
                <w:lang w:val="en-US" w:eastAsia="zh-CN"/>
              </w:rPr>
              <w:t>6</w:t>
            </w:r>
            <w:r>
              <w:rPr>
                <w:rFonts w:hint="default" w:ascii="Times New Roman" w:hAnsi="Times New Roman" w:eastAsia="宋体" w:cs="Times New Roman"/>
                <w:color w:val="auto"/>
                <w:sz w:val="24"/>
                <w:szCs w:val="24"/>
              </w:rPr>
              <w:t>、漆渣S</w:t>
            </w:r>
            <w:r>
              <w:rPr>
                <w:rFonts w:hint="eastAsia" w:ascii="Times New Roman" w:hAnsi="Times New Roman" w:cs="Times New Roman"/>
                <w:color w:val="auto"/>
                <w:sz w:val="24"/>
                <w:szCs w:val="24"/>
                <w:lang w:val="en-US" w:eastAsia="zh-CN"/>
              </w:rPr>
              <w:t>7、废活性炭</w:t>
            </w:r>
            <w:r>
              <w:rPr>
                <w:rFonts w:hint="eastAsia" w:ascii="Times New Roman" w:hAnsi="Times New Roman" w:cs="Times New Roman"/>
                <w:color w:val="auto"/>
                <w:sz w:val="24"/>
                <w:szCs w:val="24"/>
                <w:lang w:val="en-US" w:eastAsia="zh-CN"/>
              </w:rPr>
              <w:t>S8、废辊筒S9</w:t>
            </w:r>
            <w:r>
              <w:rPr>
                <w:rFonts w:hint="default" w:ascii="Times New Roman" w:hAnsi="Times New Roman" w:eastAsia="宋体" w:cs="Times New Roman"/>
                <w:color w:val="auto"/>
                <w:sz w:val="24"/>
                <w:szCs w:val="24"/>
              </w:rPr>
              <w:t>和噪声N</w:t>
            </w:r>
            <w:r>
              <w:rPr>
                <w:rFonts w:hint="eastAsia" w:ascii="Times New Roman" w:hAnsi="Times New Roman" w:cs="Times New Roman"/>
                <w:color w:val="auto"/>
                <w:sz w:val="24"/>
                <w:szCs w:val="24"/>
                <w:lang w:val="en-US" w:eastAsia="zh-CN"/>
              </w:rPr>
              <w:t>8</w:t>
            </w:r>
            <w:r>
              <w:rPr>
                <w:rFonts w:hint="eastAsia" w:ascii="Times New Roman" w:hAnsi="Times New Roman" w:cs="Times New Roman"/>
                <w:color w:val="auto"/>
                <w:sz w:val="24"/>
                <w:szCs w:val="24"/>
                <w:lang w:eastAsia="zh-CN"/>
              </w:rPr>
              <w:t>。</w:t>
            </w:r>
          </w:p>
          <w:p w14:paraId="34B2E61F">
            <w:pPr>
              <w:pStyle w:val="59"/>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jc w:val="left"/>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pacing w:val="-2"/>
                <w:sz w:val="24"/>
                <w:szCs w:val="24"/>
              </w:rPr>
              <w:t>【包装】对</w:t>
            </w:r>
            <w:r>
              <w:rPr>
                <w:rFonts w:hint="eastAsia" w:ascii="Times New Roman" w:hAnsi="Times New Roman" w:eastAsia="宋体" w:cs="Times New Roman"/>
                <w:color w:val="auto"/>
                <w:spacing w:val="-2"/>
                <w:sz w:val="24"/>
                <w:szCs w:val="24"/>
                <w:lang w:eastAsia="zh-CN"/>
              </w:rPr>
              <w:t>辊漆</w:t>
            </w:r>
            <w:r>
              <w:rPr>
                <w:rFonts w:hint="default" w:ascii="Times New Roman" w:hAnsi="Times New Roman" w:eastAsia="宋体" w:cs="Times New Roman"/>
                <w:color w:val="auto"/>
                <w:spacing w:val="-2"/>
                <w:sz w:val="24"/>
                <w:szCs w:val="24"/>
              </w:rPr>
              <w:t>后的产品送入</w:t>
            </w:r>
            <w:r>
              <w:rPr>
                <w:rFonts w:hint="eastAsia" w:ascii="Times New Roman" w:hAnsi="Times New Roman" w:eastAsia="宋体" w:cs="Times New Roman"/>
                <w:color w:val="auto"/>
                <w:spacing w:val="-2"/>
                <w:sz w:val="24"/>
                <w:szCs w:val="24"/>
                <w:lang w:eastAsia="zh-CN"/>
              </w:rPr>
              <w:t>热风包装机</w:t>
            </w:r>
            <w:r>
              <w:rPr>
                <w:rFonts w:hint="default" w:ascii="Times New Roman" w:hAnsi="Times New Roman" w:eastAsia="宋体" w:cs="Times New Roman"/>
                <w:color w:val="auto"/>
                <w:spacing w:val="-2"/>
                <w:sz w:val="24"/>
                <w:szCs w:val="24"/>
              </w:rPr>
              <w:t>进行包装。</w:t>
            </w:r>
            <w:r>
              <w:rPr>
                <w:rFonts w:hint="eastAsia" w:ascii="Times New Roman" w:hAnsi="Times New Roman" w:eastAsia="宋体" w:cs="Times New Roman"/>
                <w:color w:val="auto"/>
                <w:spacing w:val="-2"/>
                <w:sz w:val="24"/>
                <w:szCs w:val="24"/>
                <w:lang w:eastAsia="zh-CN"/>
              </w:rPr>
              <w:t>热风包装机</w:t>
            </w:r>
            <w:r>
              <w:rPr>
                <w:rFonts w:hint="eastAsia" w:ascii="Times New Roman" w:hAnsi="Times New Roman" w:cs="Times New Roman"/>
                <w:color w:val="auto"/>
                <w:spacing w:val="1"/>
                <w:sz w:val="24"/>
                <w:szCs w:val="24"/>
                <w:lang w:val="en-US" w:eastAsia="zh-CN"/>
              </w:rPr>
              <w:t>采用电加热管，升温产生的热量经内置风扇吹出热量均匀的热风。</w:t>
            </w:r>
            <w:r>
              <w:rPr>
                <w:rFonts w:hint="default" w:ascii="Times New Roman" w:hAnsi="Times New Roman" w:eastAsia="宋体" w:cs="Times New Roman"/>
                <w:color w:val="auto"/>
                <w:spacing w:val="-2"/>
                <w:sz w:val="24"/>
                <w:szCs w:val="24"/>
              </w:rPr>
              <w:t>此工序会产生机器噪声N</w:t>
            </w:r>
            <w:r>
              <w:rPr>
                <w:rFonts w:hint="eastAsia" w:ascii="Times New Roman" w:hAnsi="Times New Roman" w:eastAsia="宋体" w:cs="Times New Roman"/>
                <w:color w:val="auto"/>
                <w:spacing w:val="-2"/>
                <w:sz w:val="24"/>
                <w:szCs w:val="24"/>
                <w:lang w:val="en-US" w:eastAsia="zh-CN"/>
              </w:rPr>
              <w:t>9</w:t>
            </w:r>
            <w:r>
              <w:rPr>
                <w:rFonts w:hint="default" w:ascii="Times New Roman" w:hAnsi="Times New Roman" w:eastAsia="宋体" w:cs="Times New Roman"/>
                <w:color w:val="auto"/>
                <w:spacing w:val="-2"/>
                <w:sz w:val="24"/>
                <w:szCs w:val="24"/>
              </w:rPr>
              <w:t>，</w:t>
            </w:r>
            <w:r>
              <w:rPr>
                <w:rFonts w:hint="default" w:ascii="Times New Roman" w:hAnsi="Times New Roman" w:eastAsia="宋体" w:cs="Times New Roman"/>
                <w:color w:val="auto"/>
                <w:spacing w:val="-5"/>
                <w:sz w:val="24"/>
                <w:szCs w:val="24"/>
              </w:rPr>
              <w:t>以及废弃包装</w:t>
            </w:r>
            <w:r>
              <w:rPr>
                <w:rFonts w:hint="eastAsia" w:ascii="Times New Roman" w:hAnsi="Times New Roman" w:eastAsia="宋体" w:cs="Times New Roman"/>
                <w:color w:val="auto"/>
                <w:spacing w:val="-5"/>
                <w:sz w:val="24"/>
                <w:szCs w:val="24"/>
                <w:lang w:eastAsia="zh-CN"/>
              </w:rPr>
              <w:t>膜</w:t>
            </w:r>
            <w:r>
              <w:rPr>
                <w:rFonts w:hint="eastAsia" w:ascii="Times New Roman" w:hAnsi="Times New Roman" w:eastAsia="宋体" w:cs="Times New Roman"/>
                <w:color w:val="auto"/>
                <w:spacing w:val="-5"/>
                <w:sz w:val="24"/>
                <w:szCs w:val="24"/>
                <w:lang w:val="en-US" w:eastAsia="zh-CN"/>
              </w:rPr>
              <w:t>S10</w:t>
            </w:r>
            <w:r>
              <w:rPr>
                <w:rFonts w:hint="default" w:ascii="Times New Roman" w:hAnsi="Times New Roman" w:eastAsia="宋体" w:cs="Times New Roman"/>
                <w:color w:val="auto"/>
                <w:spacing w:val="-5"/>
                <w:sz w:val="24"/>
                <w:szCs w:val="24"/>
              </w:rPr>
              <w:t>。</w:t>
            </w:r>
          </w:p>
          <w:p w14:paraId="1D259E1C">
            <w:pPr>
              <w:pStyle w:val="59"/>
              <w:ind w:firstLine="480"/>
              <w:rPr>
                <w:rFonts w:hint="default" w:ascii="Times New Roman" w:hAnsi="Times New Roman" w:cs="Times New Roman"/>
                <w:color w:val="auto"/>
                <w:highlight w:val="none"/>
              </w:rPr>
            </w:pPr>
            <w:r>
              <w:rPr>
                <w:rFonts w:hint="default" w:ascii="Times New Roman" w:hAnsi="Times New Roman" w:cs="Times New Roman"/>
                <w:color w:val="auto"/>
                <w:sz w:val="24"/>
                <w:highlight w:val="none"/>
              </w:rPr>
              <w:t>本项目</w:t>
            </w:r>
            <w:r>
              <w:rPr>
                <w:rFonts w:hint="eastAsia" w:ascii="Times New Roman" w:hAnsi="Times New Roman" w:cs="Times New Roman"/>
                <w:color w:val="auto"/>
                <w:sz w:val="24"/>
                <w:highlight w:val="none"/>
                <w:lang w:eastAsia="zh-CN"/>
              </w:rPr>
              <w:t>胶合板生产</w:t>
            </w:r>
            <w:r>
              <w:rPr>
                <w:rFonts w:hint="default" w:ascii="Times New Roman" w:hAnsi="Times New Roman" w:cs="Times New Roman"/>
                <w:color w:val="auto"/>
                <w:sz w:val="24"/>
                <w:highlight w:val="none"/>
              </w:rPr>
              <w:t>工艺过程见下图。</w:t>
            </w:r>
          </w:p>
          <w:p w14:paraId="4F5210B4">
            <w:pPr>
              <w:pStyle w:val="62"/>
              <w:jc w:val="center"/>
              <w:rPr>
                <w:color w:val="auto"/>
                <w:highlight w:val="none"/>
              </w:rPr>
            </w:pPr>
            <w:r>
              <w:drawing>
                <wp:inline distT="0" distB="0" distL="114300" distR="114300">
                  <wp:extent cx="4438650" cy="7581900"/>
                  <wp:effectExtent l="9525" t="9525" r="9525" b="9525"/>
                  <wp:docPr id="3" name="图片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426"/>
                          <pic:cNvPicPr>
                            <a:picLocks noChangeAspect="1"/>
                          </pic:cNvPicPr>
                        </pic:nvPicPr>
                        <pic:blipFill>
                          <a:blip r:embed="rId11"/>
                          <a:stretch>
                            <a:fillRect/>
                          </a:stretch>
                        </pic:blipFill>
                        <pic:spPr>
                          <a:xfrm>
                            <a:off x="0" y="0"/>
                            <a:ext cx="4438650" cy="7581900"/>
                          </a:xfrm>
                          <a:prstGeom prst="rect">
                            <a:avLst/>
                          </a:prstGeom>
                          <a:noFill/>
                          <a:ln w="9525" cap="flat" cmpd="sng">
                            <a:solidFill>
                              <a:srgbClr val="000000"/>
                            </a:solidFill>
                            <a:prstDash val="solid"/>
                            <a:miter/>
                            <a:headEnd type="none" w="med" len="med"/>
                            <a:tailEnd type="none" w="med" len="med"/>
                          </a:ln>
                        </pic:spPr>
                      </pic:pic>
                    </a:graphicData>
                  </a:graphic>
                </wp:inline>
              </w:drawing>
            </w:r>
          </w:p>
          <w:p w14:paraId="5764FBB4">
            <w:pPr>
              <w:pStyle w:val="59"/>
              <w:numPr>
                <w:ilvl w:val="0"/>
                <w:numId w:val="16"/>
              </w:numPr>
              <w:ind w:left="0" w:leftChars="0" w:firstLine="0" w:firstLineChars="0"/>
              <w:jc w:val="center"/>
              <w:rPr>
                <w:rFonts w:hint="eastAsia" w:ascii="Times New Roman" w:hAnsi="Times New Roman" w:eastAsia="宋体" w:cs="Times New Roman"/>
                <w:b/>
                <w:bCs/>
                <w:color w:val="auto"/>
                <w:highlight w:val="none"/>
                <w:lang w:val="en-US" w:eastAsia="zh-CN"/>
              </w:rPr>
            </w:pPr>
            <w:r>
              <w:rPr>
                <w:rFonts w:hint="eastAsia" w:ascii="Times New Roman" w:hAnsi="Times New Roman" w:eastAsia="宋体" w:cs="Times New Roman"/>
                <w:b/>
                <w:bCs/>
                <w:color w:val="auto"/>
                <w:highlight w:val="none"/>
                <w:lang w:val="en-US" w:eastAsia="zh-CN"/>
              </w:rPr>
              <w:t xml:space="preserve"> 地板生产工艺流程及产排污环节图</w:t>
            </w:r>
          </w:p>
          <w:p w14:paraId="5490667E">
            <w:pPr>
              <w:pStyle w:val="24"/>
              <w:spacing w:after="0"/>
              <w:ind w:left="0" w:leftChars="0" w:firstLine="0" w:firstLineChars="0"/>
              <w:rPr>
                <w:color w:val="auto"/>
                <w:szCs w:val="32"/>
                <w:highlight w:val="none"/>
                <w:lang w:val="en-US" w:eastAsia="zh-CN"/>
              </w:rPr>
            </w:pPr>
          </w:p>
          <w:p w14:paraId="1E55644E">
            <w:pPr>
              <w:pStyle w:val="24"/>
              <w:spacing w:after="0"/>
              <w:ind w:left="0" w:leftChars="0" w:firstLine="480" w:firstLineChars="200"/>
              <w:rPr>
                <w:color w:val="auto"/>
                <w:szCs w:val="32"/>
                <w:highlight w:val="none"/>
                <w:lang w:val="en-US" w:eastAsia="zh-CN"/>
              </w:rPr>
            </w:pPr>
            <w:r>
              <w:rPr>
                <w:color w:val="auto"/>
                <w:szCs w:val="32"/>
                <w:highlight w:val="none"/>
                <w:lang w:val="en-US" w:eastAsia="zh-CN"/>
              </w:rPr>
              <w:t>综上，本项目排污节点汇总见</w:t>
            </w:r>
            <w:r>
              <w:rPr>
                <w:rFonts w:hint="eastAsia"/>
                <w:color w:val="auto"/>
                <w:szCs w:val="32"/>
                <w:highlight w:val="none"/>
                <w:lang w:val="en-US" w:eastAsia="zh-CN"/>
              </w:rPr>
              <w:t>下</w:t>
            </w:r>
            <w:r>
              <w:rPr>
                <w:color w:val="auto"/>
                <w:szCs w:val="32"/>
                <w:highlight w:val="none"/>
                <w:lang w:val="en-US" w:eastAsia="zh-CN"/>
              </w:rPr>
              <w:t>表。</w:t>
            </w:r>
            <w:bookmarkStart w:id="2" w:name="表4.2 1 "/>
            <w:bookmarkEnd w:id="2"/>
          </w:p>
          <w:p w14:paraId="1566C779">
            <w:pPr>
              <w:pStyle w:val="68"/>
              <w:numPr>
                <w:ilvl w:val="0"/>
                <w:numId w:val="13"/>
              </w:numPr>
              <w:spacing w:line="360" w:lineRule="auto"/>
              <w:ind w:left="0" w:leftChars="0" w:firstLine="0" w:firstLineChars="0"/>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 本项目排污节点及污染因子汇总表</w:t>
            </w:r>
          </w:p>
          <w:tbl>
            <w:tblPr>
              <w:tblStyle w:val="25"/>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854"/>
              <w:gridCol w:w="869"/>
              <w:gridCol w:w="1389"/>
              <w:gridCol w:w="1490"/>
              <w:gridCol w:w="1278"/>
              <w:gridCol w:w="2523"/>
            </w:tblGrid>
            <w:tr w14:paraId="162977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508" w:type="pct"/>
                  <w:noWrap w:val="0"/>
                  <w:vAlign w:val="center"/>
                </w:tcPr>
                <w:p w14:paraId="7FD5BC40">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污染类型</w:t>
                  </w:r>
                </w:p>
              </w:tc>
              <w:tc>
                <w:tcPr>
                  <w:tcW w:w="517" w:type="pct"/>
                  <w:noWrap w:val="0"/>
                  <w:vAlign w:val="center"/>
                </w:tcPr>
                <w:p w14:paraId="0CD7A4FD">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排污编号</w:t>
                  </w:r>
                </w:p>
              </w:tc>
              <w:tc>
                <w:tcPr>
                  <w:tcW w:w="826" w:type="pct"/>
                  <w:noWrap w:val="0"/>
                  <w:vAlign w:val="center"/>
                </w:tcPr>
                <w:p w14:paraId="39312C61">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产污节点</w:t>
                  </w:r>
                </w:p>
              </w:tc>
              <w:tc>
                <w:tcPr>
                  <w:tcW w:w="886" w:type="pct"/>
                  <w:noWrap w:val="0"/>
                  <w:vAlign w:val="center"/>
                </w:tcPr>
                <w:p w14:paraId="21EB5E5F">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污染源名称</w:t>
                  </w:r>
                </w:p>
              </w:tc>
              <w:tc>
                <w:tcPr>
                  <w:tcW w:w="760" w:type="pct"/>
                  <w:noWrap w:val="0"/>
                  <w:vAlign w:val="center"/>
                </w:tcPr>
                <w:p w14:paraId="1D53E39F">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主要污染物</w:t>
                  </w:r>
                </w:p>
              </w:tc>
              <w:tc>
                <w:tcPr>
                  <w:tcW w:w="1501" w:type="pct"/>
                  <w:noWrap w:val="0"/>
                  <w:vAlign w:val="center"/>
                </w:tcPr>
                <w:p w14:paraId="37746811">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防治措施</w:t>
                  </w:r>
                </w:p>
              </w:tc>
            </w:tr>
            <w:tr w14:paraId="6F8143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508" w:type="pct"/>
                  <w:vMerge w:val="restart"/>
                  <w:noWrap w:val="0"/>
                  <w:vAlign w:val="center"/>
                </w:tcPr>
                <w:p w14:paraId="79FBC9C3">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废气</w:t>
                  </w:r>
                </w:p>
              </w:tc>
              <w:tc>
                <w:tcPr>
                  <w:tcW w:w="517" w:type="pct"/>
                  <w:noWrap w:val="0"/>
                  <w:vAlign w:val="center"/>
                </w:tcPr>
                <w:p w14:paraId="089D4FA5">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G1</w:t>
                  </w:r>
                </w:p>
              </w:tc>
              <w:tc>
                <w:tcPr>
                  <w:tcW w:w="826" w:type="pct"/>
                  <w:noWrap w:val="0"/>
                  <w:vAlign w:val="center"/>
                </w:tcPr>
                <w:p w14:paraId="4C42FCE5">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下料</w:t>
                  </w:r>
                </w:p>
              </w:tc>
              <w:tc>
                <w:tcPr>
                  <w:tcW w:w="886" w:type="pct"/>
                  <w:noWrap w:val="0"/>
                  <w:vAlign w:val="center"/>
                </w:tcPr>
                <w:p w14:paraId="7CE08B2F">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优选锯</w:t>
                  </w:r>
                </w:p>
              </w:tc>
              <w:tc>
                <w:tcPr>
                  <w:tcW w:w="760" w:type="pct"/>
                  <w:noWrap w:val="0"/>
                  <w:vAlign w:val="center"/>
                </w:tcPr>
                <w:p w14:paraId="7CA7E298">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颗粒物</w:t>
                  </w:r>
                </w:p>
              </w:tc>
              <w:tc>
                <w:tcPr>
                  <w:tcW w:w="1501" w:type="pct"/>
                  <w:vMerge w:val="restart"/>
                  <w:noWrap w:val="0"/>
                  <w:vAlign w:val="center"/>
                </w:tcPr>
                <w:p w14:paraId="7657E63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eastAsia" w:ascii="Times New Roman" w:hAnsi="Times New Roman" w:cs="Times New Roman"/>
                      <w:color w:val="auto"/>
                      <w:sz w:val="21"/>
                      <w:szCs w:val="21"/>
                      <w:lang w:eastAsia="zh-CN"/>
                    </w:rPr>
                    <w:t>集气罩（</w:t>
                  </w:r>
                  <w:r>
                    <w:rPr>
                      <w:rFonts w:hint="eastAsia" w:ascii="Times New Roman" w:hAnsi="Times New Roman" w:cs="Times New Roman"/>
                      <w:color w:val="auto"/>
                      <w:sz w:val="21"/>
                      <w:szCs w:val="21"/>
                      <w:lang w:val="en-US" w:eastAsia="zh-CN"/>
                    </w:rPr>
                    <w:t>3个</w:t>
                  </w:r>
                  <w:r>
                    <w:rPr>
                      <w:rFonts w:hint="eastAsia" w:ascii="Times New Roman" w:hAnsi="Times New Roman" w:cs="Times New Roman"/>
                      <w:color w:val="auto"/>
                      <w:sz w:val="21"/>
                      <w:szCs w:val="21"/>
                      <w:lang w:eastAsia="zh-CN"/>
                    </w:rPr>
                    <w:t>）</w:t>
                  </w:r>
                  <w:r>
                    <w:rPr>
                      <w:rFonts w:hint="default" w:ascii="Times New Roman" w:hAnsi="Times New Roman" w:eastAsia="宋体" w:cs="Times New Roman"/>
                      <w:color w:val="auto"/>
                      <w:sz w:val="21"/>
                      <w:szCs w:val="21"/>
                      <w:lang w:val="en-US" w:eastAsia="zh-CN"/>
                    </w:rPr>
                    <w:t>收集+布袋除尘器+15m高DA001排气筒</w:t>
                  </w:r>
                </w:p>
              </w:tc>
            </w:tr>
            <w:tr w14:paraId="201EC3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508" w:type="pct"/>
                  <w:vMerge w:val="continue"/>
                  <w:noWrap w:val="0"/>
                  <w:vAlign w:val="center"/>
                </w:tcPr>
                <w:p w14:paraId="4B066A9E">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lang w:val="en-US" w:eastAsia="zh-CN"/>
                    </w:rPr>
                  </w:pPr>
                </w:p>
              </w:tc>
              <w:tc>
                <w:tcPr>
                  <w:tcW w:w="517" w:type="pct"/>
                  <w:noWrap w:val="0"/>
                  <w:vAlign w:val="center"/>
                </w:tcPr>
                <w:p w14:paraId="3E9801E9">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G2</w:t>
                  </w:r>
                </w:p>
              </w:tc>
              <w:tc>
                <w:tcPr>
                  <w:tcW w:w="826" w:type="pct"/>
                  <w:noWrap w:val="0"/>
                  <w:vAlign w:val="center"/>
                </w:tcPr>
                <w:p w14:paraId="13F70BE0">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刨光</w:t>
                  </w:r>
                </w:p>
              </w:tc>
              <w:tc>
                <w:tcPr>
                  <w:tcW w:w="886" w:type="pct"/>
                  <w:noWrap w:val="0"/>
                  <w:vAlign w:val="center"/>
                </w:tcPr>
                <w:p w14:paraId="0EC9DC9F">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压刨机</w:t>
                  </w:r>
                </w:p>
              </w:tc>
              <w:tc>
                <w:tcPr>
                  <w:tcW w:w="760" w:type="pct"/>
                  <w:noWrap w:val="0"/>
                  <w:vAlign w:val="center"/>
                </w:tcPr>
                <w:p w14:paraId="544E3B84">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颗粒物</w:t>
                  </w:r>
                </w:p>
              </w:tc>
              <w:tc>
                <w:tcPr>
                  <w:tcW w:w="1501" w:type="pct"/>
                  <w:vMerge w:val="continue"/>
                  <w:noWrap w:val="0"/>
                  <w:vAlign w:val="center"/>
                </w:tcPr>
                <w:p w14:paraId="2706B43D">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rPr>
                  </w:pPr>
                </w:p>
              </w:tc>
            </w:tr>
            <w:tr w14:paraId="456D02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36" w:hRule="atLeast"/>
              </w:trPr>
              <w:tc>
                <w:tcPr>
                  <w:tcW w:w="508" w:type="pct"/>
                  <w:vMerge w:val="continue"/>
                  <w:noWrap w:val="0"/>
                  <w:vAlign w:val="center"/>
                </w:tcPr>
                <w:p w14:paraId="6937E2C2">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rPr>
                  </w:pPr>
                </w:p>
              </w:tc>
              <w:tc>
                <w:tcPr>
                  <w:tcW w:w="517" w:type="pct"/>
                  <w:noWrap w:val="0"/>
                  <w:vAlign w:val="center"/>
                </w:tcPr>
                <w:p w14:paraId="2AD231BD">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G3</w:t>
                  </w:r>
                </w:p>
              </w:tc>
              <w:tc>
                <w:tcPr>
                  <w:tcW w:w="826" w:type="pct"/>
                  <w:vMerge w:val="restart"/>
                  <w:noWrap w:val="0"/>
                  <w:vAlign w:val="center"/>
                </w:tcPr>
                <w:p w14:paraId="0CBA95F3">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梳齿</w:t>
                  </w:r>
                  <w:r>
                    <w:rPr>
                      <w:rFonts w:hint="default" w:ascii="Times New Roman" w:hAnsi="Times New Roman" w:eastAsia="宋体" w:cs="Times New Roman"/>
                      <w:color w:val="auto"/>
                      <w:sz w:val="21"/>
                      <w:szCs w:val="21"/>
                      <w:highlight w:val="none"/>
                      <w:lang w:val="en-US" w:eastAsia="zh-CN"/>
                    </w:rPr>
                    <w:t>指接</w:t>
                  </w:r>
                </w:p>
              </w:tc>
              <w:tc>
                <w:tcPr>
                  <w:tcW w:w="886" w:type="pct"/>
                  <w:noWrap w:val="0"/>
                  <w:vAlign w:val="center"/>
                </w:tcPr>
                <w:p w14:paraId="6C9BBC6C">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梳齿机</w:t>
                  </w:r>
                </w:p>
              </w:tc>
              <w:tc>
                <w:tcPr>
                  <w:tcW w:w="760" w:type="pct"/>
                  <w:noWrap w:val="0"/>
                  <w:vAlign w:val="center"/>
                </w:tcPr>
                <w:p w14:paraId="1CBDC4F4">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颗粒物</w:t>
                  </w:r>
                </w:p>
              </w:tc>
              <w:tc>
                <w:tcPr>
                  <w:tcW w:w="1501" w:type="pct"/>
                  <w:vMerge w:val="continue"/>
                  <w:noWrap w:val="0"/>
                  <w:vAlign w:val="center"/>
                </w:tcPr>
                <w:p w14:paraId="2CE0EA63">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rPr>
                  </w:pPr>
                </w:p>
              </w:tc>
            </w:tr>
            <w:tr w14:paraId="4252E0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153" w:hRule="atLeast"/>
              </w:trPr>
              <w:tc>
                <w:tcPr>
                  <w:tcW w:w="508" w:type="pct"/>
                  <w:vMerge w:val="continue"/>
                  <w:noWrap w:val="0"/>
                  <w:vAlign w:val="center"/>
                </w:tcPr>
                <w:p w14:paraId="57E6A112">
                  <w:pPr>
                    <w:pStyle w:val="56"/>
                    <w:keepNext w:val="0"/>
                    <w:keepLines w:val="0"/>
                    <w:pageBreakBefore w:val="0"/>
                    <w:widowControl w:val="0"/>
                    <w:kinsoku/>
                    <w:wordWrap/>
                    <w:overflowPunct/>
                    <w:topLinePunct w:val="0"/>
                    <w:bidi w:val="0"/>
                    <w:adjustRightInd/>
                    <w:snapToGrid/>
                    <w:spacing w:line="240" w:lineRule="auto"/>
                    <w:textAlignment w:val="auto"/>
                    <w:rPr>
                      <w:color w:val="auto"/>
                    </w:rPr>
                  </w:pPr>
                </w:p>
              </w:tc>
              <w:tc>
                <w:tcPr>
                  <w:tcW w:w="517" w:type="pct"/>
                  <w:noWrap w:val="0"/>
                  <w:vAlign w:val="center"/>
                </w:tcPr>
                <w:p w14:paraId="42B232F1">
                  <w:pPr>
                    <w:pStyle w:val="56"/>
                    <w:keepNext w:val="0"/>
                    <w:keepLines w:val="0"/>
                    <w:pageBreakBefore w:val="0"/>
                    <w:widowControl w:val="0"/>
                    <w:kinsoku/>
                    <w:wordWrap/>
                    <w:overflowPunct/>
                    <w:topLinePunct w:val="0"/>
                    <w:bidi w:val="0"/>
                    <w:adjustRightInd/>
                    <w:snapToGrid/>
                    <w:spacing w:line="240" w:lineRule="auto"/>
                    <w:textAlignment w:val="auto"/>
                    <w:rPr>
                      <w:color w:val="auto"/>
                    </w:rPr>
                  </w:pPr>
                  <w:r>
                    <w:rPr>
                      <w:rFonts w:hint="default" w:ascii="Times New Roman" w:hAnsi="Times New Roman" w:eastAsia="宋体" w:cs="Times New Roman"/>
                      <w:color w:val="auto"/>
                      <w:sz w:val="21"/>
                      <w:szCs w:val="21"/>
                      <w:highlight w:val="none"/>
                      <w:lang w:val="en-US" w:eastAsia="zh-CN"/>
                    </w:rPr>
                    <w:t>G</w:t>
                  </w:r>
                  <w:r>
                    <w:rPr>
                      <w:rFonts w:hint="eastAsia" w:ascii="Times New Roman" w:hAnsi="Times New Roman" w:eastAsia="宋体" w:cs="Times New Roman"/>
                      <w:color w:val="auto"/>
                      <w:sz w:val="21"/>
                      <w:szCs w:val="21"/>
                      <w:highlight w:val="none"/>
                      <w:lang w:val="en-US" w:eastAsia="zh-CN"/>
                    </w:rPr>
                    <w:t>4</w:t>
                  </w:r>
                </w:p>
              </w:tc>
              <w:tc>
                <w:tcPr>
                  <w:tcW w:w="826" w:type="pct"/>
                  <w:vMerge w:val="continue"/>
                  <w:noWrap w:val="0"/>
                  <w:vAlign w:val="center"/>
                </w:tcPr>
                <w:p w14:paraId="3FCFD0FA">
                  <w:pPr>
                    <w:pStyle w:val="56"/>
                    <w:keepNext w:val="0"/>
                    <w:keepLines w:val="0"/>
                    <w:pageBreakBefore w:val="0"/>
                    <w:widowControl w:val="0"/>
                    <w:kinsoku/>
                    <w:wordWrap/>
                    <w:overflowPunct/>
                    <w:topLinePunct w:val="0"/>
                    <w:bidi w:val="0"/>
                    <w:adjustRightInd/>
                    <w:snapToGrid/>
                    <w:spacing w:line="240" w:lineRule="auto"/>
                    <w:textAlignment w:val="auto"/>
                    <w:rPr>
                      <w:color w:val="auto"/>
                    </w:rPr>
                  </w:pPr>
                </w:p>
              </w:tc>
              <w:tc>
                <w:tcPr>
                  <w:tcW w:w="886" w:type="pct"/>
                  <w:noWrap w:val="0"/>
                  <w:vAlign w:val="center"/>
                </w:tcPr>
                <w:p w14:paraId="3F1F07C9">
                  <w:pPr>
                    <w:pStyle w:val="56"/>
                    <w:keepNext w:val="0"/>
                    <w:keepLines w:val="0"/>
                    <w:pageBreakBefore w:val="0"/>
                    <w:widowControl w:val="0"/>
                    <w:kinsoku/>
                    <w:wordWrap/>
                    <w:overflowPunct/>
                    <w:topLinePunct w:val="0"/>
                    <w:bidi w:val="0"/>
                    <w:adjustRightInd/>
                    <w:snapToGrid/>
                    <w:spacing w:line="240" w:lineRule="auto"/>
                    <w:textAlignment w:val="auto"/>
                    <w:rPr>
                      <w:color w:val="auto"/>
                    </w:rPr>
                  </w:pPr>
                  <w:r>
                    <w:rPr>
                      <w:rFonts w:hint="default" w:ascii="Times New Roman" w:hAnsi="Times New Roman" w:eastAsia="宋体" w:cs="Times New Roman"/>
                      <w:color w:val="auto"/>
                      <w:sz w:val="21"/>
                      <w:szCs w:val="21"/>
                      <w:highlight w:val="none"/>
                      <w:lang w:val="en-US" w:eastAsia="zh-CN"/>
                    </w:rPr>
                    <w:t>指接机</w:t>
                  </w:r>
                </w:p>
              </w:tc>
              <w:tc>
                <w:tcPr>
                  <w:tcW w:w="760" w:type="pct"/>
                  <w:noWrap w:val="0"/>
                  <w:vAlign w:val="center"/>
                </w:tcPr>
                <w:p w14:paraId="057CA286">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挥发性有机物</w:t>
                  </w:r>
                </w:p>
              </w:tc>
              <w:tc>
                <w:tcPr>
                  <w:tcW w:w="1501" w:type="pct"/>
                  <w:noWrap w:val="0"/>
                  <w:vAlign w:val="center"/>
                </w:tcPr>
                <w:p w14:paraId="750E7707">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lang w:val="en-US" w:eastAsia="zh-CN"/>
                    </w:rPr>
                  </w:pPr>
                  <w:r>
                    <w:rPr>
                      <w:rFonts w:hint="eastAsia"/>
                      <w:color w:val="auto"/>
                      <w:sz w:val="21"/>
                      <w:szCs w:val="21"/>
                      <w:lang w:val="en-US" w:eastAsia="zh-CN"/>
                    </w:rPr>
                    <w:t>本项目使用的木工胶</w:t>
                  </w:r>
                  <w:r>
                    <w:rPr>
                      <w:rFonts w:hint="default" w:ascii="Times New Roman" w:hAnsi="Times New Roman" w:cs="Times New Roman"/>
                      <w:color w:val="auto"/>
                      <w:sz w:val="21"/>
                      <w:szCs w:val="21"/>
                      <w:lang w:val="en-US" w:eastAsia="zh-CN"/>
                    </w:rPr>
                    <w:t>VOCs</w:t>
                  </w:r>
                  <w:r>
                    <w:rPr>
                      <w:rFonts w:hint="eastAsia"/>
                      <w:color w:val="auto"/>
                      <w:sz w:val="21"/>
                      <w:szCs w:val="21"/>
                      <w:lang w:val="en-US" w:eastAsia="zh-CN"/>
                    </w:rPr>
                    <w:t>含量较少，</w:t>
                  </w:r>
                  <w:r>
                    <w:rPr>
                      <w:rFonts w:hint="default" w:ascii="Times New Roman" w:hAnsi="Times New Roman" w:eastAsia="宋体" w:cs="Times New Roman"/>
                      <w:color w:val="auto"/>
                      <w:sz w:val="21"/>
                      <w:szCs w:val="21"/>
                      <w:lang w:val="en-US" w:eastAsia="zh-CN"/>
                    </w:rPr>
                    <w:t>VOCs产生量较少，且排放速率低于3千克/小时，按照要求无需安装环保设施</w:t>
                  </w:r>
                  <w:r>
                    <w:rPr>
                      <w:rFonts w:hint="eastAsia"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1"/>
                      <w:szCs w:val="21"/>
                      <w:lang w:val="en-US" w:eastAsia="zh-CN"/>
                    </w:rPr>
                    <w:t>采取无组织排放方式</w:t>
                  </w:r>
                </w:p>
              </w:tc>
            </w:tr>
            <w:tr w14:paraId="3F6B18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36" w:hRule="atLeast"/>
              </w:trPr>
              <w:tc>
                <w:tcPr>
                  <w:tcW w:w="508" w:type="pct"/>
                  <w:vMerge w:val="continue"/>
                  <w:noWrap w:val="0"/>
                  <w:vAlign w:val="center"/>
                </w:tcPr>
                <w:p w14:paraId="1543DD3F">
                  <w:pPr>
                    <w:pStyle w:val="56"/>
                    <w:keepNext w:val="0"/>
                    <w:keepLines w:val="0"/>
                    <w:pageBreakBefore w:val="0"/>
                    <w:widowControl w:val="0"/>
                    <w:kinsoku/>
                    <w:wordWrap/>
                    <w:overflowPunct/>
                    <w:topLinePunct w:val="0"/>
                    <w:bidi w:val="0"/>
                    <w:adjustRightInd/>
                    <w:snapToGrid/>
                    <w:spacing w:line="240" w:lineRule="auto"/>
                    <w:textAlignment w:val="auto"/>
                    <w:rPr>
                      <w:color w:val="auto"/>
                    </w:rPr>
                  </w:pPr>
                </w:p>
              </w:tc>
              <w:tc>
                <w:tcPr>
                  <w:tcW w:w="517" w:type="pct"/>
                  <w:noWrap w:val="0"/>
                  <w:vAlign w:val="center"/>
                </w:tcPr>
                <w:p w14:paraId="31D974D3">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G</w:t>
                  </w:r>
                  <w:r>
                    <w:rPr>
                      <w:rFonts w:hint="eastAsia" w:ascii="Times New Roman" w:hAnsi="Times New Roman" w:eastAsia="宋体" w:cs="Times New Roman"/>
                      <w:color w:val="auto"/>
                      <w:sz w:val="21"/>
                      <w:szCs w:val="21"/>
                      <w:highlight w:val="none"/>
                      <w:lang w:val="en-US" w:eastAsia="zh-CN"/>
                    </w:rPr>
                    <w:t>5</w:t>
                  </w:r>
                </w:p>
              </w:tc>
              <w:tc>
                <w:tcPr>
                  <w:tcW w:w="826" w:type="pct"/>
                  <w:noWrap w:val="0"/>
                  <w:vAlign w:val="center"/>
                </w:tcPr>
                <w:p w14:paraId="5C20E542">
                  <w:pPr>
                    <w:pStyle w:val="56"/>
                    <w:keepNext w:val="0"/>
                    <w:keepLines w:val="0"/>
                    <w:pageBreakBefore w:val="0"/>
                    <w:widowControl w:val="0"/>
                    <w:kinsoku/>
                    <w:wordWrap/>
                    <w:overflowPunct/>
                    <w:topLinePunct w:val="0"/>
                    <w:bidi w:val="0"/>
                    <w:adjustRightInd/>
                    <w:snapToGrid/>
                    <w:spacing w:line="240" w:lineRule="auto"/>
                    <w:textAlignment w:val="auto"/>
                    <w:rPr>
                      <w:rFonts w:hint="eastAsia" w:eastAsia="宋体"/>
                      <w:color w:val="auto"/>
                      <w:sz w:val="21"/>
                      <w:szCs w:val="21"/>
                      <w:lang w:eastAsia="zh-CN"/>
                    </w:rPr>
                  </w:pPr>
                  <w:r>
                    <w:rPr>
                      <w:rFonts w:hint="eastAsia"/>
                      <w:color w:val="auto"/>
                      <w:sz w:val="21"/>
                      <w:szCs w:val="21"/>
                      <w:lang w:eastAsia="zh-CN"/>
                    </w:rPr>
                    <w:t>微波烘干</w:t>
                  </w:r>
                </w:p>
              </w:tc>
              <w:tc>
                <w:tcPr>
                  <w:tcW w:w="886" w:type="pct"/>
                  <w:noWrap w:val="0"/>
                  <w:vAlign w:val="center"/>
                </w:tcPr>
                <w:p w14:paraId="3D1B2CFA">
                  <w:pPr>
                    <w:pStyle w:val="56"/>
                    <w:keepNext w:val="0"/>
                    <w:keepLines w:val="0"/>
                    <w:pageBreakBefore w:val="0"/>
                    <w:widowControl w:val="0"/>
                    <w:kinsoku/>
                    <w:wordWrap/>
                    <w:overflowPunct/>
                    <w:topLinePunct w:val="0"/>
                    <w:bidi w:val="0"/>
                    <w:adjustRightInd/>
                    <w:snapToGrid/>
                    <w:spacing w:line="240" w:lineRule="auto"/>
                    <w:textAlignment w:val="auto"/>
                    <w:rPr>
                      <w:color w:val="auto"/>
                    </w:rPr>
                  </w:pPr>
                  <w:r>
                    <w:rPr>
                      <w:rFonts w:hint="eastAsia" w:ascii="Times New Roman" w:hAnsi="Times New Roman" w:cs="Times New Roman"/>
                      <w:color w:val="auto"/>
                      <w:spacing w:val="3"/>
                      <w:sz w:val="21"/>
                      <w:szCs w:val="21"/>
                      <w:lang w:eastAsia="zh-CN"/>
                    </w:rPr>
                    <w:t>微波干燥杀菌杀虫机</w:t>
                  </w:r>
                </w:p>
              </w:tc>
              <w:tc>
                <w:tcPr>
                  <w:tcW w:w="760" w:type="pct"/>
                  <w:noWrap w:val="0"/>
                  <w:vAlign w:val="center"/>
                </w:tcPr>
                <w:p w14:paraId="593BB1D4">
                  <w:pPr>
                    <w:pStyle w:val="56"/>
                    <w:keepNext w:val="0"/>
                    <w:keepLines w:val="0"/>
                    <w:pageBreakBefore w:val="0"/>
                    <w:widowControl w:val="0"/>
                    <w:kinsoku/>
                    <w:wordWrap/>
                    <w:overflowPunct/>
                    <w:topLinePunct w:val="0"/>
                    <w:bidi w:val="0"/>
                    <w:adjustRightInd/>
                    <w:snapToGrid/>
                    <w:spacing w:line="240" w:lineRule="auto"/>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挥发性有机物</w:t>
                  </w:r>
                </w:p>
              </w:tc>
              <w:tc>
                <w:tcPr>
                  <w:tcW w:w="1501" w:type="pct"/>
                  <w:noWrap w:val="0"/>
                  <w:vAlign w:val="center"/>
                </w:tcPr>
                <w:p w14:paraId="76805BA2">
                  <w:pPr>
                    <w:pStyle w:val="56"/>
                    <w:keepNext w:val="0"/>
                    <w:keepLines w:val="0"/>
                    <w:pageBreakBefore w:val="0"/>
                    <w:widowControl w:val="0"/>
                    <w:kinsoku/>
                    <w:wordWrap/>
                    <w:overflowPunct/>
                    <w:topLinePunct w:val="0"/>
                    <w:bidi w:val="0"/>
                    <w:adjustRightInd/>
                    <w:snapToGrid/>
                    <w:spacing w:line="240" w:lineRule="auto"/>
                    <w:textAlignment w:val="auto"/>
                    <w:rPr>
                      <w:rFonts w:hint="eastAsia"/>
                      <w:color w:val="auto"/>
                      <w:sz w:val="21"/>
                      <w:szCs w:val="21"/>
                      <w:lang w:val="en-US" w:eastAsia="zh-CN"/>
                    </w:rPr>
                  </w:pPr>
                  <w:r>
                    <w:rPr>
                      <w:rFonts w:hint="default" w:ascii="Times New Roman" w:hAnsi="Times New Roman" w:eastAsia="宋体" w:cs="Times New Roman"/>
                      <w:color w:val="auto"/>
                      <w:sz w:val="21"/>
                      <w:szCs w:val="21"/>
                      <w:lang w:val="en-US" w:eastAsia="zh-CN"/>
                    </w:rPr>
                    <w:t>本项目微波干燥杀菌杀虫机VOCs产生量较少，且排放速率低于3千克/小时，按照要求无需安装环保设施</w:t>
                  </w:r>
                  <w:r>
                    <w:rPr>
                      <w:rFonts w:hint="eastAsia"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1"/>
                      <w:szCs w:val="21"/>
                      <w:lang w:val="en-US" w:eastAsia="zh-CN"/>
                    </w:rPr>
                    <w:t>采取无组织排放方式</w:t>
                  </w:r>
                </w:p>
              </w:tc>
            </w:tr>
            <w:tr w14:paraId="57CE51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508" w:type="pct"/>
                  <w:vMerge w:val="continue"/>
                  <w:noWrap w:val="0"/>
                  <w:vAlign w:val="center"/>
                </w:tcPr>
                <w:p w14:paraId="358F2EAE">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rPr>
                  </w:pPr>
                </w:p>
              </w:tc>
              <w:tc>
                <w:tcPr>
                  <w:tcW w:w="517" w:type="pct"/>
                  <w:noWrap w:val="0"/>
                  <w:vAlign w:val="center"/>
                </w:tcPr>
                <w:p w14:paraId="2CEE6429">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G</w:t>
                  </w:r>
                  <w:r>
                    <w:rPr>
                      <w:rFonts w:hint="eastAsia" w:ascii="Times New Roman" w:hAnsi="Times New Roman" w:eastAsia="宋体" w:cs="Times New Roman"/>
                      <w:color w:val="auto"/>
                      <w:sz w:val="21"/>
                      <w:szCs w:val="21"/>
                      <w:highlight w:val="none"/>
                      <w:lang w:val="en-US" w:eastAsia="zh-CN"/>
                    </w:rPr>
                    <w:t>6</w:t>
                  </w:r>
                </w:p>
              </w:tc>
              <w:tc>
                <w:tcPr>
                  <w:tcW w:w="826" w:type="pct"/>
                  <w:noWrap w:val="0"/>
                  <w:vAlign w:val="center"/>
                </w:tcPr>
                <w:p w14:paraId="38B8D7C8">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砂光</w:t>
                  </w:r>
                </w:p>
              </w:tc>
              <w:tc>
                <w:tcPr>
                  <w:tcW w:w="886" w:type="pct"/>
                  <w:noWrap w:val="0"/>
                  <w:vAlign w:val="center"/>
                </w:tcPr>
                <w:p w14:paraId="731299DF">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砂光机</w:t>
                  </w:r>
                </w:p>
              </w:tc>
              <w:tc>
                <w:tcPr>
                  <w:tcW w:w="760" w:type="pct"/>
                  <w:noWrap w:val="0"/>
                  <w:vAlign w:val="center"/>
                </w:tcPr>
                <w:p w14:paraId="07CD8595">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颗粒物</w:t>
                  </w:r>
                </w:p>
              </w:tc>
              <w:tc>
                <w:tcPr>
                  <w:tcW w:w="1501" w:type="pct"/>
                  <w:noWrap w:val="0"/>
                  <w:vAlign w:val="center"/>
                </w:tcPr>
                <w:p w14:paraId="3E4C330E">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rPr>
                  </w:pPr>
                  <w:r>
                    <w:rPr>
                      <w:rFonts w:hint="eastAsia" w:ascii="Times New Roman" w:hAnsi="Times New Roman" w:cs="Times New Roman"/>
                      <w:color w:val="auto"/>
                      <w:sz w:val="21"/>
                      <w:szCs w:val="21"/>
                      <w:lang w:eastAsia="zh-CN"/>
                    </w:rPr>
                    <w:t>集气罩</w:t>
                  </w:r>
                  <w:r>
                    <w:rPr>
                      <w:rFonts w:hint="default" w:ascii="Times New Roman" w:hAnsi="Times New Roman" w:eastAsia="宋体" w:cs="Times New Roman"/>
                      <w:color w:val="auto"/>
                      <w:sz w:val="21"/>
                      <w:szCs w:val="21"/>
                      <w:lang w:val="en-US" w:eastAsia="zh-CN"/>
                    </w:rPr>
                    <w:t>收集+布袋除尘器+15m高DA002排气筒</w:t>
                  </w:r>
                </w:p>
              </w:tc>
            </w:tr>
            <w:tr w14:paraId="79BE99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508" w:type="pct"/>
                  <w:vMerge w:val="continue"/>
                  <w:noWrap w:val="0"/>
                  <w:vAlign w:val="center"/>
                </w:tcPr>
                <w:p w14:paraId="6DD0D849">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rPr>
                  </w:pPr>
                </w:p>
              </w:tc>
              <w:tc>
                <w:tcPr>
                  <w:tcW w:w="517" w:type="pct"/>
                  <w:noWrap w:val="0"/>
                  <w:vAlign w:val="center"/>
                </w:tcPr>
                <w:p w14:paraId="2FE25C5B">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G</w:t>
                  </w:r>
                  <w:r>
                    <w:rPr>
                      <w:rFonts w:hint="eastAsia" w:ascii="Times New Roman" w:hAnsi="Times New Roman" w:eastAsia="宋体" w:cs="Times New Roman"/>
                      <w:color w:val="auto"/>
                      <w:sz w:val="21"/>
                      <w:szCs w:val="21"/>
                      <w:highlight w:val="none"/>
                      <w:lang w:val="en-US" w:eastAsia="zh-CN"/>
                    </w:rPr>
                    <w:t>7</w:t>
                  </w:r>
                </w:p>
              </w:tc>
              <w:tc>
                <w:tcPr>
                  <w:tcW w:w="826" w:type="pct"/>
                  <w:noWrap w:val="0"/>
                  <w:vAlign w:val="center"/>
                </w:tcPr>
                <w:p w14:paraId="60F5B4E9">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开槽</w:t>
                  </w:r>
                </w:p>
              </w:tc>
              <w:tc>
                <w:tcPr>
                  <w:tcW w:w="886" w:type="pct"/>
                  <w:noWrap w:val="0"/>
                  <w:vAlign w:val="center"/>
                </w:tcPr>
                <w:p w14:paraId="0971C3D3">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四面刨、</w:t>
                  </w:r>
                  <w:r>
                    <w:rPr>
                      <w:rFonts w:hint="default" w:ascii="Times New Roman" w:hAnsi="Times New Roman" w:cs="Times New Roman"/>
                      <w:color w:val="auto"/>
                      <w:spacing w:val="3"/>
                      <w:sz w:val="21"/>
                      <w:szCs w:val="21"/>
                      <w:lang w:eastAsia="zh-CN"/>
                    </w:rPr>
                    <w:t>履带式双端铣</w:t>
                  </w:r>
                </w:p>
              </w:tc>
              <w:tc>
                <w:tcPr>
                  <w:tcW w:w="760" w:type="pct"/>
                  <w:noWrap w:val="0"/>
                  <w:vAlign w:val="center"/>
                </w:tcPr>
                <w:p w14:paraId="687F78EB">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颗粒物</w:t>
                  </w:r>
                </w:p>
              </w:tc>
              <w:tc>
                <w:tcPr>
                  <w:tcW w:w="1501" w:type="pct"/>
                  <w:noWrap w:val="0"/>
                  <w:vAlign w:val="center"/>
                </w:tcPr>
                <w:p w14:paraId="3C724D9E">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rPr>
                  </w:pPr>
                  <w:r>
                    <w:rPr>
                      <w:rFonts w:hint="eastAsia" w:ascii="Times New Roman" w:hAnsi="Times New Roman" w:cs="Times New Roman"/>
                      <w:color w:val="auto"/>
                      <w:sz w:val="21"/>
                      <w:szCs w:val="21"/>
                      <w:lang w:eastAsia="zh-CN"/>
                    </w:rPr>
                    <w:t>集气罩</w:t>
                  </w:r>
                  <w:r>
                    <w:rPr>
                      <w:rFonts w:hint="default" w:ascii="Times New Roman" w:hAnsi="Times New Roman" w:eastAsia="宋体" w:cs="Times New Roman"/>
                      <w:color w:val="auto"/>
                      <w:sz w:val="21"/>
                      <w:szCs w:val="21"/>
                      <w:lang w:val="en-US" w:eastAsia="zh-CN"/>
                    </w:rPr>
                    <w:t>收集+布袋除尘器+15m高DA004排气筒</w:t>
                  </w:r>
                </w:p>
              </w:tc>
            </w:tr>
            <w:tr w14:paraId="3E4095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508" w:type="pct"/>
                  <w:vMerge w:val="continue"/>
                  <w:noWrap w:val="0"/>
                  <w:vAlign w:val="center"/>
                </w:tcPr>
                <w:p w14:paraId="0EE69ADA">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rPr>
                  </w:pPr>
                </w:p>
              </w:tc>
              <w:tc>
                <w:tcPr>
                  <w:tcW w:w="517" w:type="pct"/>
                  <w:noWrap w:val="0"/>
                  <w:vAlign w:val="center"/>
                </w:tcPr>
                <w:p w14:paraId="71475C1A">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G</w:t>
                  </w:r>
                  <w:r>
                    <w:rPr>
                      <w:rFonts w:hint="eastAsia" w:ascii="Times New Roman" w:hAnsi="Times New Roman" w:eastAsia="宋体" w:cs="Times New Roman"/>
                      <w:color w:val="auto"/>
                      <w:sz w:val="21"/>
                      <w:szCs w:val="21"/>
                      <w:highlight w:val="none"/>
                      <w:lang w:val="en-US" w:eastAsia="zh-CN"/>
                    </w:rPr>
                    <w:t>8</w:t>
                  </w:r>
                </w:p>
              </w:tc>
              <w:tc>
                <w:tcPr>
                  <w:tcW w:w="826" w:type="pct"/>
                  <w:noWrap w:val="0"/>
                  <w:vAlign w:val="center"/>
                </w:tcPr>
                <w:p w14:paraId="11B8E8DE">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轻砂光</w:t>
                  </w:r>
                </w:p>
              </w:tc>
              <w:tc>
                <w:tcPr>
                  <w:tcW w:w="886" w:type="pct"/>
                  <w:noWrap w:val="0"/>
                  <w:vAlign w:val="center"/>
                </w:tcPr>
                <w:p w14:paraId="647E0E30">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轻砂机</w:t>
                  </w:r>
                </w:p>
              </w:tc>
              <w:tc>
                <w:tcPr>
                  <w:tcW w:w="760" w:type="pct"/>
                  <w:noWrap w:val="0"/>
                  <w:vAlign w:val="center"/>
                </w:tcPr>
                <w:p w14:paraId="3A6F6E8E">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颗粒物</w:t>
                  </w:r>
                </w:p>
              </w:tc>
              <w:tc>
                <w:tcPr>
                  <w:tcW w:w="1501" w:type="pct"/>
                  <w:noWrap w:val="0"/>
                  <w:vAlign w:val="center"/>
                </w:tcPr>
                <w:p w14:paraId="0AB61BB8">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rPr>
                  </w:pPr>
                  <w:r>
                    <w:rPr>
                      <w:rFonts w:hint="eastAsia" w:ascii="Times New Roman" w:hAnsi="Times New Roman" w:cs="Times New Roman"/>
                      <w:color w:val="auto"/>
                      <w:sz w:val="21"/>
                      <w:szCs w:val="21"/>
                      <w:lang w:eastAsia="zh-CN"/>
                    </w:rPr>
                    <w:t>集气罩</w:t>
                  </w:r>
                  <w:r>
                    <w:rPr>
                      <w:rFonts w:hint="default" w:ascii="Times New Roman" w:hAnsi="Times New Roman" w:eastAsia="宋体" w:cs="Times New Roman"/>
                      <w:color w:val="auto"/>
                      <w:sz w:val="21"/>
                      <w:szCs w:val="21"/>
                      <w:lang w:val="en-US" w:eastAsia="zh-CN"/>
                    </w:rPr>
                    <w:t>收集+布袋除尘器+15m高DA003排气筒</w:t>
                  </w:r>
                </w:p>
              </w:tc>
            </w:tr>
            <w:tr w14:paraId="740DDC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508" w:type="pct"/>
                  <w:vMerge w:val="continue"/>
                  <w:noWrap w:val="0"/>
                  <w:vAlign w:val="center"/>
                </w:tcPr>
                <w:p w14:paraId="0F16F9B7">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rPr>
                  </w:pPr>
                </w:p>
              </w:tc>
              <w:tc>
                <w:tcPr>
                  <w:tcW w:w="517" w:type="pct"/>
                  <w:noWrap w:val="0"/>
                  <w:vAlign w:val="center"/>
                </w:tcPr>
                <w:p w14:paraId="2260DFC2">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G9</w:t>
                  </w:r>
                </w:p>
              </w:tc>
              <w:tc>
                <w:tcPr>
                  <w:tcW w:w="826" w:type="pct"/>
                  <w:vMerge w:val="restart"/>
                  <w:noWrap w:val="0"/>
                  <w:vAlign w:val="center"/>
                </w:tcPr>
                <w:p w14:paraId="5D680E9C">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辊涂、</w:t>
                  </w:r>
                  <w:r>
                    <w:rPr>
                      <w:rFonts w:hint="eastAsia" w:ascii="Times New Roman" w:hAnsi="Times New Roman" w:eastAsia="宋体" w:cs="Times New Roman"/>
                      <w:color w:val="auto"/>
                      <w:sz w:val="21"/>
                      <w:szCs w:val="21"/>
                      <w:highlight w:val="none"/>
                      <w:lang w:val="en-US" w:eastAsia="zh-CN"/>
                    </w:rPr>
                    <w:t>紫外光固化、油砂砂光</w:t>
                  </w:r>
                </w:p>
              </w:tc>
              <w:tc>
                <w:tcPr>
                  <w:tcW w:w="886" w:type="pct"/>
                  <w:noWrap w:val="0"/>
                  <w:vAlign w:val="center"/>
                </w:tcPr>
                <w:p w14:paraId="2B159A28">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辊涂机、紫外光固化机</w:t>
                  </w:r>
                </w:p>
              </w:tc>
              <w:tc>
                <w:tcPr>
                  <w:tcW w:w="760" w:type="pct"/>
                  <w:noWrap w:val="0"/>
                  <w:vAlign w:val="center"/>
                </w:tcPr>
                <w:p w14:paraId="3BD5F7B2">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挥发性有机物</w:t>
                  </w:r>
                </w:p>
              </w:tc>
              <w:tc>
                <w:tcPr>
                  <w:tcW w:w="1501" w:type="pct"/>
                  <w:noWrap w:val="0"/>
                  <w:vAlign w:val="center"/>
                </w:tcPr>
                <w:p w14:paraId="5E2F155D">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lang w:eastAsia="zh-CN"/>
                    </w:rPr>
                  </w:pPr>
                  <w:r>
                    <w:rPr>
                      <w:rFonts w:hint="eastAsia" w:ascii="Times New Roman" w:hAnsi="Times New Roman" w:cs="Times New Roman"/>
                      <w:color w:val="auto"/>
                      <w:sz w:val="21"/>
                      <w:szCs w:val="21"/>
                      <w:lang w:eastAsia="zh-CN"/>
                    </w:rPr>
                    <w:t>集气罩</w:t>
                  </w:r>
                  <w:r>
                    <w:rPr>
                      <w:rFonts w:hint="default" w:ascii="Times New Roman" w:hAnsi="Times New Roman" w:eastAsia="宋体" w:cs="Times New Roman"/>
                      <w:color w:val="auto"/>
                      <w:sz w:val="21"/>
                      <w:szCs w:val="21"/>
                      <w:lang w:val="en-US" w:eastAsia="zh-CN"/>
                    </w:rPr>
                    <w:t>收集+</w:t>
                  </w:r>
                  <w:r>
                    <w:rPr>
                      <w:rFonts w:hint="eastAsia" w:ascii="Times New Roman" w:hAnsi="Times New Roman" w:eastAsia="宋体" w:cs="Times New Roman"/>
                      <w:color w:val="auto"/>
                      <w:sz w:val="21"/>
                      <w:szCs w:val="21"/>
                      <w:highlight w:val="none"/>
                      <w:lang w:eastAsia="zh-CN"/>
                    </w:rPr>
                    <w:t>带有自动控制系统的</w:t>
                  </w:r>
                  <w:r>
                    <w:rPr>
                      <w:rFonts w:hint="default" w:ascii="Times New Roman" w:hAnsi="Times New Roman" w:eastAsia="宋体" w:cs="Times New Roman"/>
                      <w:color w:val="auto"/>
                      <w:sz w:val="21"/>
                      <w:szCs w:val="21"/>
                      <w:lang w:val="en-US" w:eastAsia="zh-CN"/>
                    </w:rPr>
                    <w:t>二级活性炭吸附+15m高DA005排气筒</w:t>
                  </w:r>
                </w:p>
              </w:tc>
            </w:tr>
            <w:tr w14:paraId="228C7B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508" w:type="pct"/>
                  <w:vMerge w:val="continue"/>
                  <w:noWrap w:val="0"/>
                  <w:vAlign w:val="center"/>
                </w:tcPr>
                <w:p w14:paraId="5FEDB9F3">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rPr>
                  </w:pPr>
                </w:p>
              </w:tc>
              <w:tc>
                <w:tcPr>
                  <w:tcW w:w="517" w:type="pct"/>
                  <w:noWrap w:val="0"/>
                  <w:vAlign w:val="center"/>
                </w:tcPr>
                <w:p w14:paraId="0C07311E">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G10</w:t>
                  </w:r>
                </w:p>
              </w:tc>
              <w:tc>
                <w:tcPr>
                  <w:tcW w:w="826" w:type="pct"/>
                  <w:vMerge w:val="continue"/>
                  <w:noWrap w:val="0"/>
                  <w:vAlign w:val="center"/>
                </w:tcPr>
                <w:p w14:paraId="3E66995B">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lang w:val="en-US" w:eastAsia="zh-CN"/>
                    </w:rPr>
                  </w:pPr>
                </w:p>
              </w:tc>
              <w:tc>
                <w:tcPr>
                  <w:tcW w:w="886" w:type="pct"/>
                  <w:noWrap w:val="0"/>
                  <w:vAlign w:val="center"/>
                </w:tcPr>
                <w:p w14:paraId="3F8B1A63">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油砂机</w:t>
                  </w:r>
                </w:p>
              </w:tc>
              <w:tc>
                <w:tcPr>
                  <w:tcW w:w="760" w:type="pct"/>
                  <w:noWrap w:val="0"/>
                  <w:vAlign w:val="center"/>
                </w:tcPr>
                <w:p w14:paraId="732CD294">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颗粒物</w:t>
                  </w:r>
                </w:p>
              </w:tc>
              <w:tc>
                <w:tcPr>
                  <w:tcW w:w="1501" w:type="pct"/>
                  <w:noWrap w:val="0"/>
                  <w:vAlign w:val="center"/>
                </w:tcPr>
                <w:p w14:paraId="1AA375CC">
                  <w:pPr>
                    <w:pStyle w:val="56"/>
                    <w:keepNext w:val="0"/>
                    <w:keepLines w:val="0"/>
                    <w:pageBreakBefore w:val="0"/>
                    <w:widowControl w:val="0"/>
                    <w:kinsoku/>
                    <w:wordWrap/>
                    <w:overflowPunct/>
                    <w:topLinePunct w:val="0"/>
                    <w:bidi w:val="0"/>
                    <w:adjustRightInd/>
                    <w:snapToGrid/>
                    <w:spacing w:line="240" w:lineRule="auto"/>
                    <w:textAlignment w:val="auto"/>
                    <w:rPr>
                      <w:rFonts w:hint="eastAsia"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集气罩</w:t>
                  </w:r>
                  <w:r>
                    <w:rPr>
                      <w:rFonts w:hint="default" w:ascii="Times New Roman" w:hAnsi="Times New Roman" w:eastAsia="宋体" w:cs="Times New Roman"/>
                      <w:color w:val="auto"/>
                      <w:sz w:val="21"/>
                      <w:szCs w:val="21"/>
                      <w:lang w:val="en-US" w:eastAsia="zh-CN"/>
                    </w:rPr>
                    <w:t>收集+布袋除尘器+15m高DA003排气筒</w:t>
                  </w:r>
                </w:p>
              </w:tc>
            </w:tr>
            <w:tr w14:paraId="3190B6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508" w:type="pct"/>
                  <w:noWrap w:val="0"/>
                  <w:vAlign w:val="center"/>
                </w:tcPr>
                <w:p w14:paraId="5C44012E">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废水</w:t>
                  </w:r>
                </w:p>
              </w:tc>
              <w:tc>
                <w:tcPr>
                  <w:tcW w:w="517" w:type="pct"/>
                  <w:noWrap w:val="0"/>
                  <w:vAlign w:val="center"/>
                </w:tcPr>
                <w:p w14:paraId="784D8691">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W1</w:t>
                  </w:r>
                </w:p>
              </w:tc>
              <w:tc>
                <w:tcPr>
                  <w:tcW w:w="826" w:type="pct"/>
                  <w:noWrap w:val="0"/>
                  <w:vAlign w:val="center"/>
                </w:tcPr>
                <w:p w14:paraId="12D58BE6">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员工日常生活</w:t>
                  </w:r>
                </w:p>
              </w:tc>
              <w:tc>
                <w:tcPr>
                  <w:tcW w:w="886" w:type="pct"/>
                  <w:noWrap w:val="0"/>
                  <w:vAlign w:val="center"/>
                </w:tcPr>
                <w:p w14:paraId="337856B1">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生活污水</w:t>
                  </w:r>
                </w:p>
              </w:tc>
              <w:tc>
                <w:tcPr>
                  <w:tcW w:w="760" w:type="pct"/>
                  <w:noWrap w:val="0"/>
                  <w:vAlign w:val="center"/>
                </w:tcPr>
                <w:p w14:paraId="015B86F1">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rPr>
                    <w:t>pH、COD、BOD</w:t>
                  </w:r>
                  <w:r>
                    <w:rPr>
                      <w:rFonts w:hint="default" w:ascii="Times New Roman" w:hAnsi="Times New Roman" w:eastAsia="宋体" w:cs="Times New Roman"/>
                      <w:color w:val="auto"/>
                      <w:sz w:val="21"/>
                      <w:szCs w:val="21"/>
                      <w:vertAlign w:val="subscript"/>
                    </w:rPr>
                    <w:t>5</w:t>
                  </w:r>
                  <w:r>
                    <w:rPr>
                      <w:rFonts w:hint="default" w:ascii="Times New Roman" w:hAnsi="Times New Roman" w:eastAsia="宋体" w:cs="Times New Roman"/>
                      <w:color w:val="auto"/>
                      <w:sz w:val="21"/>
                      <w:szCs w:val="21"/>
                    </w:rPr>
                    <w:t>、NH</w:t>
                  </w:r>
                  <w:r>
                    <w:rPr>
                      <w:rFonts w:hint="default" w:ascii="Times New Roman" w:hAnsi="Times New Roman" w:eastAsia="宋体" w:cs="Times New Roman"/>
                      <w:color w:val="auto"/>
                      <w:sz w:val="21"/>
                      <w:szCs w:val="21"/>
                      <w:vertAlign w:val="subscript"/>
                    </w:rPr>
                    <w:t>3</w:t>
                  </w:r>
                  <w:r>
                    <w:rPr>
                      <w:rFonts w:hint="default" w:ascii="Times New Roman" w:hAnsi="Times New Roman" w:eastAsia="宋体" w:cs="Times New Roman"/>
                      <w:color w:val="auto"/>
                      <w:sz w:val="21"/>
                      <w:szCs w:val="21"/>
                    </w:rPr>
                    <w:t>-N、SS</w:t>
                  </w:r>
                  <w:r>
                    <w:rPr>
                      <w:rFonts w:hint="eastAsia" w:ascii="Times New Roman" w:hAnsi="Times New Roman" w:cs="Times New Roman"/>
                      <w:color w:val="auto"/>
                      <w:sz w:val="21"/>
                      <w:szCs w:val="21"/>
                      <w:lang w:eastAsia="zh-CN"/>
                    </w:rPr>
                    <w:t>、磷酸盐、总氮</w:t>
                  </w:r>
                </w:p>
              </w:tc>
              <w:tc>
                <w:tcPr>
                  <w:tcW w:w="1501" w:type="pct"/>
                  <w:noWrap w:val="0"/>
                  <w:vAlign w:val="center"/>
                </w:tcPr>
                <w:p w14:paraId="61E9C028">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排入</w:t>
                  </w:r>
                  <w:r>
                    <w:rPr>
                      <w:rFonts w:hint="default" w:ascii="Times New Roman" w:hAnsi="Times New Roman" w:eastAsia="宋体" w:cs="Times New Roman"/>
                      <w:color w:val="auto"/>
                      <w:sz w:val="21"/>
                      <w:szCs w:val="21"/>
                      <w:lang w:val="en-US" w:eastAsia="zh-CN"/>
                    </w:rPr>
                    <w:t>抚顺县救兵镇污水处理厂</w:t>
                  </w:r>
                </w:p>
              </w:tc>
            </w:tr>
            <w:tr w14:paraId="6E92E2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508" w:type="pct"/>
                  <w:vMerge w:val="restart"/>
                  <w:noWrap w:val="0"/>
                  <w:vAlign w:val="center"/>
                </w:tcPr>
                <w:p w14:paraId="780FB006">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噪声</w:t>
                  </w:r>
                </w:p>
              </w:tc>
              <w:tc>
                <w:tcPr>
                  <w:tcW w:w="517" w:type="pct"/>
                  <w:noWrap w:val="0"/>
                  <w:vAlign w:val="center"/>
                </w:tcPr>
                <w:p w14:paraId="2A6FE9A6">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position w:val="2"/>
                      <w:sz w:val="21"/>
                      <w:szCs w:val="21"/>
                      <w:highlight w:val="none"/>
                    </w:rPr>
                    <w:t>N</w:t>
                  </w:r>
                  <w:r>
                    <w:rPr>
                      <w:rFonts w:hint="default" w:ascii="Times New Roman" w:hAnsi="Times New Roman" w:eastAsia="宋体" w:cs="Times New Roman"/>
                      <w:color w:val="auto"/>
                      <w:sz w:val="21"/>
                      <w:szCs w:val="21"/>
                      <w:highlight w:val="none"/>
                    </w:rPr>
                    <w:t>1</w:t>
                  </w:r>
                </w:p>
              </w:tc>
              <w:tc>
                <w:tcPr>
                  <w:tcW w:w="826" w:type="pct"/>
                  <w:noWrap w:val="0"/>
                  <w:vAlign w:val="center"/>
                </w:tcPr>
                <w:p w14:paraId="71C999FE">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下料</w:t>
                  </w:r>
                </w:p>
              </w:tc>
              <w:tc>
                <w:tcPr>
                  <w:tcW w:w="886" w:type="pct"/>
                  <w:vMerge w:val="restart"/>
                  <w:noWrap w:val="0"/>
                  <w:vAlign w:val="center"/>
                </w:tcPr>
                <w:p w14:paraId="64427968">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设备噪声、动力噪声</w:t>
                  </w:r>
                </w:p>
              </w:tc>
              <w:tc>
                <w:tcPr>
                  <w:tcW w:w="760" w:type="pct"/>
                  <w:vMerge w:val="restart"/>
                  <w:noWrap w:val="0"/>
                  <w:vAlign w:val="center"/>
                </w:tcPr>
                <w:p w14:paraId="2041CF8B">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Leq(A)</w:t>
                  </w:r>
                </w:p>
              </w:tc>
              <w:tc>
                <w:tcPr>
                  <w:tcW w:w="1501" w:type="pct"/>
                  <w:vMerge w:val="restart"/>
                  <w:noWrap w:val="0"/>
                  <w:vAlign w:val="center"/>
                </w:tcPr>
                <w:p w14:paraId="4BDAD5F5">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选用低噪声设备，基础减震、</w:t>
                  </w:r>
                  <w:r>
                    <w:rPr>
                      <w:rFonts w:hint="default" w:ascii="Times New Roman" w:hAnsi="Times New Roman" w:eastAsia="宋体" w:cs="Times New Roman"/>
                      <w:color w:val="auto"/>
                      <w:spacing w:val="7"/>
                      <w:sz w:val="21"/>
                      <w:szCs w:val="21"/>
                      <w:highlight w:val="none"/>
                    </w:rPr>
                    <w:t>合理布局，建筑物隔</w:t>
                  </w:r>
                  <w:r>
                    <w:rPr>
                      <w:rFonts w:hint="default" w:ascii="Times New Roman" w:hAnsi="Times New Roman" w:eastAsia="宋体" w:cs="Times New Roman"/>
                      <w:color w:val="auto"/>
                      <w:sz w:val="21"/>
                      <w:szCs w:val="21"/>
                      <w:highlight w:val="none"/>
                    </w:rPr>
                    <w:t>声</w:t>
                  </w:r>
                </w:p>
              </w:tc>
            </w:tr>
            <w:tr w14:paraId="4723DA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508" w:type="pct"/>
                  <w:vMerge w:val="continue"/>
                  <w:noWrap w:val="0"/>
                  <w:vAlign w:val="center"/>
                </w:tcPr>
                <w:p w14:paraId="7D665054">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rPr>
                  </w:pPr>
                </w:p>
              </w:tc>
              <w:tc>
                <w:tcPr>
                  <w:tcW w:w="517" w:type="pct"/>
                  <w:noWrap w:val="0"/>
                  <w:vAlign w:val="center"/>
                </w:tcPr>
                <w:p w14:paraId="2422FFC9">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position w:val="2"/>
                      <w:sz w:val="21"/>
                      <w:szCs w:val="21"/>
                      <w:highlight w:val="none"/>
                    </w:rPr>
                    <w:t>N</w:t>
                  </w:r>
                  <w:r>
                    <w:rPr>
                      <w:rFonts w:hint="default" w:ascii="Times New Roman" w:hAnsi="Times New Roman" w:eastAsia="宋体" w:cs="Times New Roman"/>
                      <w:color w:val="auto"/>
                      <w:sz w:val="21"/>
                      <w:szCs w:val="21"/>
                      <w:highlight w:val="none"/>
                    </w:rPr>
                    <w:t>2</w:t>
                  </w:r>
                </w:p>
              </w:tc>
              <w:tc>
                <w:tcPr>
                  <w:tcW w:w="826" w:type="pct"/>
                  <w:noWrap w:val="0"/>
                  <w:vAlign w:val="center"/>
                </w:tcPr>
                <w:p w14:paraId="13E75A62">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刨光</w:t>
                  </w:r>
                </w:p>
              </w:tc>
              <w:tc>
                <w:tcPr>
                  <w:tcW w:w="886" w:type="pct"/>
                  <w:vMerge w:val="continue"/>
                  <w:noWrap w:val="0"/>
                  <w:vAlign w:val="center"/>
                </w:tcPr>
                <w:p w14:paraId="644ECF4E">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lang w:eastAsia="zh-CN"/>
                    </w:rPr>
                  </w:pPr>
                </w:p>
              </w:tc>
              <w:tc>
                <w:tcPr>
                  <w:tcW w:w="760" w:type="pct"/>
                  <w:vMerge w:val="continue"/>
                  <w:noWrap w:val="0"/>
                  <w:vAlign w:val="center"/>
                </w:tcPr>
                <w:p w14:paraId="1E4D85E5">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rPr>
                  </w:pPr>
                </w:p>
              </w:tc>
              <w:tc>
                <w:tcPr>
                  <w:tcW w:w="1501" w:type="pct"/>
                  <w:vMerge w:val="continue"/>
                  <w:noWrap w:val="0"/>
                  <w:vAlign w:val="center"/>
                </w:tcPr>
                <w:p w14:paraId="01BCAF49">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rPr>
                  </w:pPr>
                </w:p>
              </w:tc>
            </w:tr>
            <w:tr w14:paraId="5FCEF6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508" w:type="pct"/>
                  <w:vMerge w:val="continue"/>
                  <w:noWrap w:val="0"/>
                  <w:vAlign w:val="center"/>
                </w:tcPr>
                <w:p w14:paraId="515FFDB5">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p>
              </w:tc>
              <w:tc>
                <w:tcPr>
                  <w:tcW w:w="517" w:type="pct"/>
                  <w:noWrap w:val="0"/>
                  <w:vAlign w:val="center"/>
                </w:tcPr>
                <w:p w14:paraId="64B7751D">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kern w:val="0"/>
                      <w:position w:val="2"/>
                      <w:sz w:val="21"/>
                      <w:szCs w:val="21"/>
                      <w:highlight w:val="none"/>
                      <w:lang w:val="en-US" w:eastAsia="zh-CN" w:bidi="ar-SA"/>
                    </w:rPr>
                  </w:pPr>
                  <w:r>
                    <w:rPr>
                      <w:rFonts w:hint="default" w:ascii="Times New Roman" w:hAnsi="Times New Roman" w:eastAsia="宋体" w:cs="Times New Roman"/>
                      <w:color w:val="auto"/>
                      <w:position w:val="2"/>
                      <w:sz w:val="21"/>
                      <w:szCs w:val="21"/>
                      <w:highlight w:val="none"/>
                      <w:lang w:eastAsia="zh-CN"/>
                    </w:rPr>
                    <w:t>N3</w:t>
                  </w:r>
                </w:p>
              </w:tc>
              <w:tc>
                <w:tcPr>
                  <w:tcW w:w="826" w:type="pct"/>
                  <w:noWrap w:val="0"/>
                  <w:vAlign w:val="center"/>
                </w:tcPr>
                <w:p w14:paraId="0E61DB17">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val="en-US" w:eastAsia="zh-CN"/>
                    </w:rPr>
                    <w:t>梳齿</w:t>
                  </w:r>
                  <w:r>
                    <w:rPr>
                      <w:rFonts w:hint="default" w:ascii="Times New Roman" w:hAnsi="Times New Roman" w:eastAsia="宋体" w:cs="Times New Roman"/>
                      <w:color w:val="auto"/>
                      <w:sz w:val="21"/>
                      <w:szCs w:val="21"/>
                      <w:highlight w:val="none"/>
                      <w:lang w:val="en-US" w:eastAsia="zh-CN"/>
                    </w:rPr>
                    <w:t>指接</w:t>
                  </w:r>
                </w:p>
              </w:tc>
              <w:tc>
                <w:tcPr>
                  <w:tcW w:w="886" w:type="pct"/>
                  <w:vMerge w:val="continue"/>
                  <w:noWrap w:val="0"/>
                  <w:vAlign w:val="center"/>
                </w:tcPr>
                <w:p w14:paraId="05A85F0B">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rPr>
                  </w:pPr>
                </w:p>
              </w:tc>
              <w:tc>
                <w:tcPr>
                  <w:tcW w:w="760" w:type="pct"/>
                  <w:vMerge w:val="continue"/>
                  <w:noWrap w:val="0"/>
                  <w:vAlign w:val="center"/>
                </w:tcPr>
                <w:p w14:paraId="15EF9644">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rPr>
                  </w:pPr>
                </w:p>
              </w:tc>
              <w:tc>
                <w:tcPr>
                  <w:tcW w:w="1501" w:type="pct"/>
                  <w:vMerge w:val="continue"/>
                  <w:noWrap w:val="0"/>
                  <w:vAlign w:val="center"/>
                </w:tcPr>
                <w:p w14:paraId="31100777">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rPr>
                  </w:pPr>
                </w:p>
              </w:tc>
            </w:tr>
            <w:tr w14:paraId="759483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508" w:type="pct"/>
                  <w:vMerge w:val="continue"/>
                  <w:noWrap w:val="0"/>
                  <w:vAlign w:val="center"/>
                </w:tcPr>
                <w:p w14:paraId="59AE8942">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p>
              </w:tc>
              <w:tc>
                <w:tcPr>
                  <w:tcW w:w="517" w:type="pct"/>
                  <w:noWrap w:val="0"/>
                  <w:vAlign w:val="center"/>
                </w:tcPr>
                <w:p w14:paraId="40C4600E">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kern w:val="0"/>
                      <w:position w:val="2"/>
                      <w:sz w:val="21"/>
                      <w:szCs w:val="21"/>
                      <w:highlight w:val="none"/>
                      <w:lang w:val="en-US" w:eastAsia="zh-CN" w:bidi="ar-SA"/>
                    </w:rPr>
                  </w:pPr>
                  <w:r>
                    <w:rPr>
                      <w:rFonts w:hint="default" w:ascii="Times New Roman" w:hAnsi="Times New Roman" w:eastAsia="宋体" w:cs="Times New Roman"/>
                      <w:color w:val="auto"/>
                      <w:position w:val="2"/>
                      <w:sz w:val="21"/>
                      <w:szCs w:val="21"/>
                      <w:highlight w:val="none"/>
                      <w:lang w:val="en-US" w:eastAsia="zh-CN"/>
                    </w:rPr>
                    <w:t>N4</w:t>
                  </w:r>
                </w:p>
              </w:tc>
              <w:tc>
                <w:tcPr>
                  <w:tcW w:w="826" w:type="pct"/>
                  <w:noWrap w:val="0"/>
                  <w:vAlign w:val="center"/>
                </w:tcPr>
                <w:p w14:paraId="1B4AF002">
                  <w:pPr>
                    <w:pStyle w:val="56"/>
                    <w:keepNext w:val="0"/>
                    <w:keepLines w:val="0"/>
                    <w:pageBreakBefore w:val="0"/>
                    <w:widowControl w:val="0"/>
                    <w:kinsoku/>
                    <w:wordWrap/>
                    <w:overflowPunct/>
                    <w:topLinePunct w:val="0"/>
                    <w:bidi w:val="0"/>
                    <w:adjustRightInd/>
                    <w:snapToGrid/>
                    <w:spacing w:line="240" w:lineRule="auto"/>
                    <w:textAlignment w:val="auto"/>
                    <w:rPr>
                      <w:rFonts w:hint="eastAsia" w:ascii="Times New Roman" w:hAnsi="Times New Roman" w:eastAsia="宋体" w:cs="Times New Roman"/>
                      <w:color w:val="auto"/>
                      <w:sz w:val="21"/>
                      <w:szCs w:val="21"/>
                      <w:highlight w:val="none"/>
                      <w:lang w:val="en-US" w:eastAsia="zh-CN"/>
                    </w:rPr>
                  </w:pPr>
                  <w:r>
                    <w:rPr>
                      <w:rFonts w:hint="eastAsia"/>
                      <w:color w:val="auto"/>
                      <w:lang w:eastAsia="zh-CN"/>
                    </w:rPr>
                    <w:t>微波烘干</w:t>
                  </w:r>
                </w:p>
              </w:tc>
              <w:tc>
                <w:tcPr>
                  <w:tcW w:w="886" w:type="pct"/>
                  <w:vMerge w:val="continue"/>
                  <w:noWrap w:val="0"/>
                  <w:vAlign w:val="center"/>
                </w:tcPr>
                <w:p w14:paraId="4C42EDAB">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rPr>
                  </w:pPr>
                </w:p>
              </w:tc>
              <w:tc>
                <w:tcPr>
                  <w:tcW w:w="760" w:type="pct"/>
                  <w:vMerge w:val="continue"/>
                  <w:noWrap w:val="0"/>
                  <w:vAlign w:val="center"/>
                </w:tcPr>
                <w:p w14:paraId="342EC502">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rPr>
                  </w:pPr>
                </w:p>
              </w:tc>
              <w:tc>
                <w:tcPr>
                  <w:tcW w:w="1501" w:type="pct"/>
                  <w:vMerge w:val="continue"/>
                  <w:noWrap w:val="0"/>
                  <w:vAlign w:val="center"/>
                </w:tcPr>
                <w:p w14:paraId="4F87121A">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rPr>
                  </w:pPr>
                </w:p>
              </w:tc>
            </w:tr>
            <w:tr w14:paraId="542CB1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508" w:type="pct"/>
                  <w:vMerge w:val="continue"/>
                  <w:noWrap w:val="0"/>
                  <w:vAlign w:val="center"/>
                </w:tcPr>
                <w:p w14:paraId="6C5A3A3F">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p>
              </w:tc>
              <w:tc>
                <w:tcPr>
                  <w:tcW w:w="517" w:type="pct"/>
                  <w:noWrap w:val="0"/>
                  <w:vAlign w:val="center"/>
                </w:tcPr>
                <w:p w14:paraId="31E7EE6F">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kern w:val="0"/>
                      <w:position w:val="2"/>
                      <w:sz w:val="21"/>
                      <w:szCs w:val="21"/>
                      <w:highlight w:val="none"/>
                      <w:lang w:val="en-US" w:eastAsia="zh-CN" w:bidi="ar-SA"/>
                    </w:rPr>
                  </w:pPr>
                  <w:r>
                    <w:rPr>
                      <w:rFonts w:hint="default" w:ascii="Times New Roman" w:hAnsi="Times New Roman" w:eastAsia="宋体" w:cs="Times New Roman"/>
                      <w:color w:val="auto"/>
                      <w:position w:val="2"/>
                      <w:sz w:val="21"/>
                      <w:szCs w:val="21"/>
                      <w:highlight w:val="none"/>
                      <w:lang w:val="en-US" w:eastAsia="zh-CN"/>
                    </w:rPr>
                    <w:t>N5</w:t>
                  </w:r>
                </w:p>
              </w:tc>
              <w:tc>
                <w:tcPr>
                  <w:tcW w:w="826" w:type="pct"/>
                  <w:noWrap w:val="0"/>
                  <w:vAlign w:val="center"/>
                </w:tcPr>
                <w:p w14:paraId="276FFDB2">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砂光</w:t>
                  </w:r>
                </w:p>
              </w:tc>
              <w:tc>
                <w:tcPr>
                  <w:tcW w:w="886" w:type="pct"/>
                  <w:vMerge w:val="continue"/>
                  <w:noWrap w:val="0"/>
                  <w:vAlign w:val="center"/>
                </w:tcPr>
                <w:p w14:paraId="4601DAF2">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lang w:eastAsia="zh-CN"/>
                    </w:rPr>
                  </w:pPr>
                </w:p>
              </w:tc>
              <w:tc>
                <w:tcPr>
                  <w:tcW w:w="760" w:type="pct"/>
                  <w:vMerge w:val="continue"/>
                  <w:noWrap w:val="0"/>
                  <w:vAlign w:val="center"/>
                </w:tcPr>
                <w:p w14:paraId="2CC9A574">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rPr>
                  </w:pPr>
                </w:p>
              </w:tc>
              <w:tc>
                <w:tcPr>
                  <w:tcW w:w="1501" w:type="pct"/>
                  <w:vMerge w:val="continue"/>
                  <w:noWrap w:val="0"/>
                  <w:vAlign w:val="center"/>
                </w:tcPr>
                <w:p w14:paraId="73316F3B">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rPr>
                  </w:pPr>
                </w:p>
              </w:tc>
            </w:tr>
            <w:tr w14:paraId="734B2F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508" w:type="pct"/>
                  <w:vMerge w:val="continue"/>
                  <w:noWrap w:val="0"/>
                  <w:vAlign w:val="center"/>
                </w:tcPr>
                <w:p w14:paraId="666ED125">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p>
              </w:tc>
              <w:tc>
                <w:tcPr>
                  <w:tcW w:w="517" w:type="pct"/>
                  <w:noWrap w:val="0"/>
                  <w:vAlign w:val="center"/>
                </w:tcPr>
                <w:p w14:paraId="610B86B6">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kern w:val="0"/>
                      <w:position w:val="2"/>
                      <w:sz w:val="21"/>
                      <w:szCs w:val="21"/>
                      <w:highlight w:val="none"/>
                      <w:lang w:val="en-US" w:eastAsia="zh-CN" w:bidi="ar-SA"/>
                    </w:rPr>
                  </w:pPr>
                  <w:r>
                    <w:rPr>
                      <w:rFonts w:hint="default" w:ascii="Times New Roman" w:hAnsi="Times New Roman" w:eastAsia="宋体" w:cs="Times New Roman"/>
                      <w:color w:val="auto"/>
                      <w:position w:val="2"/>
                      <w:sz w:val="21"/>
                      <w:szCs w:val="21"/>
                      <w:highlight w:val="none"/>
                      <w:lang w:val="en-US" w:eastAsia="zh-CN"/>
                    </w:rPr>
                    <w:t>N6</w:t>
                  </w:r>
                </w:p>
              </w:tc>
              <w:tc>
                <w:tcPr>
                  <w:tcW w:w="826" w:type="pct"/>
                  <w:noWrap w:val="0"/>
                  <w:vAlign w:val="center"/>
                </w:tcPr>
                <w:p w14:paraId="4E778924">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开槽</w:t>
                  </w:r>
                </w:p>
              </w:tc>
              <w:tc>
                <w:tcPr>
                  <w:tcW w:w="886" w:type="pct"/>
                  <w:vMerge w:val="continue"/>
                  <w:noWrap w:val="0"/>
                  <w:vAlign w:val="center"/>
                </w:tcPr>
                <w:p w14:paraId="4DD486F8">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lang w:eastAsia="zh-CN"/>
                    </w:rPr>
                  </w:pPr>
                </w:p>
              </w:tc>
              <w:tc>
                <w:tcPr>
                  <w:tcW w:w="760" w:type="pct"/>
                  <w:vMerge w:val="continue"/>
                  <w:noWrap w:val="0"/>
                  <w:vAlign w:val="center"/>
                </w:tcPr>
                <w:p w14:paraId="41FF79B7">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rPr>
                  </w:pPr>
                </w:p>
              </w:tc>
              <w:tc>
                <w:tcPr>
                  <w:tcW w:w="1501" w:type="pct"/>
                  <w:vMerge w:val="continue"/>
                  <w:noWrap w:val="0"/>
                  <w:vAlign w:val="center"/>
                </w:tcPr>
                <w:p w14:paraId="7326FA3E">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rPr>
                  </w:pPr>
                </w:p>
              </w:tc>
            </w:tr>
            <w:tr w14:paraId="6FE683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508" w:type="pct"/>
                  <w:vMerge w:val="continue"/>
                  <w:noWrap w:val="0"/>
                  <w:vAlign w:val="center"/>
                </w:tcPr>
                <w:p w14:paraId="72A03D4E">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p>
              </w:tc>
              <w:tc>
                <w:tcPr>
                  <w:tcW w:w="517" w:type="pct"/>
                  <w:noWrap w:val="0"/>
                  <w:vAlign w:val="center"/>
                </w:tcPr>
                <w:p w14:paraId="3ED5672A">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kern w:val="0"/>
                      <w:position w:val="2"/>
                      <w:sz w:val="21"/>
                      <w:szCs w:val="21"/>
                      <w:highlight w:val="none"/>
                      <w:lang w:val="en-US" w:eastAsia="zh-CN" w:bidi="ar-SA"/>
                    </w:rPr>
                  </w:pPr>
                  <w:r>
                    <w:rPr>
                      <w:rFonts w:hint="default" w:ascii="Times New Roman" w:hAnsi="Times New Roman" w:eastAsia="宋体" w:cs="Times New Roman"/>
                      <w:color w:val="auto"/>
                      <w:position w:val="2"/>
                      <w:sz w:val="21"/>
                      <w:szCs w:val="21"/>
                      <w:highlight w:val="none"/>
                      <w:lang w:val="en-US" w:eastAsia="zh-CN"/>
                    </w:rPr>
                    <w:t>N7</w:t>
                  </w:r>
                </w:p>
              </w:tc>
              <w:tc>
                <w:tcPr>
                  <w:tcW w:w="826" w:type="pct"/>
                  <w:noWrap w:val="0"/>
                  <w:vAlign w:val="center"/>
                </w:tcPr>
                <w:p w14:paraId="5A54CABA">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轻砂光</w:t>
                  </w:r>
                </w:p>
              </w:tc>
              <w:tc>
                <w:tcPr>
                  <w:tcW w:w="886" w:type="pct"/>
                  <w:vMerge w:val="continue"/>
                  <w:noWrap w:val="0"/>
                  <w:vAlign w:val="center"/>
                </w:tcPr>
                <w:p w14:paraId="2A2BCE98">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lang w:eastAsia="zh-CN"/>
                    </w:rPr>
                  </w:pPr>
                </w:p>
              </w:tc>
              <w:tc>
                <w:tcPr>
                  <w:tcW w:w="760" w:type="pct"/>
                  <w:vMerge w:val="continue"/>
                  <w:noWrap w:val="0"/>
                  <w:vAlign w:val="center"/>
                </w:tcPr>
                <w:p w14:paraId="622A9A03">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rPr>
                  </w:pPr>
                </w:p>
              </w:tc>
              <w:tc>
                <w:tcPr>
                  <w:tcW w:w="1501" w:type="pct"/>
                  <w:vMerge w:val="continue"/>
                  <w:noWrap w:val="0"/>
                  <w:vAlign w:val="center"/>
                </w:tcPr>
                <w:p w14:paraId="7EACA339">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rPr>
                  </w:pPr>
                </w:p>
              </w:tc>
            </w:tr>
            <w:tr w14:paraId="0657DA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508" w:type="pct"/>
                  <w:vMerge w:val="continue"/>
                  <w:noWrap w:val="0"/>
                  <w:vAlign w:val="center"/>
                </w:tcPr>
                <w:p w14:paraId="3263B64C">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p>
              </w:tc>
              <w:tc>
                <w:tcPr>
                  <w:tcW w:w="517" w:type="pct"/>
                  <w:noWrap w:val="0"/>
                  <w:vAlign w:val="center"/>
                </w:tcPr>
                <w:p w14:paraId="706C68C7">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kern w:val="0"/>
                      <w:position w:val="2"/>
                      <w:sz w:val="21"/>
                      <w:szCs w:val="21"/>
                      <w:highlight w:val="none"/>
                      <w:lang w:val="en-US" w:eastAsia="zh-CN" w:bidi="ar-SA"/>
                    </w:rPr>
                  </w:pPr>
                  <w:r>
                    <w:rPr>
                      <w:rFonts w:hint="default" w:ascii="Times New Roman" w:hAnsi="Times New Roman" w:eastAsia="宋体" w:cs="Times New Roman"/>
                      <w:color w:val="auto"/>
                      <w:position w:val="2"/>
                      <w:sz w:val="21"/>
                      <w:szCs w:val="21"/>
                      <w:highlight w:val="none"/>
                      <w:lang w:val="en-US" w:eastAsia="zh-CN"/>
                    </w:rPr>
                    <w:t>N8</w:t>
                  </w:r>
                </w:p>
              </w:tc>
              <w:tc>
                <w:tcPr>
                  <w:tcW w:w="826" w:type="pct"/>
                  <w:noWrap w:val="0"/>
                  <w:vAlign w:val="center"/>
                </w:tcPr>
                <w:p w14:paraId="01E911EA">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辊涂、</w:t>
                  </w:r>
                  <w:r>
                    <w:rPr>
                      <w:rFonts w:hint="eastAsia" w:ascii="Times New Roman" w:hAnsi="Times New Roman" w:eastAsia="宋体" w:cs="Times New Roman"/>
                      <w:color w:val="auto"/>
                      <w:sz w:val="21"/>
                      <w:szCs w:val="21"/>
                      <w:highlight w:val="none"/>
                      <w:lang w:val="en-US" w:eastAsia="zh-CN"/>
                    </w:rPr>
                    <w:t>紫外光固化、油砂砂光</w:t>
                  </w:r>
                </w:p>
              </w:tc>
              <w:tc>
                <w:tcPr>
                  <w:tcW w:w="886" w:type="pct"/>
                  <w:vMerge w:val="continue"/>
                  <w:noWrap w:val="0"/>
                  <w:vAlign w:val="center"/>
                </w:tcPr>
                <w:p w14:paraId="4BEFF332">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lang w:eastAsia="zh-CN"/>
                    </w:rPr>
                  </w:pPr>
                </w:p>
              </w:tc>
              <w:tc>
                <w:tcPr>
                  <w:tcW w:w="760" w:type="pct"/>
                  <w:vMerge w:val="continue"/>
                  <w:noWrap w:val="0"/>
                  <w:vAlign w:val="center"/>
                </w:tcPr>
                <w:p w14:paraId="2178045B">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rPr>
                  </w:pPr>
                </w:p>
              </w:tc>
              <w:tc>
                <w:tcPr>
                  <w:tcW w:w="1501" w:type="pct"/>
                  <w:vMerge w:val="continue"/>
                  <w:noWrap w:val="0"/>
                  <w:vAlign w:val="center"/>
                </w:tcPr>
                <w:p w14:paraId="491ABEB8">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rPr>
                  </w:pPr>
                </w:p>
              </w:tc>
            </w:tr>
            <w:tr w14:paraId="2C3683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508" w:type="pct"/>
                  <w:vMerge w:val="continue"/>
                  <w:noWrap w:val="0"/>
                  <w:vAlign w:val="center"/>
                </w:tcPr>
                <w:p w14:paraId="1BA621B0">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p>
              </w:tc>
              <w:tc>
                <w:tcPr>
                  <w:tcW w:w="517" w:type="pct"/>
                  <w:noWrap w:val="0"/>
                  <w:vAlign w:val="center"/>
                </w:tcPr>
                <w:p w14:paraId="1B0999C0">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position w:val="2"/>
                      <w:sz w:val="21"/>
                      <w:szCs w:val="21"/>
                      <w:highlight w:val="none"/>
                      <w:lang w:val="en-US" w:eastAsia="zh-CN"/>
                    </w:rPr>
                  </w:pPr>
                  <w:r>
                    <w:rPr>
                      <w:rFonts w:hint="eastAsia" w:ascii="Times New Roman" w:hAnsi="Times New Roman" w:eastAsia="宋体" w:cs="Times New Roman"/>
                      <w:color w:val="auto"/>
                      <w:position w:val="2"/>
                      <w:sz w:val="21"/>
                      <w:szCs w:val="21"/>
                      <w:highlight w:val="none"/>
                      <w:lang w:val="en-US" w:eastAsia="zh-CN"/>
                    </w:rPr>
                    <w:t>N9</w:t>
                  </w:r>
                </w:p>
              </w:tc>
              <w:tc>
                <w:tcPr>
                  <w:tcW w:w="826" w:type="pct"/>
                  <w:noWrap w:val="0"/>
                  <w:vAlign w:val="center"/>
                </w:tcPr>
                <w:p w14:paraId="63E78B42">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包装</w:t>
                  </w:r>
                </w:p>
              </w:tc>
              <w:tc>
                <w:tcPr>
                  <w:tcW w:w="886" w:type="pct"/>
                  <w:vMerge w:val="continue"/>
                  <w:noWrap w:val="0"/>
                  <w:vAlign w:val="center"/>
                </w:tcPr>
                <w:p w14:paraId="367A959B">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lang w:eastAsia="zh-CN"/>
                    </w:rPr>
                  </w:pPr>
                </w:p>
              </w:tc>
              <w:tc>
                <w:tcPr>
                  <w:tcW w:w="760" w:type="pct"/>
                  <w:vMerge w:val="continue"/>
                  <w:noWrap w:val="0"/>
                  <w:vAlign w:val="center"/>
                </w:tcPr>
                <w:p w14:paraId="22C911AE">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rPr>
                  </w:pPr>
                </w:p>
              </w:tc>
              <w:tc>
                <w:tcPr>
                  <w:tcW w:w="1501" w:type="pct"/>
                  <w:vMerge w:val="continue"/>
                  <w:noWrap w:val="0"/>
                  <w:vAlign w:val="center"/>
                </w:tcPr>
                <w:p w14:paraId="016CE940">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rPr>
                  </w:pPr>
                </w:p>
              </w:tc>
            </w:tr>
            <w:tr w14:paraId="186AA7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508" w:type="pct"/>
                  <w:vMerge w:val="restart"/>
                  <w:noWrap w:val="0"/>
                  <w:vAlign w:val="center"/>
                </w:tcPr>
                <w:p w14:paraId="0420AA85">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固废</w:t>
                  </w:r>
                </w:p>
              </w:tc>
              <w:tc>
                <w:tcPr>
                  <w:tcW w:w="517" w:type="pct"/>
                  <w:noWrap w:val="0"/>
                  <w:vAlign w:val="center"/>
                </w:tcPr>
                <w:p w14:paraId="68F7A34D">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position w:val="2"/>
                      <w:sz w:val="21"/>
                      <w:szCs w:val="21"/>
                      <w:highlight w:val="none"/>
                      <w:lang w:eastAsia="zh-CN"/>
                    </w:rPr>
                  </w:pPr>
                  <w:r>
                    <w:rPr>
                      <w:rFonts w:hint="default" w:ascii="Times New Roman" w:hAnsi="Times New Roman" w:eastAsia="宋体" w:cs="Times New Roman"/>
                      <w:color w:val="auto"/>
                      <w:position w:val="2"/>
                      <w:sz w:val="21"/>
                      <w:szCs w:val="21"/>
                      <w:highlight w:val="none"/>
                      <w:lang w:eastAsia="zh-CN"/>
                    </w:rPr>
                    <w:t>S1</w:t>
                  </w:r>
                </w:p>
              </w:tc>
              <w:tc>
                <w:tcPr>
                  <w:tcW w:w="826" w:type="pct"/>
                  <w:noWrap w:val="0"/>
                  <w:vAlign w:val="center"/>
                </w:tcPr>
                <w:p w14:paraId="31DBE521">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下料</w:t>
                  </w:r>
                </w:p>
              </w:tc>
              <w:tc>
                <w:tcPr>
                  <w:tcW w:w="886" w:type="pct"/>
                  <w:noWrap w:val="0"/>
                  <w:vAlign w:val="center"/>
                </w:tcPr>
                <w:p w14:paraId="4338CB46">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优选锯</w:t>
                  </w:r>
                </w:p>
              </w:tc>
              <w:tc>
                <w:tcPr>
                  <w:tcW w:w="760" w:type="pct"/>
                  <w:noWrap w:val="0"/>
                  <w:vAlign w:val="center"/>
                </w:tcPr>
                <w:p w14:paraId="1AC243E9">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pacing w:val="9"/>
                      <w:sz w:val="21"/>
                      <w:szCs w:val="21"/>
                      <w:lang w:eastAsia="zh-CN"/>
                    </w:rPr>
                    <w:t>废木</w:t>
                  </w:r>
                  <w:r>
                    <w:rPr>
                      <w:rFonts w:hint="default" w:ascii="Times New Roman" w:hAnsi="Times New Roman" w:eastAsia="宋体" w:cs="Times New Roman"/>
                      <w:color w:val="auto"/>
                      <w:spacing w:val="9"/>
                      <w:sz w:val="21"/>
                      <w:szCs w:val="21"/>
                    </w:rPr>
                    <w:t>料</w:t>
                  </w:r>
                </w:p>
              </w:tc>
              <w:tc>
                <w:tcPr>
                  <w:tcW w:w="1501" w:type="pct"/>
                  <w:vMerge w:val="restart"/>
                  <w:noWrap w:val="0"/>
                  <w:vAlign w:val="center"/>
                </w:tcPr>
                <w:p w14:paraId="6EFF6733">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9"/>
                      <w:sz w:val="21"/>
                      <w:szCs w:val="21"/>
                      <w:lang w:eastAsia="zh-CN"/>
                    </w:rPr>
                    <w:t>暂存</w:t>
                  </w:r>
                  <w:r>
                    <w:rPr>
                      <w:rFonts w:hint="default" w:ascii="Times New Roman" w:hAnsi="Times New Roman" w:eastAsia="宋体" w:cs="Times New Roman"/>
                      <w:color w:val="auto"/>
                      <w:spacing w:val="9"/>
                      <w:sz w:val="21"/>
                      <w:szCs w:val="21"/>
                    </w:rPr>
                    <w:t>于</w:t>
                  </w:r>
                  <w:r>
                    <w:rPr>
                      <w:rFonts w:hint="default" w:ascii="Times New Roman" w:hAnsi="Times New Roman" w:eastAsia="宋体" w:cs="Times New Roman"/>
                      <w:color w:val="auto"/>
                      <w:spacing w:val="9"/>
                      <w:sz w:val="21"/>
                      <w:szCs w:val="21"/>
                      <w:lang w:eastAsia="zh-CN"/>
                    </w:rPr>
                    <w:t>一般固废暂存间定期</w:t>
                  </w:r>
                  <w:r>
                    <w:rPr>
                      <w:rFonts w:hint="default" w:ascii="Times New Roman" w:hAnsi="Times New Roman" w:eastAsia="宋体" w:cs="Times New Roman"/>
                      <w:color w:val="auto"/>
                      <w:spacing w:val="9"/>
                      <w:sz w:val="21"/>
                      <w:szCs w:val="21"/>
                    </w:rPr>
                    <w:t>外售</w:t>
                  </w:r>
                </w:p>
              </w:tc>
            </w:tr>
            <w:tr w14:paraId="545E7A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508" w:type="pct"/>
                  <w:vMerge w:val="continue"/>
                  <w:noWrap w:val="0"/>
                  <w:vAlign w:val="center"/>
                </w:tcPr>
                <w:p w14:paraId="7688F421">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p>
              </w:tc>
              <w:tc>
                <w:tcPr>
                  <w:tcW w:w="517" w:type="pct"/>
                  <w:noWrap w:val="0"/>
                  <w:vAlign w:val="center"/>
                </w:tcPr>
                <w:p w14:paraId="424F72C0">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position w:val="2"/>
                      <w:sz w:val="21"/>
                      <w:szCs w:val="21"/>
                      <w:highlight w:val="none"/>
                      <w:lang w:eastAsia="zh-CN"/>
                    </w:rPr>
                  </w:pPr>
                  <w:r>
                    <w:rPr>
                      <w:rFonts w:hint="default" w:ascii="Times New Roman" w:hAnsi="Times New Roman" w:eastAsia="宋体" w:cs="Times New Roman"/>
                      <w:color w:val="auto"/>
                      <w:position w:val="2"/>
                      <w:sz w:val="21"/>
                      <w:szCs w:val="21"/>
                      <w:highlight w:val="none"/>
                      <w:lang w:eastAsia="zh-CN"/>
                    </w:rPr>
                    <w:t>S2</w:t>
                  </w:r>
                </w:p>
              </w:tc>
              <w:tc>
                <w:tcPr>
                  <w:tcW w:w="826" w:type="pct"/>
                  <w:vMerge w:val="restart"/>
                  <w:noWrap w:val="0"/>
                  <w:vAlign w:val="center"/>
                </w:tcPr>
                <w:p w14:paraId="500B8CB4">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梳齿</w:t>
                  </w:r>
                  <w:r>
                    <w:rPr>
                      <w:rFonts w:hint="default" w:ascii="Times New Roman" w:hAnsi="Times New Roman" w:eastAsia="宋体" w:cs="Times New Roman"/>
                      <w:color w:val="auto"/>
                      <w:sz w:val="21"/>
                      <w:szCs w:val="21"/>
                      <w:highlight w:val="none"/>
                      <w:lang w:eastAsia="zh-CN"/>
                    </w:rPr>
                    <w:t>指接</w:t>
                  </w:r>
                </w:p>
              </w:tc>
              <w:tc>
                <w:tcPr>
                  <w:tcW w:w="886" w:type="pct"/>
                  <w:vMerge w:val="restart"/>
                  <w:noWrap w:val="0"/>
                  <w:vAlign w:val="center"/>
                </w:tcPr>
                <w:p w14:paraId="653F338A">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梳齿机、</w:t>
                  </w:r>
                  <w:r>
                    <w:rPr>
                      <w:rFonts w:hint="default" w:ascii="Times New Roman" w:hAnsi="Times New Roman" w:eastAsia="宋体" w:cs="Times New Roman"/>
                      <w:color w:val="auto"/>
                      <w:sz w:val="21"/>
                      <w:szCs w:val="21"/>
                      <w:highlight w:val="none"/>
                      <w:lang w:val="en-US" w:eastAsia="zh-CN"/>
                    </w:rPr>
                    <w:t>指接机</w:t>
                  </w:r>
                </w:p>
              </w:tc>
              <w:tc>
                <w:tcPr>
                  <w:tcW w:w="760" w:type="pct"/>
                  <w:noWrap w:val="0"/>
                  <w:vAlign w:val="center"/>
                </w:tcPr>
                <w:p w14:paraId="7B07620C">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pacing w:val="9"/>
                      <w:sz w:val="21"/>
                      <w:szCs w:val="21"/>
                      <w:lang w:eastAsia="zh-CN"/>
                    </w:rPr>
                    <w:t>废木</w:t>
                  </w:r>
                  <w:r>
                    <w:rPr>
                      <w:rFonts w:hint="default" w:ascii="Times New Roman" w:hAnsi="Times New Roman" w:eastAsia="宋体" w:cs="Times New Roman"/>
                      <w:color w:val="auto"/>
                      <w:spacing w:val="9"/>
                      <w:sz w:val="21"/>
                      <w:szCs w:val="21"/>
                    </w:rPr>
                    <w:t>料</w:t>
                  </w:r>
                </w:p>
              </w:tc>
              <w:tc>
                <w:tcPr>
                  <w:tcW w:w="1501" w:type="pct"/>
                  <w:vMerge w:val="continue"/>
                  <w:noWrap w:val="0"/>
                  <w:vAlign w:val="center"/>
                </w:tcPr>
                <w:p w14:paraId="75208693">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lang w:eastAsia="zh-CN"/>
                    </w:rPr>
                  </w:pPr>
                </w:p>
              </w:tc>
            </w:tr>
            <w:tr w14:paraId="0D8408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508" w:type="pct"/>
                  <w:vMerge w:val="continue"/>
                  <w:noWrap w:val="0"/>
                  <w:vAlign w:val="center"/>
                </w:tcPr>
                <w:p w14:paraId="7EA61A7B">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p>
              </w:tc>
              <w:tc>
                <w:tcPr>
                  <w:tcW w:w="517" w:type="pct"/>
                  <w:noWrap w:val="0"/>
                  <w:vAlign w:val="center"/>
                </w:tcPr>
                <w:p w14:paraId="0D4CD17D">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position w:val="2"/>
                      <w:sz w:val="21"/>
                      <w:szCs w:val="21"/>
                      <w:highlight w:val="none"/>
                      <w:lang w:eastAsia="zh-CN"/>
                    </w:rPr>
                  </w:pPr>
                  <w:r>
                    <w:rPr>
                      <w:rFonts w:hint="default" w:ascii="Times New Roman" w:hAnsi="Times New Roman" w:eastAsia="宋体" w:cs="Times New Roman"/>
                      <w:color w:val="auto"/>
                      <w:position w:val="2"/>
                      <w:sz w:val="21"/>
                      <w:szCs w:val="21"/>
                      <w:highlight w:val="none"/>
                      <w:lang w:eastAsia="zh-CN"/>
                    </w:rPr>
                    <w:t>S3</w:t>
                  </w:r>
                </w:p>
              </w:tc>
              <w:tc>
                <w:tcPr>
                  <w:tcW w:w="826" w:type="pct"/>
                  <w:vMerge w:val="continue"/>
                  <w:noWrap w:val="0"/>
                  <w:vAlign w:val="center"/>
                </w:tcPr>
                <w:p w14:paraId="5720398D">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lang w:eastAsia="zh-CN"/>
                    </w:rPr>
                  </w:pPr>
                </w:p>
              </w:tc>
              <w:tc>
                <w:tcPr>
                  <w:tcW w:w="886" w:type="pct"/>
                  <w:vMerge w:val="continue"/>
                  <w:noWrap w:val="0"/>
                  <w:vAlign w:val="center"/>
                </w:tcPr>
                <w:p w14:paraId="4F016BB4">
                  <w:pPr>
                    <w:pStyle w:val="5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eastAsia="zh-CN"/>
                    </w:rPr>
                  </w:pPr>
                </w:p>
              </w:tc>
              <w:tc>
                <w:tcPr>
                  <w:tcW w:w="760" w:type="pct"/>
                  <w:noWrap w:val="0"/>
                  <w:vAlign w:val="center"/>
                </w:tcPr>
                <w:p w14:paraId="64B3303F">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废胶渣</w:t>
                  </w:r>
                  <w:r>
                    <w:rPr>
                      <w:rFonts w:hint="eastAsia" w:ascii="Times New Roman" w:hAnsi="Times New Roman" w:eastAsia="宋体" w:cs="Times New Roman"/>
                      <w:color w:val="auto"/>
                      <w:sz w:val="21"/>
                      <w:szCs w:val="21"/>
                      <w:highlight w:val="none"/>
                      <w:lang w:eastAsia="zh-CN"/>
                    </w:rPr>
                    <w:t>、废胶桶</w:t>
                  </w:r>
                </w:p>
              </w:tc>
              <w:tc>
                <w:tcPr>
                  <w:tcW w:w="1501" w:type="pct"/>
                  <w:noWrap w:val="0"/>
                  <w:vAlign w:val="center"/>
                </w:tcPr>
                <w:p w14:paraId="77519B1D">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9"/>
                      <w:sz w:val="21"/>
                      <w:szCs w:val="21"/>
                    </w:rPr>
                    <w:t>存于</w:t>
                  </w:r>
                  <w:r>
                    <w:rPr>
                      <w:rFonts w:hint="eastAsia" w:ascii="Times New Roman" w:hAnsi="Times New Roman" w:eastAsia="宋体" w:cs="Times New Roman"/>
                      <w:color w:val="auto"/>
                      <w:spacing w:val="9"/>
                      <w:sz w:val="21"/>
                      <w:szCs w:val="21"/>
                      <w:lang w:val="en-US" w:eastAsia="zh-CN"/>
                    </w:rPr>
                    <w:t>15</w:t>
                  </w:r>
                  <w:r>
                    <w:rPr>
                      <w:rFonts w:hint="default" w:ascii="Times New Roman" w:hAnsi="Times New Roman" w:eastAsia="宋体" w:cs="Times New Roman"/>
                      <w:color w:val="auto"/>
                      <w:spacing w:val="9"/>
                      <w:sz w:val="21"/>
                      <w:szCs w:val="21"/>
                      <w:lang w:val="en-US" w:eastAsia="zh-CN"/>
                    </w:rPr>
                    <w:t>m</w:t>
                  </w:r>
                  <w:r>
                    <w:rPr>
                      <w:rFonts w:hint="default" w:ascii="Times New Roman" w:hAnsi="Times New Roman" w:eastAsia="宋体" w:cs="Times New Roman"/>
                      <w:color w:val="auto"/>
                      <w:spacing w:val="9"/>
                      <w:sz w:val="21"/>
                      <w:szCs w:val="21"/>
                      <w:vertAlign w:val="superscript"/>
                      <w:lang w:val="en-US" w:eastAsia="zh-CN"/>
                    </w:rPr>
                    <w:t>2</w:t>
                  </w:r>
                  <w:r>
                    <w:rPr>
                      <w:rFonts w:hint="default" w:ascii="Times New Roman" w:hAnsi="Times New Roman" w:eastAsia="宋体" w:cs="Times New Roman"/>
                      <w:color w:val="auto"/>
                      <w:spacing w:val="9"/>
                      <w:sz w:val="21"/>
                      <w:szCs w:val="21"/>
                    </w:rPr>
                    <w:t>的</w:t>
                  </w:r>
                  <w:r>
                    <w:rPr>
                      <w:rFonts w:hint="eastAsia" w:ascii="Times New Roman" w:hAnsi="Times New Roman" w:eastAsia="宋体" w:cs="Times New Roman"/>
                      <w:color w:val="auto"/>
                      <w:spacing w:val="9"/>
                      <w:sz w:val="21"/>
                      <w:szCs w:val="21"/>
                      <w:lang w:eastAsia="zh-CN"/>
                    </w:rPr>
                    <w:t>危险废物贮存点</w:t>
                  </w:r>
                  <w:r>
                    <w:rPr>
                      <w:rFonts w:hint="default" w:ascii="Times New Roman" w:hAnsi="Times New Roman" w:eastAsia="宋体" w:cs="Times New Roman"/>
                      <w:color w:val="auto"/>
                      <w:spacing w:val="9"/>
                      <w:sz w:val="21"/>
                      <w:szCs w:val="21"/>
                      <w:lang w:eastAsia="zh-CN"/>
                    </w:rPr>
                    <w:t>内，定期交有资质单位处置</w:t>
                  </w:r>
                </w:p>
              </w:tc>
            </w:tr>
            <w:tr w14:paraId="364315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508" w:type="pct"/>
                  <w:vMerge w:val="continue"/>
                  <w:noWrap w:val="0"/>
                  <w:vAlign w:val="center"/>
                </w:tcPr>
                <w:p w14:paraId="4BABE849">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p>
              </w:tc>
              <w:tc>
                <w:tcPr>
                  <w:tcW w:w="517" w:type="pct"/>
                  <w:noWrap w:val="0"/>
                  <w:vAlign w:val="center"/>
                </w:tcPr>
                <w:p w14:paraId="5834B8E5">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position w:val="2"/>
                      <w:sz w:val="21"/>
                      <w:szCs w:val="21"/>
                      <w:highlight w:val="none"/>
                      <w:lang w:eastAsia="zh-CN"/>
                    </w:rPr>
                  </w:pPr>
                  <w:r>
                    <w:rPr>
                      <w:rFonts w:hint="default" w:ascii="Times New Roman" w:hAnsi="Times New Roman" w:eastAsia="宋体" w:cs="Times New Roman"/>
                      <w:color w:val="auto"/>
                      <w:position w:val="2"/>
                      <w:sz w:val="21"/>
                      <w:szCs w:val="21"/>
                      <w:highlight w:val="none"/>
                      <w:lang w:eastAsia="zh-CN"/>
                    </w:rPr>
                    <w:t>S</w:t>
                  </w:r>
                  <w:r>
                    <w:rPr>
                      <w:rFonts w:hint="default" w:ascii="Times New Roman" w:hAnsi="Times New Roman" w:eastAsia="宋体" w:cs="Times New Roman"/>
                      <w:color w:val="auto"/>
                      <w:position w:val="2"/>
                      <w:sz w:val="21"/>
                      <w:szCs w:val="21"/>
                      <w:highlight w:val="none"/>
                      <w:lang w:val="en-US" w:eastAsia="zh-CN"/>
                    </w:rPr>
                    <w:t>4</w:t>
                  </w:r>
                </w:p>
              </w:tc>
              <w:tc>
                <w:tcPr>
                  <w:tcW w:w="826" w:type="pct"/>
                  <w:noWrap w:val="0"/>
                  <w:vAlign w:val="center"/>
                </w:tcPr>
                <w:p w14:paraId="2AE2508F">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开槽</w:t>
                  </w:r>
                </w:p>
              </w:tc>
              <w:tc>
                <w:tcPr>
                  <w:tcW w:w="886" w:type="pct"/>
                  <w:noWrap w:val="0"/>
                  <w:vAlign w:val="center"/>
                </w:tcPr>
                <w:p w14:paraId="6B308AC2">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四面刨、</w:t>
                  </w:r>
                  <w:r>
                    <w:rPr>
                      <w:rFonts w:hint="default" w:ascii="Times New Roman" w:hAnsi="Times New Roman" w:eastAsia="宋体" w:cs="Times New Roman"/>
                      <w:color w:val="auto"/>
                      <w:spacing w:val="3"/>
                      <w:sz w:val="21"/>
                      <w:szCs w:val="21"/>
                      <w:lang w:eastAsia="zh-CN"/>
                    </w:rPr>
                    <w:t>双端铣</w:t>
                  </w:r>
                </w:p>
              </w:tc>
              <w:tc>
                <w:tcPr>
                  <w:tcW w:w="760" w:type="pct"/>
                  <w:noWrap w:val="0"/>
                  <w:vAlign w:val="center"/>
                </w:tcPr>
                <w:p w14:paraId="5CBEB574">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pacing w:val="9"/>
                      <w:sz w:val="21"/>
                      <w:szCs w:val="21"/>
                      <w:lang w:eastAsia="zh-CN"/>
                    </w:rPr>
                    <w:t>废木</w:t>
                  </w:r>
                  <w:r>
                    <w:rPr>
                      <w:rFonts w:hint="default" w:ascii="Times New Roman" w:hAnsi="Times New Roman" w:eastAsia="宋体" w:cs="Times New Roman"/>
                      <w:color w:val="auto"/>
                      <w:spacing w:val="9"/>
                      <w:sz w:val="21"/>
                      <w:szCs w:val="21"/>
                    </w:rPr>
                    <w:t>料</w:t>
                  </w:r>
                </w:p>
              </w:tc>
              <w:tc>
                <w:tcPr>
                  <w:tcW w:w="1501" w:type="pct"/>
                  <w:noWrap w:val="0"/>
                  <w:vAlign w:val="center"/>
                </w:tcPr>
                <w:p w14:paraId="2191A9EE">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9"/>
                      <w:sz w:val="21"/>
                      <w:szCs w:val="21"/>
                      <w:lang w:eastAsia="zh-CN"/>
                    </w:rPr>
                    <w:t>暂存</w:t>
                  </w:r>
                  <w:r>
                    <w:rPr>
                      <w:rFonts w:hint="default" w:ascii="Times New Roman" w:hAnsi="Times New Roman" w:eastAsia="宋体" w:cs="Times New Roman"/>
                      <w:color w:val="auto"/>
                      <w:spacing w:val="9"/>
                      <w:sz w:val="21"/>
                      <w:szCs w:val="21"/>
                    </w:rPr>
                    <w:t>于</w:t>
                  </w:r>
                  <w:r>
                    <w:rPr>
                      <w:rFonts w:hint="default" w:ascii="Times New Roman" w:hAnsi="Times New Roman" w:eastAsia="宋体" w:cs="Times New Roman"/>
                      <w:color w:val="auto"/>
                      <w:spacing w:val="9"/>
                      <w:sz w:val="21"/>
                      <w:szCs w:val="21"/>
                      <w:lang w:eastAsia="zh-CN"/>
                    </w:rPr>
                    <w:t>一般固废暂存间定期</w:t>
                  </w:r>
                  <w:r>
                    <w:rPr>
                      <w:rFonts w:hint="default" w:ascii="Times New Roman" w:hAnsi="Times New Roman" w:eastAsia="宋体" w:cs="Times New Roman"/>
                      <w:color w:val="auto"/>
                      <w:spacing w:val="9"/>
                      <w:sz w:val="21"/>
                      <w:szCs w:val="21"/>
                    </w:rPr>
                    <w:t>外售</w:t>
                  </w:r>
                </w:p>
              </w:tc>
            </w:tr>
            <w:tr w14:paraId="04ABAC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508" w:type="pct"/>
                  <w:vMerge w:val="continue"/>
                  <w:noWrap w:val="0"/>
                  <w:vAlign w:val="center"/>
                </w:tcPr>
                <w:p w14:paraId="3E37ABBC">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p>
              </w:tc>
              <w:tc>
                <w:tcPr>
                  <w:tcW w:w="517" w:type="pct"/>
                  <w:noWrap w:val="0"/>
                  <w:vAlign w:val="center"/>
                </w:tcPr>
                <w:p w14:paraId="765B91B6">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position w:val="2"/>
                      <w:sz w:val="21"/>
                      <w:szCs w:val="21"/>
                      <w:highlight w:val="none"/>
                      <w:lang w:val="en-US" w:eastAsia="zh-CN"/>
                    </w:rPr>
                  </w:pPr>
                  <w:r>
                    <w:rPr>
                      <w:rFonts w:hint="default" w:ascii="Times New Roman" w:hAnsi="Times New Roman" w:eastAsia="宋体" w:cs="Times New Roman"/>
                      <w:color w:val="auto"/>
                      <w:position w:val="2"/>
                      <w:sz w:val="21"/>
                      <w:szCs w:val="21"/>
                      <w:highlight w:val="none"/>
                      <w:lang w:val="en-US" w:eastAsia="zh-CN"/>
                    </w:rPr>
                    <w:t>S5</w:t>
                  </w:r>
                </w:p>
              </w:tc>
              <w:tc>
                <w:tcPr>
                  <w:tcW w:w="826" w:type="pct"/>
                  <w:vMerge w:val="restart"/>
                  <w:noWrap w:val="0"/>
                  <w:vAlign w:val="center"/>
                </w:tcPr>
                <w:p w14:paraId="0DBF0B6D">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辊涂、</w:t>
                  </w:r>
                  <w:r>
                    <w:rPr>
                      <w:rFonts w:hint="eastAsia" w:ascii="Times New Roman" w:hAnsi="Times New Roman" w:eastAsia="宋体" w:cs="Times New Roman"/>
                      <w:color w:val="auto"/>
                      <w:sz w:val="21"/>
                      <w:szCs w:val="21"/>
                      <w:highlight w:val="none"/>
                      <w:lang w:val="en-US" w:eastAsia="zh-CN"/>
                    </w:rPr>
                    <w:t>紫外光固化</w:t>
                  </w:r>
                </w:p>
              </w:tc>
              <w:tc>
                <w:tcPr>
                  <w:tcW w:w="886" w:type="pct"/>
                  <w:vMerge w:val="restart"/>
                  <w:noWrap w:val="0"/>
                  <w:vAlign w:val="center"/>
                </w:tcPr>
                <w:p w14:paraId="764A829F">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辊涂机、紫外光固化机</w:t>
                  </w:r>
                </w:p>
              </w:tc>
              <w:tc>
                <w:tcPr>
                  <w:tcW w:w="760" w:type="pct"/>
                  <w:noWrap w:val="0"/>
                  <w:vAlign w:val="center"/>
                </w:tcPr>
                <w:p w14:paraId="03F3EF88">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废紫外灯管</w:t>
                  </w:r>
                </w:p>
              </w:tc>
              <w:tc>
                <w:tcPr>
                  <w:tcW w:w="1501" w:type="pct"/>
                  <w:vMerge w:val="restart"/>
                  <w:noWrap w:val="0"/>
                  <w:vAlign w:val="center"/>
                </w:tcPr>
                <w:p w14:paraId="2D45C85E">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9"/>
                      <w:sz w:val="21"/>
                      <w:szCs w:val="21"/>
                    </w:rPr>
                    <w:t>存于</w:t>
                  </w:r>
                  <w:r>
                    <w:rPr>
                      <w:rFonts w:hint="eastAsia" w:ascii="Times New Roman" w:hAnsi="Times New Roman" w:eastAsia="宋体" w:cs="Times New Roman"/>
                      <w:color w:val="auto"/>
                      <w:spacing w:val="9"/>
                      <w:sz w:val="21"/>
                      <w:szCs w:val="21"/>
                      <w:lang w:val="en-US" w:eastAsia="zh-CN"/>
                    </w:rPr>
                    <w:t>15</w:t>
                  </w:r>
                  <w:r>
                    <w:rPr>
                      <w:rFonts w:hint="default" w:ascii="Times New Roman" w:hAnsi="Times New Roman" w:eastAsia="宋体" w:cs="Times New Roman"/>
                      <w:color w:val="auto"/>
                      <w:spacing w:val="9"/>
                      <w:sz w:val="21"/>
                      <w:szCs w:val="21"/>
                      <w:lang w:val="en-US" w:eastAsia="zh-CN"/>
                    </w:rPr>
                    <w:t>m</w:t>
                  </w:r>
                  <w:r>
                    <w:rPr>
                      <w:rFonts w:hint="default" w:ascii="Times New Roman" w:hAnsi="Times New Roman" w:eastAsia="宋体" w:cs="Times New Roman"/>
                      <w:color w:val="auto"/>
                      <w:spacing w:val="9"/>
                      <w:sz w:val="21"/>
                      <w:szCs w:val="21"/>
                      <w:vertAlign w:val="superscript"/>
                      <w:lang w:val="en-US" w:eastAsia="zh-CN"/>
                    </w:rPr>
                    <w:t>2</w:t>
                  </w:r>
                  <w:r>
                    <w:rPr>
                      <w:rFonts w:hint="default" w:ascii="Times New Roman" w:hAnsi="Times New Roman" w:eastAsia="宋体" w:cs="Times New Roman"/>
                      <w:color w:val="auto"/>
                      <w:spacing w:val="9"/>
                      <w:sz w:val="21"/>
                      <w:szCs w:val="21"/>
                    </w:rPr>
                    <w:t>的</w:t>
                  </w:r>
                  <w:r>
                    <w:rPr>
                      <w:rFonts w:hint="eastAsia" w:ascii="Times New Roman" w:hAnsi="Times New Roman" w:eastAsia="宋体" w:cs="Times New Roman"/>
                      <w:color w:val="auto"/>
                      <w:spacing w:val="9"/>
                      <w:sz w:val="21"/>
                      <w:szCs w:val="21"/>
                      <w:lang w:eastAsia="zh-CN"/>
                    </w:rPr>
                    <w:t>危险废物贮存点</w:t>
                  </w:r>
                  <w:r>
                    <w:rPr>
                      <w:rFonts w:hint="default" w:ascii="Times New Roman" w:hAnsi="Times New Roman" w:eastAsia="宋体" w:cs="Times New Roman"/>
                      <w:color w:val="auto"/>
                      <w:spacing w:val="9"/>
                      <w:sz w:val="21"/>
                      <w:szCs w:val="21"/>
                      <w:lang w:eastAsia="zh-CN"/>
                    </w:rPr>
                    <w:t>内，定期交有资质单位处置</w:t>
                  </w:r>
                </w:p>
              </w:tc>
            </w:tr>
            <w:tr w14:paraId="16DB5E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508" w:type="pct"/>
                  <w:vMerge w:val="continue"/>
                  <w:noWrap w:val="0"/>
                  <w:vAlign w:val="center"/>
                </w:tcPr>
                <w:p w14:paraId="5880C12E">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p>
              </w:tc>
              <w:tc>
                <w:tcPr>
                  <w:tcW w:w="517" w:type="pct"/>
                  <w:noWrap w:val="0"/>
                  <w:vAlign w:val="center"/>
                </w:tcPr>
                <w:p w14:paraId="3B5E36C3">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position w:val="2"/>
                      <w:sz w:val="21"/>
                      <w:szCs w:val="21"/>
                      <w:highlight w:val="none"/>
                      <w:lang w:val="en-US" w:eastAsia="zh-CN"/>
                    </w:rPr>
                  </w:pPr>
                  <w:r>
                    <w:rPr>
                      <w:rFonts w:hint="default" w:ascii="Times New Roman" w:hAnsi="Times New Roman" w:eastAsia="宋体" w:cs="Times New Roman"/>
                      <w:color w:val="auto"/>
                      <w:position w:val="2"/>
                      <w:sz w:val="21"/>
                      <w:szCs w:val="21"/>
                      <w:highlight w:val="none"/>
                      <w:lang w:val="en-US" w:eastAsia="zh-CN"/>
                    </w:rPr>
                    <w:t>S6</w:t>
                  </w:r>
                </w:p>
              </w:tc>
              <w:tc>
                <w:tcPr>
                  <w:tcW w:w="826" w:type="pct"/>
                  <w:vMerge w:val="continue"/>
                  <w:noWrap w:val="0"/>
                  <w:vAlign w:val="center"/>
                </w:tcPr>
                <w:p w14:paraId="724BDE0D">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lang w:eastAsia="zh-CN"/>
                    </w:rPr>
                  </w:pPr>
                </w:p>
              </w:tc>
              <w:tc>
                <w:tcPr>
                  <w:tcW w:w="886" w:type="pct"/>
                  <w:vMerge w:val="continue"/>
                  <w:noWrap w:val="0"/>
                  <w:vAlign w:val="center"/>
                </w:tcPr>
                <w:p w14:paraId="51DC2632">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lang w:eastAsia="zh-CN"/>
                    </w:rPr>
                  </w:pPr>
                </w:p>
              </w:tc>
              <w:tc>
                <w:tcPr>
                  <w:tcW w:w="760" w:type="pct"/>
                  <w:noWrap w:val="0"/>
                  <w:vAlign w:val="center"/>
                </w:tcPr>
                <w:p w14:paraId="3F4EF5AD">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废漆桶</w:t>
                  </w:r>
                </w:p>
              </w:tc>
              <w:tc>
                <w:tcPr>
                  <w:tcW w:w="1501" w:type="pct"/>
                  <w:vMerge w:val="continue"/>
                  <w:noWrap w:val="0"/>
                  <w:vAlign w:val="center"/>
                </w:tcPr>
                <w:p w14:paraId="4EA39E92">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rPr>
                  </w:pPr>
                </w:p>
              </w:tc>
            </w:tr>
            <w:tr w14:paraId="0A0BBF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508" w:type="pct"/>
                  <w:vMerge w:val="continue"/>
                  <w:noWrap w:val="0"/>
                  <w:vAlign w:val="center"/>
                </w:tcPr>
                <w:p w14:paraId="2F8DE740">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p>
              </w:tc>
              <w:tc>
                <w:tcPr>
                  <w:tcW w:w="517" w:type="pct"/>
                  <w:noWrap w:val="0"/>
                  <w:vAlign w:val="center"/>
                </w:tcPr>
                <w:p w14:paraId="5CFD3501">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position w:val="2"/>
                      <w:sz w:val="21"/>
                      <w:szCs w:val="21"/>
                      <w:highlight w:val="none"/>
                      <w:lang w:val="en-US" w:eastAsia="zh-CN"/>
                    </w:rPr>
                  </w:pPr>
                  <w:r>
                    <w:rPr>
                      <w:rFonts w:hint="default" w:ascii="Times New Roman" w:hAnsi="Times New Roman" w:eastAsia="宋体" w:cs="Times New Roman"/>
                      <w:color w:val="auto"/>
                      <w:position w:val="2"/>
                      <w:sz w:val="21"/>
                      <w:szCs w:val="21"/>
                      <w:highlight w:val="none"/>
                      <w:lang w:val="en-US" w:eastAsia="zh-CN"/>
                    </w:rPr>
                    <w:t>S7</w:t>
                  </w:r>
                </w:p>
              </w:tc>
              <w:tc>
                <w:tcPr>
                  <w:tcW w:w="826" w:type="pct"/>
                  <w:vMerge w:val="continue"/>
                  <w:noWrap w:val="0"/>
                  <w:vAlign w:val="center"/>
                </w:tcPr>
                <w:p w14:paraId="5412F922">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lang w:eastAsia="zh-CN"/>
                    </w:rPr>
                  </w:pPr>
                </w:p>
              </w:tc>
              <w:tc>
                <w:tcPr>
                  <w:tcW w:w="886" w:type="pct"/>
                  <w:vMerge w:val="continue"/>
                  <w:noWrap w:val="0"/>
                  <w:vAlign w:val="center"/>
                </w:tcPr>
                <w:p w14:paraId="35892B83">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lang w:eastAsia="zh-CN"/>
                    </w:rPr>
                  </w:pPr>
                </w:p>
              </w:tc>
              <w:tc>
                <w:tcPr>
                  <w:tcW w:w="760" w:type="pct"/>
                  <w:noWrap w:val="0"/>
                  <w:vAlign w:val="center"/>
                </w:tcPr>
                <w:p w14:paraId="642AC5FC">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rPr>
                    <w:t>漆渣</w:t>
                  </w:r>
                </w:p>
              </w:tc>
              <w:tc>
                <w:tcPr>
                  <w:tcW w:w="1501" w:type="pct"/>
                  <w:vMerge w:val="continue"/>
                  <w:noWrap w:val="0"/>
                  <w:vAlign w:val="center"/>
                </w:tcPr>
                <w:p w14:paraId="689497BC">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rPr>
                  </w:pPr>
                </w:p>
              </w:tc>
            </w:tr>
            <w:tr w14:paraId="4E1C14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508" w:type="pct"/>
                  <w:vMerge w:val="continue"/>
                  <w:noWrap w:val="0"/>
                  <w:vAlign w:val="center"/>
                </w:tcPr>
                <w:p w14:paraId="757FF1E9">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p>
              </w:tc>
              <w:tc>
                <w:tcPr>
                  <w:tcW w:w="517" w:type="pct"/>
                  <w:noWrap w:val="0"/>
                  <w:vAlign w:val="center"/>
                </w:tcPr>
                <w:p w14:paraId="0630434D">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position w:val="2"/>
                      <w:sz w:val="21"/>
                      <w:szCs w:val="21"/>
                      <w:highlight w:val="none"/>
                      <w:lang w:val="en-US" w:eastAsia="zh-CN"/>
                    </w:rPr>
                  </w:pPr>
                  <w:r>
                    <w:rPr>
                      <w:rFonts w:hint="default" w:ascii="Times New Roman" w:hAnsi="Times New Roman" w:eastAsia="宋体" w:cs="Times New Roman"/>
                      <w:color w:val="auto"/>
                      <w:position w:val="2"/>
                      <w:sz w:val="21"/>
                      <w:szCs w:val="21"/>
                      <w:highlight w:val="none"/>
                      <w:lang w:val="en-US" w:eastAsia="zh-CN"/>
                    </w:rPr>
                    <w:t>S8</w:t>
                  </w:r>
                </w:p>
              </w:tc>
              <w:tc>
                <w:tcPr>
                  <w:tcW w:w="826" w:type="pct"/>
                  <w:vMerge w:val="continue"/>
                  <w:noWrap w:val="0"/>
                  <w:vAlign w:val="center"/>
                </w:tcPr>
                <w:p w14:paraId="064F8EDA">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lang w:eastAsia="zh-CN"/>
                    </w:rPr>
                  </w:pPr>
                </w:p>
              </w:tc>
              <w:tc>
                <w:tcPr>
                  <w:tcW w:w="886" w:type="pct"/>
                  <w:vMerge w:val="continue"/>
                  <w:noWrap w:val="0"/>
                  <w:vAlign w:val="center"/>
                </w:tcPr>
                <w:p w14:paraId="26601AE2">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lang w:eastAsia="zh-CN"/>
                    </w:rPr>
                  </w:pPr>
                </w:p>
              </w:tc>
              <w:tc>
                <w:tcPr>
                  <w:tcW w:w="760" w:type="pct"/>
                  <w:noWrap w:val="0"/>
                  <w:vAlign w:val="center"/>
                </w:tcPr>
                <w:p w14:paraId="4047E2B6">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pacing w:val="9"/>
                      <w:sz w:val="21"/>
                      <w:szCs w:val="21"/>
                      <w:lang w:eastAsia="zh-CN"/>
                    </w:rPr>
                  </w:pPr>
                  <w:r>
                    <w:rPr>
                      <w:rFonts w:hint="default" w:ascii="Times New Roman" w:hAnsi="Times New Roman" w:eastAsia="宋体" w:cs="Times New Roman"/>
                      <w:color w:val="auto"/>
                      <w:sz w:val="21"/>
                      <w:szCs w:val="21"/>
                      <w:lang w:val="en-US" w:eastAsia="zh-CN"/>
                    </w:rPr>
                    <w:t>废活性炭</w:t>
                  </w:r>
                </w:p>
              </w:tc>
              <w:tc>
                <w:tcPr>
                  <w:tcW w:w="1501" w:type="pct"/>
                  <w:vMerge w:val="continue"/>
                  <w:noWrap w:val="0"/>
                  <w:vAlign w:val="center"/>
                </w:tcPr>
                <w:p w14:paraId="0531CB10">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rPr>
                  </w:pPr>
                </w:p>
              </w:tc>
            </w:tr>
            <w:tr w14:paraId="3CB3DA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508" w:type="pct"/>
                  <w:vMerge w:val="continue"/>
                  <w:noWrap w:val="0"/>
                  <w:vAlign w:val="center"/>
                </w:tcPr>
                <w:p w14:paraId="688FAF81">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p>
              </w:tc>
              <w:tc>
                <w:tcPr>
                  <w:tcW w:w="517" w:type="pct"/>
                  <w:noWrap w:val="0"/>
                  <w:vAlign w:val="center"/>
                </w:tcPr>
                <w:p w14:paraId="01F1230B">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position w:val="2"/>
                      <w:sz w:val="21"/>
                      <w:szCs w:val="21"/>
                      <w:highlight w:val="none"/>
                      <w:lang w:val="en-US" w:eastAsia="zh-CN"/>
                    </w:rPr>
                  </w:pPr>
                  <w:r>
                    <w:rPr>
                      <w:rFonts w:hint="default" w:ascii="Times New Roman" w:hAnsi="Times New Roman" w:eastAsia="宋体" w:cs="Times New Roman"/>
                      <w:color w:val="auto"/>
                      <w:position w:val="2"/>
                      <w:sz w:val="21"/>
                      <w:szCs w:val="21"/>
                      <w:highlight w:val="none"/>
                      <w:lang w:val="en-US" w:eastAsia="zh-CN"/>
                    </w:rPr>
                    <w:t>S9</w:t>
                  </w:r>
                </w:p>
              </w:tc>
              <w:tc>
                <w:tcPr>
                  <w:tcW w:w="826" w:type="pct"/>
                  <w:vMerge w:val="continue"/>
                  <w:noWrap w:val="0"/>
                  <w:vAlign w:val="center"/>
                </w:tcPr>
                <w:p w14:paraId="3786A19F">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lang w:eastAsia="zh-CN"/>
                    </w:rPr>
                  </w:pPr>
                </w:p>
              </w:tc>
              <w:tc>
                <w:tcPr>
                  <w:tcW w:w="886" w:type="pct"/>
                  <w:vMerge w:val="continue"/>
                  <w:noWrap w:val="0"/>
                  <w:vAlign w:val="center"/>
                </w:tcPr>
                <w:p w14:paraId="68B8515B">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lang w:eastAsia="zh-CN"/>
                    </w:rPr>
                  </w:pPr>
                </w:p>
              </w:tc>
              <w:tc>
                <w:tcPr>
                  <w:tcW w:w="760" w:type="pct"/>
                  <w:noWrap w:val="0"/>
                  <w:vAlign w:val="center"/>
                </w:tcPr>
                <w:p w14:paraId="4E375C3D">
                  <w:pPr>
                    <w:pStyle w:val="5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废辊筒</w:t>
                  </w:r>
                </w:p>
              </w:tc>
              <w:tc>
                <w:tcPr>
                  <w:tcW w:w="1501" w:type="pct"/>
                  <w:noWrap w:val="0"/>
                  <w:vAlign w:val="center"/>
                </w:tcPr>
                <w:p w14:paraId="0C9CB00B">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kern w:val="0"/>
                      <w:sz w:val="21"/>
                      <w:szCs w:val="21"/>
                      <w:lang w:val="en-US" w:eastAsia="zh-CN" w:bidi="ar"/>
                    </w:rPr>
                    <w:t>不在厂内贮存</w:t>
                  </w:r>
                  <w:r>
                    <w:rPr>
                      <w:rFonts w:hint="default" w:ascii="Times New Roman" w:hAnsi="Times New Roman" w:eastAsia="宋体" w:cs="Times New Roman"/>
                      <w:color w:val="auto"/>
                      <w:kern w:val="0"/>
                      <w:sz w:val="21"/>
                      <w:szCs w:val="21"/>
                      <w:lang w:val="en-US" w:eastAsia="zh-CN" w:bidi="ar"/>
                    </w:rPr>
                    <w:t>，</w:t>
                  </w:r>
                  <w:r>
                    <w:rPr>
                      <w:rFonts w:hint="eastAsia" w:ascii="Times New Roman" w:hAnsi="Times New Roman" w:eastAsia="宋体" w:cs="Times New Roman"/>
                      <w:color w:val="auto"/>
                      <w:kern w:val="0"/>
                      <w:sz w:val="21"/>
                      <w:szCs w:val="21"/>
                      <w:lang w:val="en-US" w:eastAsia="zh-CN" w:bidi="ar"/>
                    </w:rPr>
                    <w:t>由</w:t>
                  </w:r>
                  <w:r>
                    <w:rPr>
                      <w:rFonts w:hint="eastAsia" w:ascii="Times New Roman" w:hAnsi="宋体" w:eastAsia="宋体" w:cs="Times New Roman"/>
                      <w:color w:val="auto"/>
                      <w:kern w:val="0"/>
                      <w:sz w:val="21"/>
                      <w:szCs w:val="21"/>
                      <w:highlight w:val="none"/>
                    </w:rPr>
                    <w:t>委托</w:t>
                  </w:r>
                  <w:r>
                    <w:rPr>
                      <w:rFonts w:hint="eastAsia" w:ascii="Times New Roman" w:hAnsi="宋体" w:eastAsia="宋体" w:cs="Times New Roman"/>
                      <w:color w:val="auto"/>
                      <w:kern w:val="0"/>
                      <w:sz w:val="21"/>
                      <w:szCs w:val="21"/>
                      <w:highlight w:val="none"/>
                      <w:lang w:eastAsia="zh-CN"/>
                    </w:rPr>
                    <w:t>的</w:t>
                  </w:r>
                  <w:r>
                    <w:rPr>
                      <w:rFonts w:hint="eastAsia" w:ascii="Times New Roman" w:hAnsi="宋体" w:eastAsia="宋体" w:cs="Times New Roman"/>
                      <w:color w:val="auto"/>
                      <w:kern w:val="0"/>
                      <w:sz w:val="21"/>
                      <w:szCs w:val="21"/>
                      <w:highlight w:val="none"/>
                    </w:rPr>
                    <w:t>资质单位</w:t>
                  </w:r>
                  <w:r>
                    <w:rPr>
                      <w:rFonts w:hint="eastAsia" w:ascii="Times New Roman" w:hAnsi="宋体" w:eastAsia="宋体" w:cs="Times New Roman"/>
                      <w:color w:val="auto"/>
                      <w:kern w:val="0"/>
                      <w:sz w:val="21"/>
                      <w:szCs w:val="21"/>
                      <w:highlight w:val="none"/>
                      <w:lang w:eastAsia="zh-CN"/>
                    </w:rPr>
                    <w:t>直接运走</w:t>
                  </w:r>
                  <w:r>
                    <w:rPr>
                      <w:rFonts w:hint="eastAsia" w:ascii="Times New Roman" w:hAnsi="宋体" w:eastAsia="宋体" w:cs="Times New Roman"/>
                      <w:color w:val="auto"/>
                      <w:kern w:val="0"/>
                      <w:sz w:val="21"/>
                      <w:szCs w:val="21"/>
                      <w:highlight w:val="none"/>
                    </w:rPr>
                    <w:t>处置</w:t>
                  </w:r>
                </w:p>
              </w:tc>
            </w:tr>
            <w:tr w14:paraId="257C22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508" w:type="pct"/>
                  <w:vMerge w:val="continue"/>
                  <w:noWrap w:val="0"/>
                  <w:vAlign w:val="center"/>
                </w:tcPr>
                <w:p w14:paraId="59B668F2">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p>
              </w:tc>
              <w:tc>
                <w:tcPr>
                  <w:tcW w:w="517" w:type="pct"/>
                  <w:noWrap w:val="0"/>
                  <w:vAlign w:val="center"/>
                </w:tcPr>
                <w:p w14:paraId="5768D0C3">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position w:val="2"/>
                      <w:sz w:val="21"/>
                      <w:szCs w:val="21"/>
                      <w:highlight w:val="none"/>
                      <w:lang w:val="en-US" w:eastAsia="zh-CN"/>
                    </w:rPr>
                  </w:pPr>
                  <w:r>
                    <w:rPr>
                      <w:rFonts w:hint="default" w:ascii="Times New Roman" w:hAnsi="Times New Roman" w:eastAsia="宋体" w:cs="Times New Roman"/>
                      <w:color w:val="auto"/>
                      <w:position w:val="2"/>
                      <w:sz w:val="21"/>
                      <w:szCs w:val="21"/>
                      <w:highlight w:val="none"/>
                      <w:lang w:val="en-US" w:eastAsia="zh-CN"/>
                    </w:rPr>
                    <w:t>S</w:t>
                  </w:r>
                  <w:r>
                    <w:rPr>
                      <w:rFonts w:hint="eastAsia" w:ascii="Times New Roman" w:hAnsi="Times New Roman" w:eastAsia="宋体" w:cs="Times New Roman"/>
                      <w:color w:val="auto"/>
                      <w:position w:val="2"/>
                      <w:sz w:val="21"/>
                      <w:szCs w:val="21"/>
                      <w:highlight w:val="none"/>
                      <w:lang w:val="en-US" w:eastAsia="zh-CN"/>
                    </w:rPr>
                    <w:t>10</w:t>
                  </w:r>
                </w:p>
              </w:tc>
              <w:tc>
                <w:tcPr>
                  <w:tcW w:w="826" w:type="pct"/>
                  <w:noWrap w:val="0"/>
                  <w:vAlign w:val="center"/>
                </w:tcPr>
                <w:p w14:paraId="5E1B3E49">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包装</w:t>
                  </w:r>
                </w:p>
              </w:tc>
              <w:tc>
                <w:tcPr>
                  <w:tcW w:w="886" w:type="pct"/>
                  <w:noWrap w:val="0"/>
                  <w:vAlign w:val="center"/>
                </w:tcPr>
                <w:p w14:paraId="6ACDA397">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热风包装机</w:t>
                  </w:r>
                </w:p>
              </w:tc>
              <w:tc>
                <w:tcPr>
                  <w:tcW w:w="760" w:type="pct"/>
                  <w:noWrap w:val="0"/>
                  <w:vAlign w:val="center"/>
                </w:tcPr>
                <w:p w14:paraId="7B0BAAF4">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pacing w:val="9"/>
                      <w:sz w:val="21"/>
                      <w:szCs w:val="21"/>
                      <w:lang w:eastAsia="zh-CN"/>
                    </w:rPr>
                  </w:pPr>
                  <w:r>
                    <w:rPr>
                      <w:rFonts w:hint="default" w:ascii="Times New Roman" w:hAnsi="Times New Roman" w:eastAsia="宋体" w:cs="Times New Roman"/>
                      <w:color w:val="auto"/>
                      <w:spacing w:val="-5"/>
                      <w:sz w:val="21"/>
                      <w:szCs w:val="21"/>
                    </w:rPr>
                    <w:t>废弃包装</w:t>
                  </w:r>
                  <w:r>
                    <w:rPr>
                      <w:rFonts w:hint="default" w:ascii="Times New Roman" w:hAnsi="Times New Roman" w:eastAsia="宋体" w:cs="Times New Roman"/>
                      <w:color w:val="auto"/>
                      <w:spacing w:val="-5"/>
                      <w:sz w:val="21"/>
                      <w:szCs w:val="21"/>
                      <w:lang w:eastAsia="zh-CN"/>
                    </w:rPr>
                    <w:t>膜</w:t>
                  </w:r>
                </w:p>
              </w:tc>
              <w:tc>
                <w:tcPr>
                  <w:tcW w:w="1501" w:type="pct"/>
                  <w:vMerge w:val="restart"/>
                  <w:noWrap w:val="0"/>
                  <w:vAlign w:val="center"/>
                </w:tcPr>
                <w:p w14:paraId="5B11DBD7">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9"/>
                      <w:sz w:val="21"/>
                      <w:szCs w:val="21"/>
                      <w:lang w:eastAsia="zh-CN"/>
                    </w:rPr>
                    <w:t>暂存</w:t>
                  </w:r>
                  <w:r>
                    <w:rPr>
                      <w:rFonts w:hint="default" w:ascii="Times New Roman" w:hAnsi="Times New Roman" w:eastAsia="宋体" w:cs="Times New Roman"/>
                      <w:color w:val="auto"/>
                      <w:spacing w:val="9"/>
                      <w:sz w:val="21"/>
                      <w:szCs w:val="21"/>
                    </w:rPr>
                    <w:t>于</w:t>
                  </w:r>
                  <w:r>
                    <w:rPr>
                      <w:rFonts w:hint="default" w:ascii="Times New Roman" w:hAnsi="Times New Roman" w:eastAsia="宋体" w:cs="Times New Roman"/>
                      <w:color w:val="auto"/>
                      <w:spacing w:val="9"/>
                      <w:sz w:val="21"/>
                      <w:szCs w:val="21"/>
                      <w:lang w:eastAsia="zh-CN"/>
                    </w:rPr>
                    <w:t>一般固废暂存间定期</w:t>
                  </w:r>
                  <w:r>
                    <w:rPr>
                      <w:rFonts w:hint="default" w:ascii="Times New Roman" w:hAnsi="Times New Roman" w:eastAsia="宋体" w:cs="Times New Roman"/>
                      <w:color w:val="auto"/>
                      <w:spacing w:val="9"/>
                      <w:sz w:val="21"/>
                      <w:szCs w:val="21"/>
                    </w:rPr>
                    <w:t>外售</w:t>
                  </w:r>
                </w:p>
              </w:tc>
            </w:tr>
            <w:tr w14:paraId="13E814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508" w:type="pct"/>
                  <w:vMerge w:val="continue"/>
                  <w:noWrap w:val="0"/>
                  <w:vAlign w:val="center"/>
                </w:tcPr>
                <w:p w14:paraId="58B45CD0">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p>
              </w:tc>
              <w:tc>
                <w:tcPr>
                  <w:tcW w:w="517" w:type="pct"/>
                  <w:noWrap w:val="0"/>
                  <w:vAlign w:val="center"/>
                </w:tcPr>
                <w:p w14:paraId="446A7A32">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position w:val="2"/>
                      <w:sz w:val="21"/>
                      <w:szCs w:val="21"/>
                      <w:highlight w:val="none"/>
                      <w:lang w:val="en-US" w:eastAsia="zh-CN"/>
                    </w:rPr>
                  </w:pPr>
                  <w:r>
                    <w:rPr>
                      <w:rFonts w:hint="default" w:ascii="Times New Roman" w:hAnsi="Times New Roman" w:eastAsia="宋体" w:cs="Times New Roman"/>
                      <w:color w:val="auto"/>
                      <w:kern w:val="0"/>
                      <w:position w:val="2"/>
                      <w:sz w:val="21"/>
                      <w:szCs w:val="21"/>
                      <w:highlight w:val="none"/>
                      <w:lang w:val="en-US" w:eastAsia="zh-CN" w:bidi="ar-SA"/>
                    </w:rPr>
                    <w:t>S1</w:t>
                  </w:r>
                  <w:r>
                    <w:rPr>
                      <w:rFonts w:hint="eastAsia" w:ascii="Times New Roman" w:hAnsi="Times New Roman" w:eastAsia="宋体" w:cs="Times New Roman"/>
                      <w:color w:val="auto"/>
                      <w:kern w:val="0"/>
                      <w:position w:val="2"/>
                      <w:sz w:val="21"/>
                      <w:szCs w:val="21"/>
                      <w:highlight w:val="none"/>
                      <w:lang w:val="en-US" w:eastAsia="zh-CN" w:bidi="ar-SA"/>
                    </w:rPr>
                    <w:t>1</w:t>
                  </w:r>
                </w:p>
              </w:tc>
              <w:tc>
                <w:tcPr>
                  <w:tcW w:w="826" w:type="pct"/>
                  <w:vMerge w:val="restart"/>
                  <w:noWrap w:val="0"/>
                  <w:vAlign w:val="center"/>
                </w:tcPr>
                <w:p w14:paraId="6A674BE3">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除尘</w:t>
                  </w:r>
                </w:p>
              </w:tc>
              <w:tc>
                <w:tcPr>
                  <w:tcW w:w="886" w:type="pct"/>
                  <w:vMerge w:val="restart"/>
                  <w:noWrap w:val="0"/>
                  <w:vAlign w:val="center"/>
                </w:tcPr>
                <w:p w14:paraId="1CF6D1F3">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布袋除尘器</w:t>
                  </w:r>
                </w:p>
              </w:tc>
              <w:tc>
                <w:tcPr>
                  <w:tcW w:w="760" w:type="pct"/>
                  <w:noWrap w:val="0"/>
                  <w:vAlign w:val="center"/>
                </w:tcPr>
                <w:p w14:paraId="28AB6FE2">
                  <w:pPr>
                    <w:pStyle w:val="56"/>
                    <w:keepNext w:val="0"/>
                    <w:keepLines w:val="0"/>
                    <w:pageBreakBefore w:val="0"/>
                    <w:widowControl w:val="0"/>
                    <w:kinsoku/>
                    <w:wordWrap/>
                    <w:overflowPunct/>
                    <w:topLinePunct w:val="0"/>
                    <w:bidi w:val="0"/>
                    <w:adjustRightInd/>
                    <w:snapToGrid/>
                    <w:spacing w:line="240" w:lineRule="auto"/>
                    <w:textAlignment w:val="auto"/>
                    <w:rPr>
                      <w:rFonts w:hint="eastAsia" w:ascii="Times New Roman" w:hAnsi="Times New Roman" w:eastAsia="宋体" w:cs="Times New Roman"/>
                      <w:color w:val="auto"/>
                      <w:spacing w:val="-5"/>
                      <w:sz w:val="21"/>
                      <w:szCs w:val="21"/>
                      <w:lang w:eastAsia="zh-CN"/>
                    </w:rPr>
                  </w:pPr>
                  <w:r>
                    <w:rPr>
                      <w:rFonts w:hint="eastAsia" w:ascii="Times New Roman" w:hAnsi="Times New Roman" w:eastAsia="宋体" w:cs="Times New Roman"/>
                      <w:color w:val="auto"/>
                      <w:spacing w:val="-5"/>
                      <w:sz w:val="21"/>
                      <w:szCs w:val="21"/>
                      <w:lang w:eastAsia="zh-CN"/>
                    </w:rPr>
                    <w:t>收尘灰</w:t>
                  </w:r>
                </w:p>
              </w:tc>
              <w:tc>
                <w:tcPr>
                  <w:tcW w:w="1501" w:type="pct"/>
                  <w:vMerge w:val="continue"/>
                  <w:noWrap w:val="0"/>
                  <w:vAlign w:val="center"/>
                </w:tcPr>
                <w:p w14:paraId="34691A23">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sz w:val="21"/>
                      <w:szCs w:val="21"/>
                      <w:highlight w:val="none"/>
                    </w:rPr>
                  </w:pPr>
                </w:p>
              </w:tc>
            </w:tr>
            <w:tr w14:paraId="2AE563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508" w:type="pct"/>
                  <w:vMerge w:val="continue"/>
                  <w:noWrap w:val="0"/>
                  <w:vAlign w:val="center"/>
                </w:tcPr>
                <w:p w14:paraId="6F954A89">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p>
              </w:tc>
              <w:tc>
                <w:tcPr>
                  <w:tcW w:w="517" w:type="pct"/>
                  <w:noWrap w:val="0"/>
                  <w:vAlign w:val="center"/>
                </w:tcPr>
                <w:p w14:paraId="1D75DD4A">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kern w:val="0"/>
                      <w:position w:val="2"/>
                      <w:sz w:val="21"/>
                      <w:szCs w:val="21"/>
                      <w:highlight w:val="none"/>
                      <w:lang w:val="en-US" w:eastAsia="zh-CN" w:bidi="ar-SA"/>
                    </w:rPr>
                  </w:pPr>
                  <w:r>
                    <w:rPr>
                      <w:rFonts w:hint="eastAsia" w:ascii="Times New Roman" w:hAnsi="Times New Roman" w:eastAsia="宋体" w:cs="Times New Roman"/>
                      <w:color w:val="auto"/>
                      <w:kern w:val="0"/>
                      <w:position w:val="2"/>
                      <w:sz w:val="21"/>
                      <w:szCs w:val="21"/>
                      <w:highlight w:val="none"/>
                      <w:lang w:val="en-US" w:eastAsia="zh-CN" w:bidi="ar-SA"/>
                    </w:rPr>
                    <w:t>S12</w:t>
                  </w:r>
                </w:p>
              </w:tc>
              <w:tc>
                <w:tcPr>
                  <w:tcW w:w="826" w:type="pct"/>
                  <w:vMerge w:val="continue"/>
                  <w:noWrap w:val="0"/>
                  <w:vAlign w:val="center"/>
                </w:tcPr>
                <w:p w14:paraId="2F668415">
                  <w:pPr>
                    <w:pStyle w:val="56"/>
                    <w:keepNext w:val="0"/>
                    <w:keepLines w:val="0"/>
                    <w:pageBreakBefore w:val="0"/>
                    <w:widowControl w:val="0"/>
                    <w:kinsoku/>
                    <w:wordWrap/>
                    <w:overflowPunct/>
                    <w:topLinePunct w:val="0"/>
                    <w:bidi w:val="0"/>
                    <w:adjustRightInd/>
                    <w:snapToGrid/>
                    <w:spacing w:line="240" w:lineRule="auto"/>
                    <w:textAlignment w:val="auto"/>
                    <w:rPr>
                      <w:rFonts w:hint="eastAsia" w:ascii="Times New Roman" w:hAnsi="Times New Roman" w:eastAsia="宋体" w:cs="Times New Roman"/>
                      <w:color w:val="auto"/>
                      <w:sz w:val="21"/>
                      <w:szCs w:val="21"/>
                      <w:highlight w:val="none"/>
                      <w:lang w:eastAsia="zh-CN"/>
                    </w:rPr>
                  </w:pPr>
                </w:p>
              </w:tc>
              <w:tc>
                <w:tcPr>
                  <w:tcW w:w="886" w:type="pct"/>
                  <w:vMerge w:val="continue"/>
                  <w:noWrap w:val="0"/>
                  <w:vAlign w:val="center"/>
                </w:tcPr>
                <w:p w14:paraId="64020820">
                  <w:pPr>
                    <w:pStyle w:val="56"/>
                    <w:keepNext w:val="0"/>
                    <w:keepLines w:val="0"/>
                    <w:pageBreakBefore w:val="0"/>
                    <w:widowControl w:val="0"/>
                    <w:kinsoku/>
                    <w:wordWrap/>
                    <w:overflowPunct/>
                    <w:topLinePunct w:val="0"/>
                    <w:bidi w:val="0"/>
                    <w:adjustRightInd/>
                    <w:snapToGrid/>
                    <w:spacing w:line="240" w:lineRule="auto"/>
                    <w:textAlignment w:val="auto"/>
                    <w:rPr>
                      <w:rFonts w:hint="eastAsia" w:ascii="Times New Roman" w:hAnsi="Times New Roman" w:eastAsia="宋体" w:cs="Times New Roman"/>
                      <w:color w:val="auto"/>
                      <w:sz w:val="21"/>
                      <w:szCs w:val="21"/>
                      <w:highlight w:val="none"/>
                      <w:lang w:eastAsia="zh-CN"/>
                    </w:rPr>
                  </w:pPr>
                </w:p>
              </w:tc>
              <w:tc>
                <w:tcPr>
                  <w:tcW w:w="760" w:type="pct"/>
                  <w:noWrap w:val="0"/>
                  <w:vAlign w:val="center"/>
                </w:tcPr>
                <w:p w14:paraId="25434B9A">
                  <w:pPr>
                    <w:pStyle w:val="56"/>
                    <w:keepNext w:val="0"/>
                    <w:keepLines w:val="0"/>
                    <w:pageBreakBefore w:val="0"/>
                    <w:widowControl w:val="0"/>
                    <w:kinsoku/>
                    <w:wordWrap/>
                    <w:overflowPunct/>
                    <w:topLinePunct w:val="0"/>
                    <w:bidi w:val="0"/>
                    <w:adjustRightInd/>
                    <w:snapToGrid/>
                    <w:spacing w:line="240" w:lineRule="auto"/>
                    <w:textAlignment w:val="auto"/>
                    <w:rPr>
                      <w:rFonts w:hint="eastAsia" w:ascii="Times New Roman" w:hAnsi="Times New Roman" w:eastAsia="宋体" w:cs="Times New Roman"/>
                      <w:color w:val="auto"/>
                      <w:spacing w:val="-5"/>
                      <w:sz w:val="21"/>
                      <w:szCs w:val="21"/>
                      <w:lang w:eastAsia="zh-CN"/>
                    </w:rPr>
                  </w:pPr>
                  <w:r>
                    <w:rPr>
                      <w:rFonts w:hint="eastAsia" w:ascii="Times New Roman" w:hAnsi="Times New Roman" w:eastAsia="宋体" w:cs="Times New Roman"/>
                      <w:color w:val="auto"/>
                      <w:spacing w:val="-5"/>
                      <w:sz w:val="21"/>
                      <w:szCs w:val="21"/>
                      <w:lang w:eastAsia="zh-CN"/>
                    </w:rPr>
                    <w:t>废布袋</w:t>
                  </w:r>
                </w:p>
              </w:tc>
              <w:tc>
                <w:tcPr>
                  <w:tcW w:w="1501" w:type="pct"/>
                  <w:noWrap w:val="0"/>
                  <w:vAlign w:val="center"/>
                </w:tcPr>
                <w:p w14:paraId="6AB230A6">
                  <w:pPr>
                    <w:pStyle w:val="56"/>
                    <w:keepNext w:val="0"/>
                    <w:keepLines w:val="0"/>
                    <w:pageBreakBefore w:val="0"/>
                    <w:widowControl w:val="0"/>
                    <w:kinsoku/>
                    <w:wordWrap/>
                    <w:overflowPunct/>
                    <w:topLinePunct w:val="0"/>
                    <w:bidi w:val="0"/>
                    <w:adjustRightInd/>
                    <w:snapToGrid/>
                    <w:spacing w:line="240" w:lineRule="auto"/>
                    <w:textAlignment w:val="auto"/>
                    <w:rPr>
                      <w:rFonts w:hint="eastAsia"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由厂家定期更换回收</w:t>
                  </w:r>
                </w:p>
              </w:tc>
            </w:tr>
            <w:tr w14:paraId="0E3809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508" w:type="pct"/>
                  <w:vMerge w:val="continue"/>
                  <w:noWrap w:val="0"/>
                  <w:vAlign w:val="center"/>
                </w:tcPr>
                <w:p w14:paraId="703F0B5D">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p>
              </w:tc>
              <w:tc>
                <w:tcPr>
                  <w:tcW w:w="517" w:type="pct"/>
                  <w:noWrap w:val="0"/>
                  <w:vAlign w:val="center"/>
                </w:tcPr>
                <w:p w14:paraId="4A5A1527">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kern w:val="0"/>
                      <w:position w:val="2"/>
                      <w:sz w:val="21"/>
                      <w:szCs w:val="21"/>
                      <w:highlight w:val="none"/>
                      <w:lang w:val="en-US" w:eastAsia="zh-CN" w:bidi="ar-SA"/>
                    </w:rPr>
                  </w:pPr>
                  <w:r>
                    <w:rPr>
                      <w:rFonts w:hint="eastAsia" w:ascii="Times New Roman" w:hAnsi="Times New Roman" w:eastAsia="宋体" w:cs="Times New Roman"/>
                      <w:color w:val="auto"/>
                      <w:kern w:val="0"/>
                      <w:position w:val="2"/>
                      <w:sz w:val="21"/>
                      <w:szCs w:val="21"/>
                      <w:highlight w:val="none"/>
                      <w:lang w:val="en-US" w:eastAsia="zh-CN" w:bidi="ar-SA"/>
                    </w:rPr>
                    <w:t>S13</w:t>
                  </w:r>
                </w:p>
              </w:tc>
              <w:tc>
                <w:tcPr>
                  <w:tcW w:w="826" w:type="pct"/>
                  <w:noWrap w:val="0"/>
                  <w:vAlign w:val="center"/>
                </w:tcPr>
                <w:p w14:paraId="79EF0784">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员工日常生活</w:t>
                  </w:r>
                </w:p>
              </w:tc>
              <w:tc>
                <w:tcPr>
                  <w:tcW w:w="886" w:type="pct"/>
                  <w:noWrap w:val="0"/>
                  <w:vAlign w:val="center"/>
                </w:tcPr>
                <w:p w14:paraId="7EAA2D91">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生活垃圾</w:t>
                  </w:r>
                </w:p>
              </w:tc>
              <w:tc>
                <w:tcPr>
                  <w:tcW w:w="760" w:type="pct"/>
                  <w:noWrap w:val="0"/>
                  <w:vAlign w:val="center"/>
                </w:tcPr>
                <w:p w14:paraId="10C31A57">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生活垃圾</w:t>
                  </w:r>
                </w:p>
              </w:tc>
              <w:tc>
                <w:tcPr>
                  <w:tcW w:w="1501" w:type="pct"/>
                  <w:noWrap w:val="0"/>
                  <w:vAlign w:val="center"/>
                </w:tcPr>
                <w:p w14:paraId="363CACDE">
                  <w:pPr>
                    <w:pStyle w:val="56"/>
                    <w:keepNext w:val="0"/>
                    <w:keepLines w:val="0"/>
                    <w:pageBreakBefore w:val="0"/>
                    <w:widowControl w:val="0"/>
                    <w:kinsoku/>
                    <w:wordWrap/>
                    <w:overflowPunct/>
                    <w:topLinePunct w:val="0"/>
                    <w:bidi w:val="0"/>
                    <w:adjustRightInd/>
                    <w:snapToGrid/>
                    <w:spacing w:line="240" w:lineRule="auto"/>
                    <w:textAlignment w:val="auto"/>
                    <w:rPr>
                      <w:rFonts w:hint="default" w:ascii="Times New Roman" w:hAnsi="Times New Roman" w:eastAsia="宋体" w:cs="Times New Roman"/>
                      <w:color w:val="auto"/>
                      <w:kern w:val="0"/>
                      <w:sz w:val="21"/>
                      <w:szCs w:val="21"/>
                      <w:highlight w:val="none"/>
                      <w:lang w:val="en-US" w:eastAsia="en-US" w:bidi="ar-SA"/>
                    </w:rPr>
                  </w:pPr>
                  <w:r>
                    <w:rPr>
                      <w:rFonts w:hint="default" w:ascii="Times New Roman" w:hAnsi="Times New Roman" w:eastAsia="宋体" w:cs="Times New Roman"/>
                      <w:color w:val="auto"/>
                      <w:sz w:val="21"/>
                      <w:szCs w:val="21"/>
                    </w:rPr>
                    <w:t>集中收集，环卫处理</w:t>
                  </w:r>
                </w:p>
              </w:tc>
            </w:tr>
          </w:tbl>
          <w:p w14:paraId="35072341">
            <w:pPr>
              <w:pStyle w:val="59"/>
              <w:ind w:firstLine="0" w:firstLineChars="0"/>
              <w:rPr>
                <w:color w:val="auto"/>
                <w:highlight w:val="none"/>
              </w:rPr>
            </w:pPr>
          </w:p>
          <w:p w14:paraId="57D43662">
            <w:pPr>
              <w:pStyle w:val="62"/>
              <w:rPr>
                <w:color w:val="auto"/>
                <w:highlight w:val="none"/>
              </w:rPr>
            </w:pPr>
            <w:r>
              <w:rPr>
                <w:rFonts w:hint="eastAsia"/>
                <w:color w:val="auto"/>
                <w:highlight w:val="none"/>
              </w:rPr>
              <w:t>3、</w:t>
            </w:r>
            <w:r>
              <w:rPr>
                <w:color w:val="auto"/>
                <w:highlight w:val="none"/>
              </w:rPr>
              <w:t>物料平衡</w:t>
            </w:r>
          </w:p>
          <w:p w14:paraId="4F29237D">
            <w:pPr>
              <w:pStyle w:val="59"/>
              <w:ind w:firstLine="480"/>
              <w:rPr>
                <w:color w:val="auto"/>
                <w:szCs w:val="21"/>
                <w:highlight w:val="none"/>
              </w:rPr>
            </w:pPr>
            <w:r>
              <w:rPr>
                <w:rFonts w:hint="eastAsia"/>
                <w:color w:val="auto"/>
                <w:sz w:val="24"/>
                <w:highlight w:val="none"/>
              </w:rPr>
              <w:t>本</w:t>
            </w:r>
            <w:r>
              <w:rPr>
                <w:color w:val="auto"/>
                <w:sz w:val="24"/>
                <w:highlight w:val="none"/>
              </w:rPr>
              <w:t>项目物料平衡见</w:t>
            </w:r>
            <w:r>
              <w:rPr>
                <w:rFonts w:hint="eastAsia"/>
                <w:color w:val="auto"/>
                <w:sz w:val="24"/>
                <w:highlight w:val="none"/>
              </w:rPr>
              <w:t>下</w:t>
            </w:r>
            <w:r>
              <w:rPr>
                <w:color w:val="auto"/>
                <w:sz w:val="24"/>
                <w:highlight w:val="none"/>
              </w:rPr>
              <w:t>表。</w:t>
            </w:r>
          </w:p>
          <w:p w14:paraId="40B34CEB">
            <w:pPr>
              <w:pStyle w:val="68"/>
              <w:numPr>
                <w:ilvl w:val="0"/>
                <w:numId w:val="13"/>
              </w:numPr>
              <w:spacing w:line="360" w:lineRule="auto"/>
              <w:ind w:left="0" w:leftChars="0" w:firstLine="0" w:firstLineChars="0"/>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 本项目物料平衡一览表  单位：t/a</w:t>
            </w:r>
          </w:p>
          <w:tbl>
            <w:tblPr>
              <w:tblStyle w:val="2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21"/>
              <w:gridCol w:w="1194"/>
              <w:gridCol w:w="1547"/>
              <w:gridCol w:w="1239"/>
              <w:gridCol w:w="2404"/>
            </w:tblGrid>
            <w:tr w14:paraId="6883EB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12" w:type="pct"/>
                  <w:gridSpan w:val="2"/>
                  <w:tcBorders>
                    <w:tl2br w:val="nil"/>
                    <w:tr2bl w:val="nil"/>
                  </w:tcBorders>
                  <w:noWrap w:val="0"/>
                  <w:vAlign w:val="center"/>
                </w:tcPr>
                <w:p w14:paraId="22CFB210">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进料</w:t>
                  </w:r>
                </w:p>
              </w:tc>
              <w:tc>
                <w:tcPr>
                  <w:tcW w:w="3087" w:type="pct"/>
                  <w:gridSpan w:val="3"/>
                  <w:tcBorders>
                    <w:tl2br w:val="nil"/>
                    <w:tr2bl w:val="nil"/>
                  </w:tcBorders>
                  <w:noWrap w:val="0"/>
                  <w:vAlign w:val="center"/>
                </w:tcPr>
                <w:p w14:paraId="54084175">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出料</w:t>
                  </w:r>
                </w:p>
              </w:tc>
            </w:tr>
            <w:tr w14:paraId="0A7E9B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02" w:type="pct"/>
                  <w:tcBorders>
                    <w:tl2br w:val="nil"/>
                    <w:tr2bl w:val="nil"/>
                  </w:tcBorders>
                  <w:noWrap w:val="0"/>
                  <w:vAlign w:val="center"/>
                </w:tcPr>
                <w:p w14:paraId="2B464E13">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名称</w:t>
                  </w:r>
                </w:p>
              </w:tc>
              <w:tc>
                <w:tcPr>
                  <w:tcW w:w="710" w:type="pct"/>
                  <w:tcBorders>
                    <w:tl2br w:val="nil"/>
                    <w:tr2bl w:val="nil"/>
                  </w:tcBorders>
                  <w:noWrap w:val="0"/>
                  <w:vAlign w:val="center"/>
                </w:tcPr>
                <w:p w14:paraId="3BBF36BB">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数量</w:t>
                  </w:r>
                </w:p>
              </w:tc>
              <w:tc>
                <w:tcPr>
                  <w:tcW w:w="920" w:type="pct"/>
                  <w:tcBorders>
                    <w:tl2br w:val="nil"/>
                    <w:tr2bl w:val="nil"/>
                  </w:tcBorders>
                  <w:noWrap w:val="0"/>
                  <w:vAlign w:val="center"/>
                </w:tcPr>
                <w:p w14:paraId="135AC356">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名称</w:t>
                  </w:r>
                </w:p>
              </w:tc>
              <w:tc>
                <w:tcPr>
                  <w:tcW w:w="737" w:type="pct"/>
                  <w:tcBorders>
                    <w:tl2br w:val="nil"/>
                    <w:tr2bl w:val="nil"/>
                  </w:tcBorders>
                  <w:noWrap w:val="0"/>
                  <w:vAlign w:val="center"/>
                </w:tcPr>
                <w:p w14:paraId="14108CDD">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数量</w:t>
                  </w:r>
                </w:p>
              </w:tc>
              <w:tc>
                <w:tcPr>
                  <w:tcW w:w="1430" w:type="pct"/>
                  <w:tcBorders>
                    <w:tl2br w:val="nil"/>
                    <w:tr2bl w:val="nil"/>
                  </w:tcBorders>
                  <w:noWrap w:val="0"/>
                  <w:vAlign w:val="center"/>
                </w:tcPr>
                <w:p w14:paraId="058F3916">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去向</w:t>
                  </w:r>
                </w:p>
              </w:tc>
            </w:tr>
            <w:tr w14:paraId="561E25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02" w:type="pct"/>
                  <w:tcBorders>
                    <w:tl2br w:val="nil"/>
                    <w:tr2bl w:val="nil"/>
                  </w:tcBorders>
                  <w:noWrap w:val="0"/>
                  <w:vAlign w:val="center"/>
                </w:tcPr>
                <w:p w14:paraId="1EEE1B9E">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原料</w:t>
                  </w:r>
                  <w:r>
                    <w:rPr>
                      <w:rFonts w:hint="eastAsia" w:ascii="Times New Roman" w:hAnsi="Times New Roman" w:eastAsia="宋体" w:cs="Times New Roman"/>
                      <w:color w:val="auto"/>
                      <w:sz w:val="21"/>
                      <w:szCs w:val="21"/>
                      <w:lang w:eastAsia="zh-CN"/>
                    </w:rPr>
                    <w:t>地板坯</w:t>
                  </w:r>
                </w:p>
              </w:tc>
              <w:tc>
                <w:tcPr>
                  <w:tcW w:w="710" w:type="pct"/>
                  <w:tcBorders>
                    <w:tl2br w:val="nil"/>
                    <w:tr2bl w:val="nil"/>
                  </w:tcBorders>
                  <w:noWrap w:val="0"/>
                  <w:vAlign w:val="center"/>
                </w:tcPr>
                <w:p w14:paraId="23C81F64">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3200</w:t>
                  </w:r>
                </w:p>
              </w:tc>
              <w:tc>
                <w:tcPr>
                  <w:tcW w:w="920" w:type="pct"/>
                  <w:tcBorders>
                    <w:tl2br w:val="nil"/>
                    <w:tr2bl w:val="nil"/>
                  </w:tcBorders>
                  <w:noWrap w:val="0"/>
                  <w:vAlign w:val="center"/>
                </w:tcPr>
                <w:p w14:paraId="7A823A68">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产品</w:t>
                  </w:r>
                </w:p>
              </w:tc>
              <w:tc>
                <w:tcPr>
                  <w:tcW w:w="737" w:type="pct"/>
                  <w:tcBorders>
                    <w:tl2br w:val="nil"/>
                    <w:tr2bl w:val="nil"/>
                  </w:tcBorders>
                  <w:noWrap w:val="0"/>
                  <w:vAlign w:val="center"/>
                </w:tcPr>
                <w:p w14:paraId="2CD7FED0">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306</w:t>
                  </w:r>
                  <w:r>
                    <w:rPr>
                      <w:rFonts w:hint="eastAsia" w:ascii="Times New Roman" w:hAnsi="Times New Roman" w:eastAsia="宋体" w:cs="Times New Roman"/>
                      <w:color w:val="auto"/>
                      <w:sz w:val="21"/>
                      <w:szCs w:val="21"/>
                      <w:lang w:val="en-US" w:eastAsia="zh-CN"/>
                    </w:rPr>
                    <w:t>5.9635</w:t>
                  </w:r>
                </w:p>
              </w:tc>
              <w:tc>
                <w:tcPr>
                  <w:tcW w:w="1430" w:type="pct"/>
                  <w:tcBorders>
                    <w:tl2br w:val="nil"/>
                    <w:tr2bl w:val="nil"/>
                  </w:tcBorders>
                  <w:noWrap w:val="0"/>
                  <w:vAlign w:val="center"/>
                </w:tcPr>
                <w:p w14:paraId="148C888E">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外售</w:t>
                  </w:r>
                </w:p>
              </w:tc>
            </w:tr>
            <w:tr w14:paraId="3F329E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02" w:type="pct"/>
                  <w:tcBorders>
                    <w:tl2br w:val="nil"/>
                    <w:tr2bl w:val="nil"/>
                  </w:tcBorders>
                  <w:noWrap w:val="0"/>
                  <w:vAlign w:val="center"/>
                </w:tcPr>
                <w:p w14:paraId="11EE5240">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eastAsia="zh-CN"/>
                    </w:rPr>
                    <w:t>木工胶</w:t>
                  </w:r>
                </w:p>
              </w:tc>
              <w:tc>
                <w:tcPr>
                  <w:tcW w:w="710" w:type="pct"/>
                  <w:tcBorders>
                    <w:tl2br w:val="nil"/>
                    <w:tr2bl w:val="nil"/>
                  </w:tcBorders>
                  <w:noWrap w:val="0"/>
                  <w:vAlign w:val="center"/>
                </w:tcPr>
                <w:p w14:paraId="69BEAF96">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eastAsia="zh-CN"/>
                    </w:rPr>
                    <w:t>0.36</w:t>
                  </w:r>
                </w:p>
              </w:tc>
              <w:tc>
                <w:tcPr>
                  <w:tcW w:w="920" w:type="pct"/>
                  <w:tcBorders>
                    <w:tl2br w:val="nil"/>
                    <w:tr2bl w:val="nil"/>
                  </w:tcBorders>
                  <w:noWrap w:val="0"/>
                  <w:vAlign w:val="center"/>
                </w:tcPr>
                <w:p w14:paraId="30A33BC2">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eastAsia="zh-CN"/>
                    </w:rPr>
                    <w:t>废木</w:t>
                  </w:r>
                  <w:r>
                    <w:rPr>
                      <w:rFonts w:hint="default" w:ascii="Times New Roman" w:hAnsi="Times New Roman" w:eastAsia="宋体" w:cs="Times New Roman"/>
                      <w:color w:val="auto"/>
                      <w:sz w:val="21"/>
                      <w:szCs w:val="21"/>
                      <w:lang w:eastAsia="zh-CN"/>
                    </w:rPr>
                    <w:t>边角料</w:t>
                  </w:r>
                </w:p>
              </w:tc>
              <w:tc>
                <w:tcPr>
                  <w:tcW w:w="737" w:type="pct"/>
                  <w:tcBorders>
                    <w:tl2br w:val="nil"/>
                    <w:tr2bl w:val="nil"/>
                  </w:tcBorders>
                  <w:noWrap w:val="0"/>
                  <w:vAlign w:val="center"/>
                </w:tcPr>
                <w:p w14:paraId="3586379E">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122.2</w:t>
                  </w:r>
                </w:p>
              </w:tc>
              <w:tc>
                <w:tcPr>
                  <w:tcW w:w="1430" w:type="pct"/>
                  <w:tcBorders>
                    <w:tl2br w:val="nil"/>
                    <w:tr2bl w:val="nil"/>
                  </w:tcBorders>
                  <w:noWrap w:val="0"/>
                  <w:vAlign w:val="center"/>
                </w:tcPr>
                <w:p w14:paraId="43DCB484">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外售</w:t>
                  </w:r>
                </w:p>
              </w:tc>
            </w:tr>
            <w:tr w14:paraId="7907BA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02" w:type="pct"/>
                  <w:tcBorders>
                    <w:tl2br w:val="nil"/>
                    <w:tr2bl w:val="nil"/>
                  </w:tcBorders>
                  <w:noWrap w:val="0"/>
                  <w:vAlign w:val="center"/>
                </w:tcPr>
                <w:p w14:paraId="6090E87E">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UV</w:t>
                  </w:r>
                  <w:r>
                    <w:rPr>
                      <w:rFonts w:hint="default" w:ascii="Times New Roman" w:hAnsi="Times New Roman" w:eastAsia="宋体" w:cs="Times New Roman"/>
                      <w:color w:val="auto"/>
                      <w:sz w:val="21"/>
                      <w:szCs w:val="21"/>
                      <w:lang w:eastAsia="zh-CN"/>
                    </w:rPr>
                    <w:t>底漆</w:t>
                  </w:r>
                </w:p>
              </w:tc>
              <w:tc>
                <w:tcPr>
                  <w:tcW w:w="710" w:type="pct"/>
                  <w:tcBorders>
                    <w:tl2br w:val="nil"/>
                    <w:tr2bl w:val="nil"/>
                  </w:tcBorders>
                  <w:noWrap w:val="0"/>
                  <w:vAlign w:val="center"/>
                </w:tcPr>
                <w:p w14:paraId="6FFAB7AB">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14.5</w:t>
                  </w:r>
                </w:p>
              </w:tc>
              <w:tc>
                <w:tcPr>
                  <w:tcW w:w="920" w:type="pct"/>
                  <w:tcBorders>
                    <w:tl2br w:val="nil"/>
                    <w:tr2bl w:val="nil"/>
                  </w:tcBorders>
                  <w:noWrap/>
                  <w:vAlign w:val="center"/>
                </w:tcPr>
                <w:p w14:paraId="5545EF48">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eastAsia="zh-CN"/>
                    </w:rPr>
                    <w:t>地面收集尘</w:t>
                  </w:r>
                </w:p>
              </w:tc>
              <w:tc>
                <w:tcPr>
                  <w:tcW w:w="737" w:type="pct"/>
                  <w:tcBorders>
                    <w:tl2br w:val="nil"/>
                    <w:tr2bl w:val="nil"/>
                  </w:tcBorders>
                  <w:noWrap/>
                  <w:vAlign w:val="center"/>
                </w:tcPr>
                <w:p w14:paraId="15BF8C1C">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lang w:val="en-US"/>
                    </w:rPr>
                  </w:pPr>
                  <w:r>
                    <w:rPr>
                      <w:rFonts w:hint="eastAsia"/>
                      <w:color w:val="auto"/>
                      <w:sz w:val="21"/>
                      <w:szCs w:val="21"/>
                      <w:highlight w:val="none"/>
                      <w:lang w:val="en-US" w:eastAsia="zh-CN"/>
                    </w:rPr>
                    <w:t>5.1057</w:t>
                  </w:r>
                </w:p>
              </w:tc>
              <w:tc>
                <w:tcPr>
                  <w:tcW w:w="1430" w:type="pct"/>
                  <w:tcBorders>
                    <w:tl2br w:val="nil"/>
                    <w:tr2bl w:val="nil"/>
                  </w:tcBorders>
                  <w:noWrap w:val="0"/>
                  <w:vAlign w:val="center"/>
                </w:tcPr>
                <w:p w14:paraId="77BE39D2">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外售</w:t>
                  </w:r>
                </w:p>
              </w:tc>
            </w:tr>
            <w:tr w14:paraId="72A190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02" w:type="pct"/>
                  <w:tcBorders>
                    <w:tl2br w:val="nil"/>
                    <w:tr2bl w:val="nil"/>
                  </w:tcBorders>
                  <w:noWrap w:val="0"/>
                  <w:vAlign w:val="center"/>
                </w:tcPr>
                <w:p w14:paraId="41FA3A29">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UV</w:t>
                  </w:r>
                  <w:r>
                    <w:rPr>
                      <w:rFonts w:hint="default" w:ascii="Times New Roman" w:hAnsi="Times New Roman" w:eastAsia="宋体" w:cs="Times New Roman"/>
                      <w:color w:val="auto"/>
                      <w:sz w:val="21"/>
                      <w:szCs w:val="21"/>
                      <w:lang w:eastAsia="zh-CN"/>
                    </w:rPr>
                    <w:t>面漆</w:t>
                  </w:r>
                </w:p>
              </w:tc>
              <w:tc>
                <w:tcPr>
                  <w:tcW w:w="710" w:type="pct"/>
                  <w:tcBorders>
                    <w:tl2br w:val="nil"/>
                    <w:tr2bl w:val="nil"/>
                  </w:tcBorders>
                  <w:noWrap w:val="0"/>
                  <w:vAlign w:val="center"/>
                </w:tcPr>
                <w:p w14:paraId="407F7A01">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2.5</w:t>
                  </w:r>
                </w:p>
              </w:tc>
              <w:tc>
                <w:tcPr>
                  <w:tcW w:w="920" w:type="pct"/>
                  <w:tcBorders>
                    <w:tl2br w:val="nil"/>
                    <w:tr2bl w:val="nil"/>
                  </w:tcBorders>
                  <w:noWrap/>
                  <w:vAlign w:val="center"/>
                </w:tcPr>
                <w:p w14:paraId="5AC79D79">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除尘器收尘灰</w:t>
                  </w:r>
                </w:p>
              </w:tc>
              <w:tc>
                <w:tcPr>
                  <w:tcW w:w="737" w:type="pct"/>
                  <w:tcBorders>
                    <w:tl2br w:val="nil"/>
                    <w:tr2bl w:val="nil"/>
                  </w:tcBorders>
                  <w:noWrap/>
                  <w:vAlign w:val="center"/>
                </w:tcPr>
                <w:p w14:paraId="30A16570">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default"/>
                      <w:color w:val="auto"/>
                      <w:sz w:val="21"/>
                      <w:szCs w:val="21"/>
                      <w:highlight w:val="none"/>
                      <w:lang w:val="en-US" w:eastAsia="zh-CN"/>
                    </w:rPr>
                  </w:pPr>
                  <w:r>
                    <w:rPr>
                      <w:rFonts w:hint="eastAsia"/>
                      <w:color w:val="auto"/>
                      <w:sz w:val="21"/>
                      <w:szCs w:val="21"/>
                      <w:highlight w:val="none"/>
                      <w:lang w:val="en-US" w:eastAsia="zh-CN"/>
                    </w:rPr>
                    <w:t>22.47</w:t>
                  </w:r>
                </w:p>
              </w:tc>
              <w:tc>
                <w:tcPr>
                  <w:tcW w:w="1430" w:type="pct"/>
                  <w:tcBorders>
                    <w:tl2br w:val="nil"/>
                    <w:tr2bl w:val="nil"/>
                  </w:tcBorders>
                  <w:noWrap w:val="0"/>
                  <w:vAlign w:val="center"/>
                </w:tcPr>
                <w:p w14:paraId="29003AC2">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外售</w:t>
                  </w:r>
                </w:p>
              </w:tc>
            </w:tr>
            <w:tr w14:paraId="16E692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02" w:type="pct"/>
                  <w:tcBorders>
                    <w:tl2br w:val="nil"/>
                    <w:tr2bl w:val="nil"/>
                  </w:tcBorders>
                  <w:noWrap w:val="0"/>
                  <w:vAlign w:val="center"/>
                </w:tcPr>
                <w:p w14:paraId="236CF658">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eastAsia" w:ascii="Times New Roman" w:hAnsi="Times New Roman" w:eastAsia="宋体" w:cs="Times New Roman"/>
                      <w:color w:val="auto"/>
                      <w:sz w:val="21"/>
                      <w:szCs w:val="21"/>
                      <w:lang w:val="en-US" w:eastAsia="zh-CN"/>
                    </w:rPr>
                  </w:pPr>
                </w:p>
              </w:tc>
              <w:tc>
                <w:tcPr>
                  <w:tcW w:w="710" w:type="pct"/>
                  <w:tcBorders>
                    <w:tl2br w:val="nil"/>
                    <w:tr2bl w:val="nil"/>
                  </w:tcBorders>
                  <w:noWrap w:val="0"/>
                  <w:vAlign w:val="center"/>
                </w:tcPr>
                <w:p w14:paraId="77F8C582">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eastAsia" w:ascii="Times New Roman" w:hAnsi="Times New Roman" w:eastAsia="宋体" w:cs="Times New Roman"/>
                      <w:color w:val="auto"/>
                      <w:sz w:val="21"/>
                      <w:szCs w:val="21"/>
                      <w:lang w:val="en-US" w:eastAsia="zh-CN"/>
                    </w:rPr>
                  </w:pPr>
                </w:p>
              </w:tc>
              <w:tc>
                <w:tcPr>
                  <w:tcW w:w="920" w:type="pct"/>
                  <w:tcBorders>
                    <w:tl2br w:val="nil"/>
                    <w:tr2bl w:val="nil"/>
                  </w:tcBorders>
                  <w:noWrap w:val="0"/>
                  <w:vAlign w:val="center"/>
                </w:tcPr>
                <w:p w14:paraId="584F82D7">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漆（胶）渣</w:t>
                  </w:r>
                </w:p>
              </w:tc>
              <w:tc>
                <w:tcPr>
                  <w:tcW w:w="737" w:type="pct"/>
                  <w:tcBorders>
                    <w:tl2br w:val="nil"/>
                    <w:tr2bl w:val="nil"/>
                  </w:tcBorders>
                  <w:noWrap w:val="0"/>
                  <w:vAlign w:val="center"/>
                </w:tcPr>
                <w:p w14:paraId="46826495">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0.1736</w:t>
                  </w:r>
                </w:p>
              </w:tc>
              <w:tc>
                <w:tcPr>
                  <w:tcW w:w="1430" w:type="pct"/>
                  <w:tcBorders>
                    <w:tl2br w:val="nil"/>
                    <w:tr2bl w:val="nil"/>
                  </w:tcBorders>
                  <w:noWrap w:val="0"/>
                  <w:vAlign w:val="center"/>
                </w:tcPr>
                <w:p w14:paraId="4E08294B">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委托有资质单位处置</w:t>
                  </w:r>
                </w:p>
              </w:tc>
            </w:tr>
            <w:tr w14:paraId="2C8138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02" w:type="pct"/>
                  <w:tcBorders>
                    <w:tl2br w:val="nil"/>
                    <w:tr2bl w:val="nil"/>
                  </w:tcBorders>
                  <w:noWrap w:val="0"/>
                  <w:vAlign w:val="center"/>
                </w:tcPr>
                <w:p w14:paraId="2CBCA885">
                  <w:pPr>
                    <w:keepNext w:val="0"/>
                    <w:keepLines w:val="0"/>
                    <w:pageBreakBefore w:val="0"/>
                    <w:widowControl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p>
              </w:tc>
              <w:tc>
                <w:tcPr>
                  <w:tcW w:w="710" w:type="pct"/>
                  <w:tcBorders>
                    <w:tl2br w:val="nil"/>
                    <w:tr2bl w:val="nil"/>
                  </w:tcBorders>
                  <w:noWrap w:val="0"/>
                  <w:vAlign w:val="center"/>
                </w:tcPr>
                <w:p w14:paraId="322227AD">
                  <w:pPr>
                    <w:keepNext w:val="0"/>
                    <w:keepLines w:val="0"/>
                    <w:pageBreakBefore w:val="0"/>
                    <w:widowControl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lang w:eastAsia="zh-CN"/>
                    </w:rPr>
                  </w:pPr>
                </w:p>
              </w:tc>
              <w:tc>
                <w:tcPr>
                  <w:tcW w:w="920" w:type="pct"/>
                  <w:tcBorders>
                    <w:tl2br w:val="nil"/>
                    <w:tr2bl w:val="nil"/>
                  </w:tcBorders>
                  <w:noWrap w:val="0"/>
                  <w:vAlign w:val="center"/>
                </w:tcPr>
                <w:p w14:paraId="036DDEC7">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eastAsia="zh-CN"/>
                    </w:rPr>
                    <w:t>有组织</w:t>
                  </w:r>
                  <w:r>
                    <w:rPr>
                      <w:rFonts w:hint="default" w:ascii="Times New Roman" w:hAnsi="Times New Roman" w:eastAsia="宋体" w:cs="Times New Roman"/>
                      <w:color w:val="auto"/>
                      <w:sz w:val="21"/>
                      <w:szCs w:val="21"/>
                      <w:lang w:eastAsia="zh-CN"/>
                    </w:rPr>
                    <w:t>废气</w:t>
                  </w:r>
                  <w:r>
                    <w:rPr>
                      <w:rFonts w:hint="eastAsia" w:ascii="Times New Roman" w:hAnsi="Times New Roman" w:eastAsia="宋体" w:cs="Times New Roman"/>
                      <w:color w:val="auto"/>
                      <w:sz w:val="21"/>
                      <w:szCs w:val="21"/>
                      <w:lang w:eastAsia="zh-CN"/>
                    </w:rPr>
                    <w:t>（颗粒物）</w:t>
                  </w:r>
                </w:p>
              </w:tc>
              <w:tc>
                <w:tcPr>
                  <w:tcW w:w="737" w:type="pct"/>
                  <w:tcBorders>
                    <w:tl2br w:val="nil"/>
                    <w:tr2bl w:val="nil"/>
                  </w:tcBorders>
                  <w:noWrap w:val="0"/>
                  <w:vAlign w:val="center"/>
                </w:tcPr>
                <w:p w14:paraId="668940F6">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0.227</w:t>
                  </w:r>
                </w:p>
              </w:tc>
              <w:tc>
                <w:tcPr>
                  <w:tcW w:w="1430" w:type="pct"/>
                  <w:tcBorders>
                    <w:tl2br w:val="nil"/>
                    <w:tr2bl w:val="nil"/>
                  </w:tcBorders>
                  <w:noWrap w:val="0"/>
                  <w:vAlign w:val="center"/>
                </w:tcPr>
                <w:p w14:paraId="75999F92">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eastAsia="zh-CN"/>
                    </w:rPr>
                    <w:t>大气</w:t>
                  </w:r>
                </w:p>
              </w:tc>
            </w:tr>
            <w:tr w14:paraId="5CE404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02" w:type="pct"/>
                  <w:tcBorders>
                    <w:tl2br w:val="nil"/>
                    <w:tr2bl w:val="nil"/>
                  </w:tcBorders>
                  <w:noWrap w:val="0"/>
                  <w:vAlign w:val="center"/>
                </w:tcPr>
                <w:p w14:paraId="735900C9">
                  <w:pPr>
                    <w:keepNext w:val="0"/>
                    <w:keepLines w:val="0"/>
                    <w:pageBreakBefore w:val="0"/>
                    <w:widowControl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p>
              </w:tc>
              <w:tc>
                <w:tcPr>
                  <w:tcW w:w="710" w:type="pct"/>
                  <w:tcBorders>
                    <w:tl2br w:val="nil"/>
                    <w:tr2bl w:val="nil"/>
                  </w:tcBorders>
                  <w:noWrap w:val="0"/>
                  <w:vAlign w:val="center"/>
                </w:tcPr>
                <w:p w14:paraId="527CE54B">
                  <w:pPr>
                    <w:keepNext w:val="0"/>
                    <w:keepLines w:val="0"/>
                    <w:pageBreakBefore w:val="0"/>
                    <w:widowControl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lang w:eastAsia="zh-CN"/>
                    </w:rPr>
                  </w:pPr>
                </w:p>
              </w:tc>
              <w:tc>
                <w:tcPr>
                  <w:tcW w:w="920" w:type="pct"/>
                  <w:tcBorders>
                    <w:tl2br w:val="nil"/>
                    <w:tr2bl w:val="nil"/>
                  </w:tcBorders>
                  <w:noWrap w:val="0"/>
                  <w:vAlign w:val="center"/>
                </w:tcPr>
                <w:p w14:paraId="2B6497D4">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无组织废气（颗粒物）</w:t>
                  </w:r>
                </w:p>
              </w:tc>
              <w:tc>
                <w:tcPr>
                  <w:tcW w:w="737" w:type="pct"/>
                  <w:tcBorders>
                    <w:tl2br w:val="nil"/>
                    <w:tr2bl w:val="nil"/>
                  </w:tcBorders>
                  <w:noWrap w:val="0"/>
                  <w:vAlign w:val="center"/>
                </w:tcPr>
                <w:p w14:paraId="4344BA3D">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0.5673</w:t>
                  </w:r>
                </w:p>
              </w:tc>
              <w:tc>
                <w:tcPr>
                  <w:tcW w:w="1430" w:type="pct"/>
                  <w:tcBorders>
                    <w:tl2br w:val="nil"/>
                    <w:tr2bl w:val="nil"/>
                  </w:tcBorders>
                  <w:noWrap w:val="0"/>
                  <w:vAlign w:val="center"/>
                </w:tcPr>
                <w:p w14:paraId="72802447">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大气</w:t>
                  </w:r>
                </w:p>
              </w:tc>
            </w:tr>
            <w:tr w14:paraId="217E5B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02" w:type="pct"/>
                  <w:tcBorders>
                    <w:tl2br w:val="nil"/>
                    <w:tr2bl w:val="nil"/>
                  </w:tcBorders>
                  <w:noWrap w:val="0"/>
                  <w:vAlign w:val="center"/>
                </w:tcPr>
                <w:p w14:paraId="63C660A5">
                  <w:pPr>
                    <w:keepNext w:val="0"/>
                    <w:keepLines w:val="0"/>
                    <w:pageBreakBefore w:val="0"/>
                    <w:widowControl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p>
              </w:tc>
              <w:tc>
                <w:tcPr>
                  <w:tcW w:w="710" w:type="pct"/>
                  <w:tcBorders>
                    <w:tl2br w:val="nil"/>
                    <w:tr2bl w:val="nil"/>
                  </w:tcBorders>
                  <w:noWrap w:val="0"/>
                  <w:vAlign w:val="center"/>
                </w:tcPr>
                <w:p w14:paraId="3CB4C1BF">
                  <w:pPr>
                    <w:keepNext w:val="0"/>
                    <w:keepLines w:val="0"/>
                    <w:pageBreakBefore w:val="0"/>
                    <w:widowControl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lang w:eastAsia="zh-CN"/>
                    </w:rPr>
                  </w:pPr>
                </w:p>
              </w:tc>
              <w:tc>
                <w:tcPr>
                  <w:tcW w:w="920" w:type="pct"/>
                  <w:tcBorders>
                    <w:tl2br w:val="nil"/>
                    <w:tr2bl w:val="nil"/>
                  </w:tcBorders>
                  <w:noWrap w:val="0"/>
                  <w:vAlign w:val="center"/>
                </w:tcPr>
                <w:p w14:paraId="69FCA72A">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有组织</w:t>
                  </w:r>
                  <w:r>
                    <w:rPr>
                      <w:rFonts w:hint="default" w:ascii="Times New Roman" w:hAnsi="Times New Roman" w:eastAsia="宋体" w:cs="Times New Roman"/>
                      <w:color w:val="auto"/>
                      <w:sz w:val="21"/>
                      <w:szCs w:val="21"/>
                      <w:lang w:eastAsia="zh-CN"/>
                    </w:rPr>
                    <w:t>废气</w:t>
                  </w: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lang w:val="en-US" w:eastAsia="zh-CN"/>
                    </w:rPr>
                    <w:t>VOCs</w:t>
                  </w:r>
                  <w:r>
                    <w:rPr>
                      <w:rFonts w:hint="eastAsia" w:ascii="Times New Roman" w:hAnsi="Times New Roman" w:eastAsia="宋体" w:cs="Times New Roman"/>
                      <w:color w:val="auto"/>
                      <w:sz w:val="21"/>
                      <w:szCs w:val="21"/>
                      <w:lang w:eastAsia="zh-CN"/>
                    </w:rPr>
                    <w:t>）</w:t>
                  </w:r>
                </w:p>
              </w:tc>
              <w:tc>
                <w:tcPr>
                  <w:tcW w:w="737" w:type="pct"/>
                  <w:tcBorders>
                    <w:tl2br w:val="nil"/>
                    <w:tr2bl w:val="nil"/>
                  </w:tcBorders>
                  <w:noWrap w:val="0"/>
                  <w:vAlign w:val="center"/>
                </w:tcPr>
                <w:p w14:paraId="680046D9">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0.2584</w:t>
                  </w:r>
                </w:p>
              </w:tc>
              <w:tc>
                <w:tcPr>
                  <w:tcW w:w="1430" w:type="pct"/>
                  <w:tcBorders>
                    <w:tl2br w:val="nil"/>
                    <w:tr2bl w:val="nil"/>
                  </w:tcBorders>
                  <w:noWrap w:val="0"/>
                  <w:vAlign w:val="center"/>
                </w:tcPr>
                <w:p w14:paraId="5AF10153">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大气</w:t>
                  </w:r>
                </w:p>
              </w:tc>
            </w:tr>
            <w:tr w14:paraId="68D69C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02" w:type="pct"/>
                  <w:tcBorders>
                    <w:tl2br w:val="nil"/>
                    <w:tr2bl w:val="nil"/>
                  </w:tcBorders>
                  <w:noWrap w:val="0"/>
                  <w:vAlign w:val="center"/>
                </w:tcPr>
                <w:p w14:paraId="7EC70698">
                  <w:pPr>
                    <w:keepNext w:val="0"/>
                    <w:keepLines w:val="0"/>
                    <w:pageBreakBefore w:val="0"/>
                    <w:widowControl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p>
              </w:tc>
              <w:tc>
                <w:tcPr>
                  <w:tcW w:w="710" w:type="pct"/>
                  <w:tcBorders>
                    <w:tl2br w:val="nil"/>
                    <w:tr2bl w:val="nil"/>
                  </w:tcBorders>
                  <w:noWrap w:val="0"/>
                  <w:vAlign w:val="center"/>
                </w:tcPr>
                <w:p w14:paraId="68F74000">
                  <w:pPr>
                    <w:keepNext w:val="0"/>
                    <w:keepLines w:val="0"/>
                    <w:pageBreakBefore w:val="0"/>
                    <w:widowControl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lang w:eastAsia="zh-CN"/>
                    </w:rPr>
                  </w:pPr>
                </w:p>
              </w:tc>
              <w:tc>
                <w:tcPr>
                  <w:tcW w:w="920" w:type="pct"/>
                  <w:tcBorders>
                    <w:tl2br w:val="nil"/>
                    <w:tr2bl w:val="nil"/>
                  </w:tcBorders>
                  <w:noWrap w:val="0"/>
                  <w:vAlign w:val="center"/>
                </w:tcPr>
                <w:p w14:paraId="1501BD05">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无组织废气（</w:t>
                  </w:r>
                  <w:r>
                    <w:rPr>
                      <w:rFonts w:hint="eastAsia" w:ascii="Times New Roman" w:hAnsi="Times New Roman" w:eastAsia="宋体" w:cs="Times New Roman"/>
                      <w:color w:val="auto"/>
                      <w:sz w:val="21"/>
                      <w:szCs w:val="21"/>
                      <w:lang w:val="en-US" w:eastAsia="zh-CN"/>
                    </w:rPr>
                    <w:t>VOCs</w:t>
                  </w:r>
                  <w:r>
                    <w:rPr>
                      <w:rFonts w:hint="eastAsia" w:ascii="Times New Roman" w:hAnsi="Times New Roman" w:eastAsia="宋体" w:cs="Times New Roman"/>
                      <w:color w:val="auto"/>
                      <w:sz w:val="21"/>
                      <w:szCs w:val="21"/>
                      <w:lang w:eastAsia="zh-CN"/>
                    </w:rPr>
                    <w:t>）</w:t>
                  </w:r>
                </w:p>
              </w:tc>
              <w:tc>
                <w:tcPr>
                  <w:tcW w:w="737" w:type="pct"/>
                  <w:tcBorders>
                    <w:tl2br w:val="nil"/>
                    <w:tr2bl w:val="nil"/>
                  </w:tcBorders>
                  <w:noWrap w:val="0"/>
                  <w:vAlign w:val="center"/>
                </w:tcPr>
                <w:p w14:paraId="468E3350">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0.1361</w:t>
                  </w:r>
                </w:p>
              </w:tc>
              <w:tc>
                <w:tcPr>
                  <w:tcW w:w="1430" w:type="pct"/>
                  <w:tcBorders>
                    <w:tl2br w:val="nil"/>
                    <w:tr2bl w:val="nil"/>
                  </w:tcBorders>
                  <w:noWrap w:val="0"/>
                  <w:vAlign w:val="center"/>
                </w:tcPr>
                <w:p w14:paraId="36E00E41">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大气</w:t>
                  </w:r>
                </w:p>
              </w:tc>
            </w:tr>
            <w:tr w14:paraId="1A7813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02" w:type="pct"/>
                  <w:tcBorders>
                    <w:tl2br w:val="nil"/>
                    <w:tr2bl w:val="nil"/>
                  </w:tcBorders>
                  <w:noWrap w:val="0"/>
                  <w:vAlign w:val="center"/>
                </w:tcPr>
                <w:p w14:paraId="70975150">
                  <w:pPr>
                    <w:keepNext w:val="0"/>
                    <w:keepLines w:val="0"/>
                    <w:pageBreakBefore w:val="0"/>
                    <w:widowControl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p>
              </w:tc>
              <w:tc>
                <w:tcPr>
                  <w:tcW w:w="710" w:type="pct"/>
                  <w:tcBorders>
                    <w:tl2br w:val="nil"/>
                    <w:tr2bl w:val="nil"/>
                  </w:tcBorders>
                  <w:noWrap w:val="0"/>
                  <w:vAlign w:val="center"/>
                </w:tcPr>
                <w:p w14:paraId="371D494C">
                  <w:pPr>
                    <w:keepNext w:val="0"/>
                    <w:keepLines w:val="0"/>
                    <w:pageBreakBefore w:val="0"/>
                    <w:widowControl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lang w:eastAsia="zh-CN"/>
                    </w:rPr>
                  </w:pPr>
                </w:p>
              </w:tc>
              <w:tc>
                <w:tcPr>
                  <w:tcW w:w="920" w:type="pct"/>
                  <w:tcBorders>
                    <w:tl2br w:val="nil"/>
                    <w:tr2bl w:val="nil"/>
                  </w:tcBorders>
                  <w:noWrap w:val="0"/>
                  <w:vAlign w:val="center"/>
                </w:tcPr>
                <w:p w14:paraId="5F5F5A08">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废气治理（</w:t>
                  </w:r>
                  <w:r>
                    <w:rPr>
                      <w:rFonts w:hint="eastAsia" w:ascii="Times New Roman" w:hAnsi="Times New Roman" w:eastAsia="宋体" w:cs="Times New Roman"/>
                      <w:color w:val="auto"/>
                      <w:sz w:val="21"/>
                      <w:szCs w:val="21"/>
                      <w:lang w:val="en-US" w:eastAsia="zh-CN"/>
                    </w:rPr>
                    <w:t>VOCs</w:t>
                  </w:r>
                  <w:r>
                    <w:rPr>
                      <w:rFonts w:hint="eastAsia" w:ascii="Times New Roman" w:hAnsi="Times New Roman" w:eastAsia="宋体" w:cs="Times New Roman"/>
                      <w:color w:val="auto"/>
                      <w:sz w:val="21"/>
                      <w:szCs w:val="21"/>
                      <w:lang w:eastAsia="zh-CN"/>
                    </w:rPr>
                    <w:t>）</w:t>
                  </w:r>
                </w:p>
              </w:tc>
              <w:tc>
                <w:tcPr>
                  <w:tcW w:w="737" w:type="pct"/>
                  <w:tcBorders>
                    <w:tl2br w:val="nil"/>
                    <w:tr2bl w:val="nil"/>
                  </w:tcBorders>
                  <w:noWrap w:val="0"/>
                  <w:vAlign w:val="center"/>
                </w:tcPr>
                <w:p w14:paraId="2A925864">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0.2584</w:t>
                  </w:r>
                </w:p>
              </w:tc>
              <w:tc>
                <w:tcPr>
                  <w:tcW w:w="1430" w:type="pct"/>
                  <w:tcBorders>
                    <w:tl2br w:val="nil"/>
                    <w:tr2bl w:val="nil"/>
                  </w:tcBorders>
                  <w:noWrap w:val="0"/>
                  <w:vAlign w:val="center"/>
                </w:tcPr>
                <w:p w14:paraId="6BF64968">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治理措施（</w:t>
                  </w:r>
                  <w:r>
                    <w:rPr>
                      <w:rFonts w:hint="eastAsia" w:ascii="Times New Roman" w:hAnsi="Times New Roman" w:eastAsia="宋体" w:cs="Times New Roman"/>
                      <w:color w:val="auto"/>
                      <w:sz w:val="21"/>
                      <w:szCs w:val="21"/>
                      <w:highlight w:val="none"/>
                      <w:lang w:eastAsia="zh-CN"/>
                    </w:rPr>
                    <w:t>带有自动控制系统的</w:t>
                  </w:r>
                  <w:r>
                    <w:rPr>
                      <w:rFonts w:hint="eastAsia" w:ascii="Times New Roman" w:hAnsi="Times New Roman" w:eastAsia="宋体" w:cs="Times New Roman"/>
                      <w:color w:val="auto"/>
                      <w:sz w:val="21"/>
                      <w:szCs w:val="21"/>
                      <w:lang w:eastAsia="zh-CN"/>
                    </w:rPr>
                    <w:t>二级活性炭吸附设施）</w:t>
                  </w:r>
                </w:p>
              </w:tc>
            </w:tr>
            <w:tr w14:paraId="616DDC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02" w:type="pct"/>
                  <w:tcBorders>
                    <w:tl2br w:val="nil"/>
                    <w:tr2bl w:val="nil"/>
                  </w:tcBorders>
                  <w:noWrap w:val="0"/>
                  <w:vAlign w:val="center"/>
                </w:tcPr>
                <w:p w14:paraId="2CE9EA75">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合计</w:t>
                  </w:r>
                </w:p>
              </w:tc>
              <w:tc>
                <w:tcPr>
                  <w:tcW w:w="710" w:type="pct"/>
                  <w:tcBorders>
                    <w:tl2br w:val="nil"/>
                    <w:tr2bl w:val="nil"/>
                  </w:tcBorders>
                  <w:noWrap w:val="0"/>
                  <w:vAlign w:val="center"/>
                </w:tcPr>
                <w:p w14:paraId="44939057">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3217.36</w:t>
                  </w:r>
                </w:p>
              </w:tc>
              <w:tc>
                <w:tcPr>
                  <w:tcW w:w="920" w:type="pct"/>
                  <w:tcBorders>
                    <w:tl2br w:val="nil"/>
                    <w:tr2bl w:val="nil"/>
                  </w:tcBorders>
                  <w:noWrap w:val="0"/>
                  <w:vAlign w:val="center"/>
                </w:tcPr>
                <w:p w14:paraId="10FD8EB7">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合计</w:t>
                  </w:r>
                </w:p>
              </w:tc>
              <w:tc>
                <w:tcPr>
                  <w:tcW w:w="737" w:type="pct"/>
                  <w:tcBorders>
                    <w:tl2br w:val="nil"/>
                    <w:tr2bl w:val="nil"/>
                  </w:tcBorders>
                  <w:noWrap w:val="0"/>
                  <w:vAlign w:val="center"/>
                </w:tcPr>
                <w:p w14:paraId="0CF108A5">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3217.36</w:t>
                  </w:r>
                </w:p>
              </w:tc>
              <w:tc>
                <w:tcPr>
                  <w:tcW w:w="1430" w:type="pct"/>
                  <w:tcBorders>
                    <w:tl2br w:val="nil"/>
                    <w:tr2bl w:val="nil"/>
                  </w:tcBorders>
                  <w:noWrap w:val="0"/>
                  <w:vAlign w:val="center"/>
                </w:tcPr>
                <w:p w14:paraId="0D2D3947">
                  <w:pPr>
                    <w:keepNext w:val="0"/>
                    <w:keepLines w:val="0"/>
                    <w:pageBreakBefore w:val="0"/>
                    <w:widowControl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rPr>
                  </w:pPr>
                </w:p>
              </w:tc>
            </w:tr>
          </w:tbl>
          <w:p w14:paraId="68283F75">
            <w:pPr>
              <w:pStyle w:val="62"/>
              <w:rPr>
                <w:rFonts w:hint="eastAsia"/>
                <w:color w:val="auto"/>
                <w:highlight w:val="none"/>
                <w:lang w:val="en-US" w:eastAsia="zh-CN"/>
              </w:rPr>
            </w:pPr>
          </w:p>
          <w:p w14:paraId="533C5A57">
            <w:pPr>
              <w:pStyle w:val="62"/>
              <w:rPr>
                <w:color w:val="auto"/>
                <w:highlight w:val="none"/>
              </w:rPr>
            </w:pPr>
            <w:r>
              <w:rPr>
                <w:rFonts w:hint="eastAsia"/>
                <w:color w:val="auto"/>
                <w:highlight w:val="none"/>
                <w:lang w:val="en-US" w:eastAsia="zh-CN"/>
              </w:rPr>
              <w:t>4</w:t>
            </w:r>
            <w:r>
              <w:rPr>
                <w:rFonts w:hint="eastAsia"/>
                <w:color w:val="auto"/>
                <w:highlight w:val="none"/>
              </w:rPr>
              <w:t>、</w:t>
            </w:r>
            <w:r>
              <w:rPr>
                <w:rFonts w:hint="eastAsia"/>
                <w:color w:val="auto"/>
                <w:highlight w:val="none"/>
                <w:lang w:eastAsia="zh-CN"/>
              </w:rPr>
              <w:t>漆</w:t>
            </w:r>
            <w:r>
              <w:rPr>
                <w:color w:val="auto"/>
                <w:highlight w:val="none"/>
              </w:rPr>
              <w:t>料平衡</w:t>
            </w:r>
          </w:p>
          <w:p w14:paraId="6429B7BC">
            <w:pPr>
              <w:pStyle w:val="59"/>
              <w:ind w:firstLine="480"/>
              <w:rPr>
                <w:rFonts w:hint="eastAsia"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t>本项目</w:t>
            </w:r>
            <w:r>
              <w:rPr>
                <w:rFonts w:hint="eastAsia" w:ascii="Times New Roman" w:hAnsi="Times New Roman" w:eastAsia="宋体" w:cs="Times New Roman"/>
                <w:color w:val="auto"/>
                <w:sz w:val="24"/>
                <w:highlight w:val="none"/>
                <w:lang w:eastAsia="zh-CN"/>
              </w:rPr>
              <w:t>漆</w:t>
            </w:r>
            <w:r>
              <w:rPr>
                <w:rFonts w:hint="eastAsia" w:ascii="Times New Roman" w:hAnsi="Times New Roman" w:eastAsia="宋体" w:cs="Times New Roman"/>
                <w:color w:val="auto"/>
                <w:sz w:val="24"/>
                <w:highlight w:val="none"/>
              </w:rPr>
              <w:t>料平衡见下表。</w:t>
            </w:r>
          </w:p>
          <w:p w14:paraId="0138F2DD">
            <w:pPr>
              <w:pStyle w:val="68"/>
              <w:numPr>
                <w:ilvl w:val="0"/>
                <w:numId w:val="13"/>
              </w:numPr>
              <w:spacing w:line="360" w:lineRule="auto"/>
              <w:ind w:left="0" w:leftChars="0" w:firstLine="0" w:firstLineChars="0"/>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 本项目漆料平衡一览表  单位：t/a</w:t>
            </w:r>
          </w:p>
          <w:tbl>
            <w:tblPr>
              <w:tblStyle w:val="2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02"/>
              <w:gridCol w:w="1148"/>
              <w:gridCol w:w="1526"/>
              <w:gridCol w:w="1106"/>
              <w:gridCol w:w="3023"/>
            </w:tblGrid>
            <w:tr w14:paraId="4A1049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35" w:type="pct"/>
                  <w:gridSpan w:val="2"/>
                  <w:tcBorders>
                    <w:tl2br w:val="nil"/>
                    <w:tr2bl w:val="nil"/>
                  </w:tcBorders>
                  <w:noWrap w:val="0"/>
                  <w:vAlign w:val="center"/>
                </w:tcPr>
                <w:p w14:paraId="1FAC418A">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进料</w:t>
                  </w:r>
                </w:p>
              </w:tc>
              <w:tc>
                <w:tcPr>
                  <w:tcW w:w="3364" w:type="pct"/>
                  <w:gridSpan w:val="3"/>
                  <w:tcBorders>
                    <w:tl2br w:val="nil"/>
                    <w:tr2bl w:val="nil"/>
                  </w:tcBorders>
                  <w:noWrap w:val="0"/>
                  <w:vAlign w:val="center"/>
                </w:tcPr>
                <w:p w14:paraId="7CF64C5C">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出料</w:t>
                  </w:r>
                </w:p>
              </w:tc>
            </w:tr>
            <w:tr w14:paraId="50B5CB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53" w:type="pct"/>
                  <w:tcBorders>
                    <w:tl2br w:val="nil"/>
                    <w:tr2bl w:val="nil"/>
                  </w:tcBorders>
                  <w:noWrap w:val="0"/>
                  <w:vAlign w:val="center"/>
                </w:tcPr>
                <w:p w14:paraId="63F631E7">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漆料名称</w:t>
                  </w:r>
                </w:p>
              </w:tc>
              <w:tc>
                <w:tcPr>
                  <w:tcW w:w="682" w:type="pct"/>
                  <w:tcBorders>
                    <w:tl2br w:val="nil"/>
                    <w:tr2bl w:val="nil"/>
                  </w:tcBorders>
                  <w:noWrap w:val="0"/>
                  <w:vAlign w:val="center"/>
                </w:tcPr>
                <w:p w14:paraId="0C2B4BC3">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数量</w:t>
                  </w:r>
                </w:p>
              </w:tc>
              <w:tc>
                <w:tcPr>
                  <w:tcW w:w="907" w:type="pct"/>
                  <w:tcBorders>
                    <w:tl2br w:val="nil"/>
                    <w:tr2bl w:val="nil"/>
                  </w:tcBorders>
                  <w:noWrap w:val="0"/>
                  <w:vAlign w:val="center"/>
                </w:tcPr>
                <w:p w14:paraId="5840F409">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成品附着量</w:t>
                  </w:r>
                </w:p>
              </w:tc>
              <w:tc>
                <w:tcPr>
                  <w:tcW w:w="657" w:type="pct"/>
                  <w:tcBorders>
                    <w:tl2br w:val="nil"/>
                    <w:tr2bl w:val="nil"/>
                  </w:tcBorders>
                  <w:noWrap w:val="0"/>
                  <w:vAlign w:val="center"/>
                </w:tcPr>
                <w:p w14:paraId="523C8B79">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漆渣</w:t>
                  </w:r>
                </w:p>
              </w:tc>
              <w:tc>
                <w:tcPr>
                  <w:tcW w:w="1798" w:type="pct"/>
                  <w:tcBorders>
                    <w:tl2br w:val="nil"/>
                    <w:tr2bl w:val="nil"/>
                  </w:tcBorders>
                  <w:noWrap w:val="0"/>
                  <w:vAlign w:val="center"/>
                </w:tcPr>
                <w:p w14:paraId="017C3B58">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废气</w:t>
                  </w:r>
                </w:p>
              </w:tc>
            </w:tr>
            <w:tr w14:paraId="69131E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53" w:type="pct"/>
                  <w:tcBorders>
                    <w:tl2br w:val="nil"/>
                    <w:tr2bl w:val="nil"/>
                  </w:tcBorders>
                  <w:noWrap w:val="0"/>
                  <w:vAlign w:val="center"/>
                </w:tcPr>
                <w:p w14:paraId="4F32B9E7">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default"/>
                      <w:color w:val="auto"/>
                    </w:rPr>
                  </w:pPr>
                  <w:r>
                    <w:rPr>
                      <w:rFonts w:hint="eastAsia" w:ascii="Times New Roman" w:hAnsi="Times New Roman" w:eastAsia="宋体" w:cs="Times New Roman"/>
                      <w:color w:val="auto"/>
                      <w:sz w:val="21"/>
                      <w:szCs w:val="21"/>
                      <w:lang w:val="en-US" w:eastAsia="zh-CN"/>
                    </w:rPr>
                    <w:t>UV</w:t>
                  </w:r>
                  <w:r>
                    <w:rPr>
                      <w:rFonts w:hint="default" w:ascii="Times New Roman" w:hAnsi="Times New Roman" w:eastAsia="宋体" w:cs="Times New Roman"/>
                      <w:color w:val="auto"/>
                      <w:sz w:val="21"/>
                      <w:szCs w:val="21"/>
                      <w:lang w:eastAsia="zh-CN"/>
                    </w:rPr>
                    <w:t>底漆</w:t>
                  </w:r>
                </w:p>
              </w:tc>
              <w:tc>
                <w:tcPr>
                  <w:tcW w:w="682" w:type="pct"/>
                  <w:tcBorders>
                    <w:tl2br w:val="nil"/>
                    <w:tr2bl w:val="nil"/>
                  </w:tcBorders>
                  <w:noWrap w:val="0"/>
                  <w:vAlign w:val="center"/>
                </w:tcPr>
                <w:p w14:paraId="6A1242C3">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14.5</w:t>
                  </w:r>
                </w:p>
              </w:tc>
              <w:tc>
                <w:tcPr>
                  <w:tcW w:w="907" w:type="pct"/>
                  <w:tcBorders>
                    <w:tl2br w:val="nil"/>
                    <w:tr2bl w:val="nil"/>
                  </w:tcBorders>
                  <w:noWrap w:val="0"/>
                  <w:vAlign w:val="center"/>
                </w:tcPr>
                <w:p w14:paraId="012EA759">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13.817</w:t>
                  </w:r>
                </w:p>
              </w:tc>
              <w:tc>
                <w:tcPr>
                  <w:tcW w:w="657" w:type="pct"/>
                  <w:tcBorders>
                    <w:tl2br w:val="nil"/>
                    <w:tr2bl w:val="nil"/>
                  </w:tcBorders>
                  <w:noWrap w:val="0"/>
                  <w:vAlign w:val="center"/>
                </w:tcPr>
                <w:p w14:paraId="135D135F">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0.145</w:t>
                  </w:r>
                </w:p>
              </w:tc>
              <w:tc>
                <w:tcPr>
                  <w:tcW w:w="1798" w:type="pct"/>
                  <w:tcBorders>
                    <w:tl2br w:val="nil"/>
                    <w:tr2bl w:val="nil"/>
                  </w:tcBorders>
                  <w:noWrap w:val="0"/>
                  <w:vAlign w:val="center"/>
                </w:tcPr>
                <w:p w14:paraId="32B74D3C">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eastAsia="zh-CN"/>
                    </w:rPr>
                    <w:t>辊涂</w:t>
                  </w:r>
                  <w:r>
                    <w:rPr>
                      <w:rFonts w:hint="default" w:ascii="Times New Roman" w:hAnsi="Times New Roman" w:eastAsia="宋体" w:cs="Times New Roman"/>
                      <w:color w:val="auto"/>
                      <w:sz w:val="21"/>
                      <w:szCs w:val="21"/>
                      <w:lang w:eastAsia="zh-CN"/>
                    </w:rPr>
                    <w:t>固化废气VOCs</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eastAsia="zh-CN"/>
                    </w:rPr>
                    <w:t>0.</w:t>
                  </w:r>
                  <w:r>
                    <w:rPr>
                      <w:rFonts w:hint="eastAsia" w:ascii="Times New Roman" w:hAnsi="Times New Roman" w:eastAsia="宋体" w:cs="Times New Roman"/>
                      <w:color w:val="auto"/>
                      <w:sz w:val="21"/>
                      <w:szCs w:val="21"/>
                      <w:lang w:val="en-US" w:eastAsia="zh-CN"/>
                    </w:rPr>
                    <w:t>538</w:t>
                  </w:r>
                </w:p>
              </w:tc>
            </w:tr>
            <w:tr w14:paraId="0AA9BC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53" w:type="pct"/>
                  <w:tcBorders>
                    <w:tl2br w:val="nil"/>
                    <w:tr2bl w:val="nil"/>
                  </w:tcBorders>
                  <w:noWrap w:val="0"/>
                  <w:vAlign w:val="center"/>
                </w:tcPr>
                <w:p w14:paraId="241A5957">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UV</w:t>
                  </w:r>
                  <w:r>
                    <w:rPr>
                      <w:rFonts w:hint="default" w:ascii="Times New Roman" w:hAnsi="Times New Roman" w:eastAsia="宋体" w:cs="Times New Roman"/>
                      <w:color w:val="auto"/>
                      <w:sz w:val="21"/>
                      <w:szCs w:val="21"/>
                      <w:lang w:eastAsia="zh-CN"/>
                    </w:rPr>
                    <w:t>面漆</w:t>
                  </w:r>
                </w:p>
              </w:tc>
              <w:tc>
                <w:tcPr>
                  <w:tcW w:w="682" w:type="pct"/>
                  <w:tcBorders>
                    <w:tl2br w:val="nil"/>
                    <w:tr2bl w:val="nil"/>
                  </w:tcBorders>
                  <w:noWrap w:val="0"/>
                  <w:vAlign w:val="center"/>
                </w:tcPr>
                <w:p w14:paraId="0FF0C421">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eastAsia="zh-CN"/>
                    </w:rPr>
                    <w:t>2.5</w:t>
                  </w:r>
                </w:p>
              </w:tc>
              <w:tc>
                <w:tcPr>
                  <w:tcW w:w="907" w:type="pct"/>
                  <w:tcBorders>
                    <w:tl2br w:val="nil"/>
                    <w:tr2bl w:val="nil"/>
                  </w:tcBorders>
                  <w:noWrap w:val="0"/>
                  <w:vAlign w:val="center"/>
                </w:tcPr>
                <w:p w14:paraId="6B0A5CFD">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2.367</w:t>
                  </w:r>
                </w:p>
              </w:tc>
              <w:tc>
                <w:tcPr>
                  <w:tcW w:w="657" w:type="pct"/>
                  <w:tcBorders>
                    <w:tl2br w:val="nil"/>
                    <w:tr2bl w:val="nil"/>
                  </w:tcBorders>
                  <w:noWrap w:val="0"/>
                  <w:vAlign w:val="center"/>
                </w:tcPr>
                <w:p w14:paraId="4023FA44">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0.025</w:t>
                  </w:r>
                </w:p>
              </w:tc>
              <w:tc>
                <w:tcPr>
                  <w:tcW w:w="1798" w:type="pct"/>
                  <w:tcBorders>
                    <w:tl2br w:val="nil"/>
                    <w:tr2bl w:val="nil"/>
                  </w:tcBorders>
                  <w:noWrap w:val="0"/>
                  <w:vAlign w:val="center"/>
                </w:tcPr>
                <w:p w14:paraId="20AFCE79">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eastAsia="zh-CN"/>
                    </w:rPr>
                    <w:t>辊涂</w:t>
                  </w:r>
                  <w:r>
                    <w:rPr>
                      <w:rFonts w:hint="default" w:ascii="Times New Roman" w:hAnsi="Times New Roman" w:eastAsia="宋体" w:cs="Times New Roman"/>
                      <w:color w:val="auto"/>
                      <w:sz w:val="21"/>
                      <w:szCs w:val="21"/>
                      <w:lang w:eastAsia="zh-CN"/>
                    </w:rPr>
                    <w:t>固化废气VOCs</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eastAsia="zh-CN"/>
                    </w:rPr>
                    <w:t>0.</w:t>
                  </w:r>
                  <w:r>
                    <w:rPr>
                      <w:rFonts w:hint="eastAsia" w:ascii="Times New Roman" w:hAnsi="Times New Roman" w:eastAsia="宋体" w:cs="Times New Roman"/>
                      <w:color w:val="auto"/>
                      <w:sz w:val="21"/>
                      <w:szCs w:val="21"/>
                      <w:lang w:val="en-US" w:eastAsia="zh-CN"/>
                    </w:rPr>
                    <w:t>108</w:t>
                  </w:r>
                </w:p>
              </w:tc>
            </w:tr>
          </w:tbl>
          <w:p w14:paraId="03AB6D0F">
            <w:pPr>
              <w:pStyle w:val="68"/>
              <w:spacing w:line="240" w:lineRule="auto"/>
              <w:jc w:val="both"/>
              <w:rPr>
                <w:rFonts w:hint="eastAsia"/>
                <w:bCs/>
                <w:color w:val="auto"/>
                <w:szCs w:val="21"/>
                <w:highlight w:val="none"/>
              </w:rPr>
            </w:pPr>
          </w:p>
          <w:p w14:paraId="65949064">
            <w:pPr>
              <w:pStyle w:val="68"/>
              <w:spacing w:line="240" w:lineRule="auto"/>
              <w:jc w:val="both"/>
              <w:rPr>
                <w:rFonts w:hint="eastAsia"/>
                <w:bCs/>
                <w:color w:val="auto"/>
                <w:szCs w:val="21"/>
                <w:highlight w:val="none"/>
              </w:rPr>
            </w:pPr>
          </w:p>
        </w:tc>
      </w:tr>
      <w:tr w14:paraId="6AA0C51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218" w:hRule="atLeast"/>
          <w:jc w:val="center"/>
        </w:trPr>
        <w:tc>
          <w:tcPr>
            <w:tcW w:w="426" w:type="dxa"/>
            <w:tcBorders>
              <w:left w:val="single" w:color="auto" w:sz="4" w:space="0"/>
            </w:tcBorders>
            <w:noWrap w:val="0"/>
            <w:vAlign w:val="center"/>
          </w:tcPr>
          <w:p w14:paraId="1CA76BC3">
            <w:pPr>
              <w:pStyle w:val="21"/>
              <w:adjustRightInd w:val="0"/>
              <w:snapToGrid w:val="0"/>
              <w:spacing w:before="0" w:beforeAutospacing="0" w:after="0" w:afterAutospacing="0"/>
              <w:jc w:val="center"/>
              <w:rPr>
                <w:rFonts w:ascii="Times New Roman" w:hAnsi="Times New Roman"/>
                <w:color w:val="auto"/>
                <w:sz w:val="21"/>
                <w:szCs w:val="21"/>
                <w:highlight w:val="none"/>
                <w:lang w:val="en-US" w:eastAsia="zh-CN"/>
              </w:rPr>
            </w:pPr>
            <w:r>
              <w:rPr>
                <w:rFonts w:ascii="Times New Roman" w:hAnsi="Times New Roman"/>
                <w:bCs/>
                <w:color w:val="auto"/>
                <w:kern w:val="2"/>
                <w:sz w:val="21"/>
                <w:szCs w:val="21"/>
                <w:highlight w:val="none"/>
                <w:lang w:val="en-US" w:eastAsia="zh-CN"/>
              </w:rPr>
              <w:t>与项目有关的原有环境污染问题</w:t>
            </w:r>
          </w:p>
        </w:tc>
        <w:tc>
          <w:tcPr>
            <w:tcW w:w="8634" w:type="dxa"/>
            <w:tcBorders>
              <w:right w:val="single" w:color="auto" w:sz="4" w:space="0"/>
            </w:tcBorders>
            <w:noWrap w:val="0"/>
            <w:vAlign w:val="top"/>
          </w:tcPr>
          <w:p w14:paraId="3690C34D">
            <w:pPr>
              <w:pStyle w:val="68"/>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bCs/>
                <w:color w:val="auto"/>
                <w:szCs w:val="21"/>
                <w:highlight w:val="none"/>
              </w:rPr>
            </w:pPr>
            <w:r>
              <w:rPr>
                <w:rFonts w:hint="eastAsia" w:ascii="Times New Roman" w:hAnsi="Times New Roman" w:eastAsia="宋体" w:cs="Times New Roman"/>
                <w:b w:val="0"/>
                <w:color w:val="auto"/>
                <w:kern w:val="0"/>
                <w:sz w:val="24"/>
                <w:szCs w:val="32"/>
                <w:highlight w:val="none"/>
                <w:lang w:val="en-US" w:eastAsia="zh-CN" w:bidi="ar-SA"/>
              </w:rPr>
              <w:t>本项目为新建项目，租用</w:t>
            </w:r>
            <w:r>
              <w:rPr>
                <w:rFonts w:ascii="Times New Roman" w:hAnsi="Times New Roman" w:eastAsia="宋体" w:cs="Times New Roman"/>
                <w:b w:val="0"/>
                <w:color w:val="auto"/>
                <w:kern w:val="0"/>
                <w:sz w:val="24"/>
                <w:szCs w:val="32"/>
                <w:highlight w:val="none"/>
                <w:lang w:val="en-US" w:eastAsia="zh-CN" w:bidi="ar-SA"/>
              </w:rPr>
              <w:t>救兵木业和新材料产业园区</w:t>
            </w:r>
            <w:r>
              <w:rPr>
                <w:rFonts w:hint="eastAsia" w:ascii="Times New Roman" w:hAnsi="Times New Roman" w:eastAsia="宋体" w:cs="Times New Roman"/>
                <w:b w:val="0"/>
                <w:color w:val="auto"/>
                <w:kern w:val="0"/>
                <w:sz w:val="24"/>
                <w:szCs w:val="32"/>
                <w:highlight w:val="none"/>
                <w:lang w:val="en-US" w:eastAsia="zh-CN" w:bidi="ar-SA"/>
              </w:rPr>
              <w:t>空</w:t>
            </w:r>
            <w:r>
              <w:rPr>
                <w:rFonts w:ascii="Times New Roman" w:hAnsi="Times New Roman" w:eastAsia="宋体" w:cs="Times New Roman"/>
                <w:b w:val="0"/>
                <w:color w:val="auto"/>
                <w:kern w:val="0"/>
                <w:sz w:val="24"/>
                <w:szCs w:val="32"/>
                <w:highlight w:val="none"/>
                <w:lang w:val="en-US" w:eastAsia="zh-CN" w:bidi="ar-SA"/>
              </w:rPr>
              <w:t>厂房进行</w:t>
            </w:r>
            <w:r>
              <w:rPr>
                <w:rFonts w:hint="eastAsia" w:ascii="Times New Roman" w:hAnsi="Times New Roman" w:eastAsia="宋体" w:cs="Times New Roman"/>
                <w:b w:val="0"/>
                <w:color w:val="auto"/>
                <w:kern w:val="0"/>
                <w:sz w:val="24"/>
                <w:szCs w:val="32"/>
                <w:highlight w:val="none"/>
                <w:lang w:val="en-US" w:eastAsia="zh-CN" w:bidi="ar-SA"/>
              </w:rPr>
              <w:t>设备安装建设，</w:t>
            </w:r>
            <w:r>
              <w:rPr>
                <w:rFonts w:ascii="Times New Roman" w:hAnsi="Times New Roman" w:eastAsia="宋体" w:cs="Times New Roman"/>
                <w:b w:val="0"/>
                <w:color w:val="auto"/>
                <w:kern w:val="0"/>
                <w:sz w:val="24"/>
                <w:szCs w:val="32"/>
                <w:highlight w:val="none"/>
                <w:lang w:val="en-US" w:eastAsia="zh-CN" w:bidi="ar-SA"/>
              </w:rPr>
              <w:t>因此不存在原有环境问题。</w:t>
            </w:r>
          </w:p>
        </w:tc>
      </w:tr>
    </w:tbl>
    <w:p w14:paraId="0B72A3AE">
      <w:pPr>
        <w:pStyle w:val="21"/>
        <w:jc w:val="center"/>
        <w:rPr>
          <w:rFonts w:ascii="Times New Roman" w:hAnsi="Times New Roman" w:eastAsia="黑体"/>
          <w:snapToGrid w:val="0"/>
          <w:color w:val="auto"/>
          <w:sz w:val="36"/>
          <w:szCs w:val="36"/>
          <w:highlight w:val="none"/>
        </w:rPr>
        <w:sectPr>
          <w:pgSz w:w="11906" w:h="16838"/>
          <w:pgMar w:top="1701" w:right="1531" w:bottom="1701" w:left="1531" w:header="851" w:footer="1077" w:gutter="0"/>
          <w:pgNumType w:fmt="decimal"/>
          <w:cols w:space="720" w:num="1"/>
          <w:docGrid w:linePitch="312" w:charSpace="0"/>
        </w:sectPr>
      </w:pPr>
    </w:p>
    <w:p w14:paraId="0BAA72C5">
      <w:pPr>
        <w:pStyle w:val="21"/>
        <w:jc w:val="center"/>
        <w:outlineLvl w:val="0"/>
        <w:rPr>
          <w:rFonts w:ascii="Times New Roman" w:hAnsi="Times New Roman" w:eastAsia="黑体"/>
          <w:snapToGrid w:val="0"/>
          <w:color w:val="auto"/>
          <w:sz w:val="30"/>
          <w:szCs w:val="30"/>
          <w:highlight w:val="none"/>
        </w:rPr>
      </w:pPr>
      <w:r>
        <w:rPr>
          <w:rFonts w:ascii="Times New Roman" w:hAnsi="Times New Roman" w:eastAsia="黑体"/>
          <w:snapToGrid w:val="0"/>
          <w:color w:val="auto"/>
          <w:sz w:val="30"/>
          <w:szCs w:val="30"/>
          <w:highlight w:val="none"/>
        </w:rPr>
        <w:t>三、区域环境质量现状、环境保护目标及评价标准</w:t>
      </w:r>
    </w:p>
    <w:tbl>
      <w:tblPr>
        <w:tblStyle w:val="2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22"/>
        <w:gridCol w:w="8439"/>
      </w:tblGrid>
      <w:tr w14:paraId="0B3CA3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2" w:type="dxa"/>
            <w:noWrap w:val="0"/>
            <w:vAlign w:val="center"/>
          </w:tcPr>
          <w:p w14:paraId="6EA71BE9">
            <w:pPr>
              <w:adjustRightInd w:val="0"/>
              <w:snapToGrid w:val="0"/>
              <w:jc w:val="center"/>
              <w:rPr>
                <w:color w:val="auto"/>
                <w:kern w:val="0"/>
                <w:szCs w:val="21"/>
                <w:highlight w:val="none"/>
              </w:rPr>
            </w:pPr>
            <w:r>
              <w:rPr>
                <w:color w:val="auto"/>
                <w:kern w:val="0"/>
                <w:szCs w:val="21"/>
                <w:highlight w:val="none"/>
              </w:rPr>
              <w:t>区域</w:t>
            </w:r>
          </w:p>
          <w:p w14:paraId="68EF553C">
            <w:pPr>
              <w:adjustRightInd w:val="0"/>
              <w:snapToGrid w:val="0"/>
              <w:jc w:val="center"/>
              <w:rPr>
                <w:color w:val="auto"/>
                <w:kern w:val="0"/>
                <w:szCs w:val="21"/>
                <w:highlight w:val="none"/>
              </w:rPr>
            </w:pPr>
            <w:r>
              <w:rPr>
                <w:color w:val="auto"/>
                <w:kern w:val="0"/>
                <w:szCs w:val="21"/>
                <w:highlight w:val="none"/>
              </w:rPr>
              <w:t>环境</w:t>
            </w:r>
          </w:p>
          <w:p w14:paraId="2246EC3D">
            <w:pPr>
              <w:adjustRightInd w:val="0"/>
              <w:snapToGrid w:val="0"/>
              <w:jc w:val="center"/>
              <w:rPr>
                <w:color w:val="auto"/>
                <w:kern w:val="0"/>
                <w:szCs w:val="21"/>
                <w:highlight w:val="none"/>
              </w:rPr>
            </w:pPr>
            <w:r>
              <w:rPr>
                <w:color w:val="auto"/>
                <w:kern w:val="0"/>
                <w:szCs w:val="21"/>
                <w:highlight w:val="none"/>
              </w:rPr>
              <w:t>质量</w:t>
            </w:r>
          </w:p>
          <w:p w14:paraId="6B5FFE4F">
            <w:pPr>
              <w:adjustRightInd w:val="0"/>
              <w:snapToGrid w:val="0"/>
              <w:jc w:val="center"/>
              <w:rPr>
                <w:color w:val="auto"/>
                <w:kern w:val="0"/>
                <w:szCs w:val="21"/>
                <w:highlight w:val="none"/>
              </w:rPr>
            </w:pPr>
            <w:r>
              <w:rPr>
                <w:color w:val="auto"/>
                <w:kern w:val="0"/>
                <w:szCs w:val="21"/>
                <w:highlight w:val="none"/>
              </w:rPr>
              <w:t>现状</w:t>
            </w:r>
          </w:p>
        </w:tc>
        <w:tc>
          <w:tcPr>
            <w:tcW w:w="8439" w:type="dxa"/>
            <w:noWrap w:val="0"/>
            <w:vAlign w:val="center"/>
          </w:tcPr>
          <w:p w14:paraId="51B126C3">
            <w:pPr>
              <w:pStyle w:val="69"/>
              <w:rPr>
                <w:color w:val="auto"/>
                <w:highlight w:val="none"/>
              </w:rPr>
            </w:pPr>
            <w:r>
              <w:rPr>
                <w:rFonts w:hint="eastAsia"/>
                <w:color w:val="auto"/>
                <w:highlight w:val="none"/>
              </w:rPr>
              <w:t>一、</w:t>
            </w:r>
            <w:r>
              <w:rPr>
                <w:color w:val="auto"/>
                <w:highlight w:val="none"/>
              </w:rPr>
              <w:t>区域环境质量现状</w:t>
            </w:r>
          </w:p>
          <w:p w14:paraId="0DD773BE">
            <w:pPr>
              <w:pStyle w:val="62"/>
              <w:rPr>
                <w:color w:val="auto"/>
                <w:highlight w:val="none"/>
              </w:rPr>
            </w:pPr>
            <w:r>
              <w:rPr>
                <w:rFonts w:hint="eastAsia"/>
                <w:color w:val="auto"/>
                <w:highlight w:val="none"/>
              </w:rPr>
              <w:t>1、</w:t>
            </w:r>
            <w:r>
              <w:rPr>
                <w:color w:val="auto"/>
                <w:highlight w:val="none"/>
              </w:rPr>
              <w:t>大气环境</w:t>
            </w:r>
          </w:p>
          <w:p w14:paraId="6469F485">
            <w:pPr>
              <w:pStyle w:val="62"/>
              <w:ind w:firstLine="480" w:firstLineChars="200"/>
              <w:rPr>
                <w:b w:val="0"/>
                <w:bCs/>
                <w:color w:val="auto"/>
                <w:highlight w:val="none"/>
              </w:rPr>
            </w:pPr>
            <w:r>
              <w:rPr>
                <w:rFonts w:hint="eastAsia"/>
                <w:b w:val="0"/>
                <w:bCs/>
                <w:color w:val="auto"/>
                <w:highlight w:val="none"/>
              </w:rPr>
              <w:t>（1）</w:t>
            </w:r>
            <w:r>
              <w:rPr>
                <w:b w:val="0"/>
                <w:bCs/>
                <w:color w:val="auto"/>
                <w:highlight w:val="none"/>
              </w:rPr>
              <w:t>达标区判定</w:t>
            </w:r>
          </w:p>
          <w:p w14:paraId="79320964">
            <w:pPr>
              <w:pStyle w:val="59"/>
              <w:ind w:firstLine="480"/>
              <w:rPr>
                <w:color w:val="auto"/>
                <w:sz w:val="24"/>
                <w:highlight w:val="none"/>
              </w:rPr>
            </w:pPr>
            <w:r>
              <w:rPr>
                <w:color w:val="auto"/>
                <w:sz w:val="24"/>
                <w:highlight w:val="none"/>
              </w:rPr>
              <w:t>根据《环境影响评价技术导则-大气环境》（HJ2.2-2018）规定，本项目所在区域环境空气质量现状优先采用国家或地方生态环境主管部门公开发布的评价基准年环境质量公报或环境质量报告中的数据或结论。</w:t>
            </w:r>
          </w:p>
          <w:p w14:paraId="0E28BAB2">
            <w:pPr>
              <w:ind w:firstLine="480" w:firstLineChars="200"/>
              <w:rPr>
                <w:color w:val="auto"/>
                <w:highlight w:val="none"/>
              </w:rPr>
            </w:pPr>
            <w:r>
              <w:rPr>
                <w:rFonts w:hAnsi="宋体"/>
                <w:color w:val="auto"/>
                <w:sz w:val="24"/>
                <w:highlight w:val="none"/>
              </w:rPr>
              <w:t>根据《抚顺市环境质量报告书</w:t>
            </w:r>
            <w:r>
              <w:rPr>
                <w:rFonts w:hint="eastAsia"/>
                <w:color w:val="auto"/>
                <w:sz w:val="24"/>
                <w:highlight w:val="none"/>
              </w:rPr>
              <w:t>（</w:t>
            </w:r>
            <w:r>
              <w:rPr>
                <w:rFonts w:hint="eastAsia" w:hAnsi="宋体"/>
                <w:color w:val="auto"/>
                <w:sz w:val="24"/>
                <w:highlight w:val="none"/>
              </w:rPr>
              <w:t>202</w:t>
            </w:r>
            <w:r>
              <w:rPr>
                <w:rFonts w:hint="eastAsia" w:hAnsi="宋体"/>
                <w:color w:val="auto"/>
                <w:sz w:val="24"/>
                <w:highlight w:val="none"/>
                <w:lang w:val="en-US" w:eastAsia="zh-CN"/>
              </w:rPr>
              <w:t>4</w:t>
            </w:r>
            <w:r>
              <w:rPr>
                <w:rFonts w:hint="eastAsia" w:hAnsi="宋体"/>
                <w:color w:val="auto"/>
                <w:sz w:val="24"/>
                <w:highlight w:val="none"/>
              </w:rPr>
              <w:t>年</w:t>
            </w:r>
            <w:r>
              <w:rPr>
                <w:rFonts w:hint="eastAsia"/>
                <w:color w:val="auto"/>
                <w:sz w:val="24"/>
                <w:highlight w:val="none"/>
              </w:rPr>
              <w:t>）</w:t>
            </w:r>
            <w:r>
              <w:rPr>
                <w:rFonts w:hAnsi="宋体"/>
                <w:color w:val="auto"/>
                <w:sz w:val="24"/>
                <w:highlight w:val="none"/>
              </w:rPr>
              <w:t>》，</w:t>
            </w:r>
            <w:r>
              <w:rPr>
                <w:rFonts w:hint="eastAsia" w:hAnsi="宋体"/>
                <w:color w:val="auto"/>
                <w:sz w:val="24"/>
                <w:highlight w:val="none"/>
              </w:rPr>
              <w:t>202</w:t>
            </w:r>
            <w:r>
              <w:rPr>
                <w:rFonts w:hint="eastAsia" w:hAnsi="宋体"/>
                <w:color w:val="auto"/>
                <w:sz w:val="24"/>
                <w:highlight w:val="none"/>
                <w:lang w:val="en-US" w:eastAsia="zh-CN"/>
              </w:rPr>
              <w:t>4</w:t>
            </w:r>
            <w:r>
              <w:rPr>
                <w:rFonts w:hint="eastAsia" w:hAnsi="宋体"/>
                <w:color w:val="auto"/>
                <w:sz w:val="24"/>
                <w:highlight w:val="none"/>
              </w:rPr>
              <w:t>年</w:t>
            </w:r>
            <w:r>
              <w:rPr>
                <w:rFonts w:hAnsi="宋体"/>
                <w:color w:val="auto"/>
                <w:sz w:val="24"/>
                <w:highlight w:val="none"/>
              </w:rPr>
              <w:t>抚顺</w:t>
            </w:r>
            <w:r>
              <w:rPr>
                <w:rFonts w:hint="eastAsia" w:hAnsi="宋体"/>
                <w:color w:val="auto"/>
                <w:sz w:val="24"/>
                <w:highlight w:val="none"/>
                <w:lang w:eastAsia="zh-CN"/>
              </w:rPr>
              <w:t>县</w:t>
            </w:r>
            <w:r>
              <w:rPr>
                <w:rFonts w:hAnsi="宋体"/>
                <w:color w:val="auto"/>
                <w:sz w:val="24"/>
                <w:highlight w:val="none"/>
              </w:rPr>
              <w:t>环境空气中基本污染物统计结果见下表：</w:t>
            </w:r>
          </w:p>
          <w:p w14:paraId="309C51E0">
            <w:pPr>
              <w:pStyle w:val="68"/>
              <w:numPr>
                <w:ilvl w:val="0"/>
                <w:numId w:val="18"/>
              </w:numPr>
              <w:spacing w:line="360" w:lineRule="auto"/>
              <w:ind w:left="0" w:leftChars="0" w:firstLine="0" w:firstLineChars="0"/>
              <w:jc w:val="center"/>
              <w:rPr>
                <w:color w:val="auto"/>
                <w:highlight w:val="none"/>
              </w:rPr>
            </w:pPr>
            <w:r>
              <w:rPr>
                <w:rFonts w:hint="eastAsia"/>
                <w:color w:val="auto"/>
                <w:highlight w:val="none"/>
                <w:lang w:val="en-US" w:eastAsia="zh-CN"/>
              </w:rPr>
              <w:t xml:space="preserve">  </w:t>
            </w:r>
            <w:r>
              <w:rPr>
                <w:color w:val="auto"/>
                <w:highlight w:val="none"/>
              </w:rPr>
              <w:t>202</w:t>
            </w:r>
            <w:r>
              <w:rPr>
                <w:rFonts w:hint="eastAsia"/>
                <w:color w:val="auto"/>
                <w:highlight w:val="none"/>
                <w:lang w:val="en-US" w:eastAsia="zh-CN"/>
              </w:rPr>
              <w:t>4</w:t>
            </w:r>
            <w:r>
              <w:rPr>
                <w:color w:val="auto"/>
                <w:highlight w:val="none"/>
              </w:rPr>
              <w:t>年抚顺</w:t>
            </w:r>
            <w:r>
              <w:rPr>
                <w:rFonts w:hint="eastAsia"/>
                <w:color w:val="auto"/>
                <w:highlight w:val="none"/>
                <w:lang w:eastAsia="zh-CN"/>
              </w:rPr>
              <w:t>县</w:t>
            </w:r>
            <w:r>
              <w:rPr>
                <w:color w:val="auto"/>
                <w:highlight w:val="none"/>
              </w:rPr>
              <w:t>环境空气质量现状数据</w:t>
            </w:r>
          </w:p>
          <w:tbl>
            <w:tblPr>
              <w:tblStyle w:val="25"/>
              <w:tblW w:w="8220"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732"/>
              <w:gridCol w:w="2834"/>
              <w:gridCol w:w="1351"/>
              <w:gridCol w:w="1201"/>
              <w:gridCol w:w="1201"/>
              <w:gridCol w:w="901"/>
            </w:tblGrid>
            <w:tr w14:paraId="6CF8B19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45" w:type="pct"/>
                  <w:tcBorders>
                    <w:top w:val="single" w:color="auto" w:sz="4" w:space="0"/>
                    <w:left w:val="single" w:color="auto" w:sz="4" w:space="0"/>
                    <w:bottom w:val="single" w:color="auto" w:sz="4" w:space="0"/>
                    <w:right w:val="single" w:color="auto" w:sz="4" w:space="0"/>
                  </w:tcBorders>
                  <w:noWrap w:val="0"/>
                  <w:vAlign w:val="center"/>
                </w:tcPr>
                <w:p w14:paraId="754D0DDC">
                  <w:pPr>
                    <w:spacing w:line="240" w:lineRule="auto"/>
                    <w:ind w:firstLine="0" w:firstLineChars="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污染物</w:t>
                  </w:r>
                </w:p>
              </w:tc>
              <w:tc>
                <w:tcPr>
                  <w:tcW w:w="1723" w:type="pct"/>
                  <w:tcBorders>
                    <w:top w:val="single" w:color="auto" w:sz="4" w:space="0"/>
                    <w:left w:val="single" w:color="auto" w:sz="4" w:space="0"/>
                    <w:bottom w:val="single" w:color="auto" w:sz="4" w:space="0"/>
                    <w:right w:val="single" w:color="auto" w:sz="4" w:space="0"/>
                  </w:tcBorders>
                  <w:noWrap w:val="0"/>
                  <w:vAlign w:val="center"/>
                </w:tcPr>
                <w:p w14:paraId="7A135FC8">
                  <w:pPr>
                    <w:spacing w:line="240" w:lineRule="auto"/>
                    <w:ind w:firstLine="0" w:firstLineChars="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年评价指标</w:t>
                  </w:r>
                </w:p>
              </w:tc>
              <w:tc>
                <w:tcPr>
                  <w:tcW w:w="821" w:type="pct"/>
                  <w:tcBorders>
                    <w:top w:val="single" w:color="auto" w:sz="4" w:space="0"/>
                    <w:left w:val="single" w:color="auto" w:sz="4" w:space="0"/>
                    <w:bottom w:val="single" w:color="auto" w:sz="4" w:space="0"/>
                    <w:right w:val="single" w:color="auto" w:sz="4" w:space="0"/>
                  </w:tcBorders>
                  <w:noWrap w:val="0"/>
                  <w:vAlign w:val="center"/>
                </w:tcPr>
                <w:p w14:paraId="24863A8E">
                  <w:pPr>
                    <w:spacing w:line="240" w:lineRule="auto"/>
                    <w:ind w:firstLine="0" w:firstLineChars="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现状</w:t>
                  </w:r>
                </w:p>
                <w:p w14:paraId="2BEEA3B8">
                  <w:pPr>
                    <w:spacing w:line="240" w:lineRule="auto"/>
                    <w:ind w:firstLine="0" w:firstLineChars="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浓度</w:t>
                  </w:r>
                </w:p>
              </w:tc>
              <w:tc>
                <w:tcPr>
                  <w:tcW w:w="730" w:type="pct"/>
                  <w:tcBorders>
                    <w:top w:val="single" w:color="auto" w:sz="4" w:space="0"/>
                    <w:left w:val="single" w:color="auto" w:sz="4" w:space="0"/>
                    <w:bottom w:val="single" w:color="auto" w:sz="4" w:space="0"/>
                    <w:right w:val="single" w:color="auto" w:sz="4" w:space="0"/>
                  </w:tcBorders>
                  <w:noWrap w:val="0"/>
                  <w:vAlign w:val="center"/>
                </w:tcPr>
                <w:p w14:paraId="147AA6FC">
                  <w:pPr>
                    <w:spacing w:line="240" w:lineRule="auto"/>
                    <w:ind w:firstLine="0" w:firstLineChars="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标准值</w:t>
                  </w:r>
                </w:p>
              </w:tc>
              <w:tc>
                <w:tcPr>
                  <w:tcW w:w="730" w:type="pct"/>
                  <w:tcBorders>
                    <w:top w:val="single" w:color="auto" w:sz="4" w:space="0"/>
                    <w:left w:val="single" w:color="auto" w:sz="4" w:space="0"/>
                    <w:bottom w:val="single" w:color="auto" w:sz="4" w:space="0"/>
                    <w:right w:val="single" w:color="auto" w:sz="4" w:space="0"/>
                  </w:tcBorders>
                  <w:noWrap w:val="0"/>
                  <w:vAlign w:val="center"/>
                </w:tcPr>
                <w:p w14:paraId="20278990">
                  <w:pPr>
                    <w:spacing w:line="240" w:lineRule="auto"/>
                    <w:ind w:firstLine="0" w:firstLineChars="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占标率（%）</w:t>
                  </w:r>
                </w:p>
              </w:tc>
              <w:tc>
                <w:tcPr>
                  <w:tcW w:w="548" w:type="pct"/>
                  <w:tcBorders>
                    <w:top w:val="single" w:color="auto" w:sz="4" w:space="0"/>
                    <w:left w:val="single" w:color="auto" w:sz="4" w:space="0"/>
                    <w:bottom w:val="single" w:color="auto" w:sz="4" w:space="0"/>
                    <w:right w:val="single" w:color="auto" w:sz="4" w:space="0"/>
                  </w:tcBorders>
                  <w:noWrap w:val="0"/>
                  <w:vAlign w:val="center"/>
                </w:tcPr>
                <w:p w14:paraId="567FB413">
                  <w:pPr>
                    <w:spacing w:line="240" w:lineRule="auto"/>
                    <w:ind w:firstLine="0" w:firstLineChars="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达标</w:t>
                  </w:r>
                </w:p>
                <w:p w14:paraId="5D1CE34A">
                  <w:pPr>
                    <w:spacing w:line="240" w:lineRule="auto"/>
                    <w:ind w:firstLine="0" w:firstLineChars="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情况</w:t>
                  </w:r>
                </w:p>
              </w:tc>
            </w:tr>
            <w:tr w14:paraId="60CD429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52" w:hRule="atLeast"/>
              </w:trPr>
              <w:tc>
                <w:tcPr>
                  <w:tcW w:w="445" w:type="pct"/>
                  <w:tcBorders>
                    <w:top w:val="single" w:color="auto" w:sz="4" w:space="0"/>
                    <w:left w:val="single" w:color="auto" w:sz="4" w:space="0"/>
                    <w:bottom w:val="single" w:color="auto" w:sz="4" w:space="0"/>
                    <w:right w:val="single" w:color="auto" w:sz="4" w:space="0"/>
                  </w:tcBorders>
                  <w:noWrap w:val="0"/>
                  <w:vAlign w:val="center"/>
                </w:tcPr>
                <w:p w14:paraId="7D149DBB">
                  <w:pPr>
                    <w:spacing w:line="240" w:lineRule="auto"/>
                    <w:ind w:firstLine="0" w:firstLineChars="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SO</w:t>
                  </w:r>
                  <w:r>
                    <w:rPr>
                      <w:rFonts w:hint="default" w:ascii="Times New Roman" w:hAnsi="Times New Roman" w:eastAsia="宋体" w:cs="Times New Roman"/>
                      <w:color w:val="auto"/>
                      <w:kern w:val="2"/>
                      <w:sz w:val="21"/>
                      <w:szCs w:val="21"/>
                      <w:highlight w:val="none"/>
                      <w:vertAlign w:val="subscript"/>
                    </w:rPr>
                    <w:t>2</w:t>
                  </w:r>
                </w:p>
              </w:tc>
              <w:tc>
                <w:tcPr>
                  <w:tcW w:w="1723" w:type="pct"/>
                  <w:tcBorders>
                    <w:top w:val="single" w:color="auto" w:sz="4" w:space="0"/>
                    <w:left w:val="single" w:color="auto" w:sz="4" w:space="0"/>
                    <w:bottom w:val="single" w:color="auto" w:sz="4" w:space="0"/>
                    <w:right w:val="single" w:color="auto" w:sz="4" w:space="0"/>
                  </w:tcBorders>
                  <w:noWrap w:val="0"/>
                  <w:vAlign w:val="center"/>
                </w:tcPr>
                <w:p w14:paraId="772EA6BD">
                  <w:pPr>
                    <w:spacing w:line="240" w:lineRule="auto"/>
                    <w:ind w:firstLine="0" w:firstLineChars="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年平均质量浓度（ug/m</w:t>
                  </w:r>
                  <w:r>
                    <w:rPr>
                      <w:rFonts w:hint="default" w:ascii="Times New Roman" w:hAnsi="Times New Roman" w:eastAsia="宋体" w:cs="Times New Roman"/>
                      <w:color w:val="auto"/>
                      <w:kern w:val="2"/>
                      <w:sz w:val="21"/>
                      <w:szCs w:val="21"/>
                      <w:highlight w:val="none"/>
                      <w:vertAlign w:val="superscript"/>
                    </w:rPr>
                    <w:t>3</w:t>
                  </w:r>
                  <w:r>
                    <w:rPr>
                      <w:rFonts w:hint="default" w:ascii="Times New Roman" w:hAnsi="Times New Roman" w:eastAsia="宋体" w:cs="Times New Roman"/>
                      <w:color w:val="auto"/>
                      <w:kern w:val="2"/>
                      <w:sz w:val="21"/>
                      <w:szCs w:val="21"/>
                      <w:highlight w:val="none"/>
                    </w:rPr>
                    <w:t>）</w:t>
                  </w:r>
                </w:p>
              </w:tc>
              <w:tc>
                <w:tcPr>
                  <w:tcW w:w="821" w:type="pct"/>
                  <w:tcBorders>
                    <w:top w:val="single" w:color="auto" w:sz="4" w:space="0"/>
                    <w:left w:val="single" w:color="auto" w:sz="4" w:space="0"/>
                    <w:bottom w:val="single" w:color="auto" w:sz="4" w:space="0"/>
                    <w:right w:val="single" w:color="auto" w:sz="4" w:space="0"/>
                  </w:tcBorders>
                  <w:noWrap w:val="0"/>
                  <w:vAlign w:val="center"/>
                </w:tcPr>
                <w:p w14:paraId="77F7F73E">
                  <w:pPr>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7</w:t>
                  </w:r>
                </w:p>
              </w:tc>
              <w:tc>
                <w:tcPr>
                  <w:tcW w:w="730" w:type="pct"/>
                  <w:tcBorders>
                    <w:top w:val="single" w:color="auto" w:sz="4" w:space="0"/>
                    <w:left w:val="single" w:color="auto" w:sz="4" w:space="0"/>
                    <w:bottom w:val="single" w:color="auto" w:sz="4" w:space="0"/>
                    <w:right w:val="single" w:color="auto" w:sz="4" w:space="0"/>
                  </w:tcBorders>
                  <w:noWrap w:val="0"/>
                  <w:vAlign w:val="center"/>
                </w:tcPr>
                <w:p w14:paraId="38DC6D54">
                  <w:pPr>
                    <w:spacing w:line="240" w:lineRule="auto"/>
                    <w:ind w:firstLine="0" w:firstLineChars="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val="en-US" w:eastAsia="zh-CN"/>
                    </w:rPr>
                    <w:t>60</w:t>
                  </w:r>
                </w:p>
              </w:tc>
              <w:tc>
                <w:tcPr>
                  <w:tcW w:w="730" w:type="pct"/>
                  <w:tcBorders>
                    <w:top w:val="single" w:color="auto" w:sz="4" w:space="0"/>
                    <w:left w:val="single" w:color="auto" w:sz="4" w:space="0"/>
                    <w:bottom w:val="single" w:color="auto" w:sz="4" w:space="0"/>
                    <w:right w:val="single" w:color="auto" w:sz="4" w:space="0"/>
                  </w:tcBorders>
                  <w:noWrap w:val="0"/>
                  <w:vAlign w:val="center"/>
                </w:tcPr>
                <w:p w14:paraId="78BF77AC">
                  <w:pPr>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 xml:space="preserve">11.67 </w:t>
                  </w:r>
                </w:p>
              </w:tc>
              <w:tc>
                <w:tcPr>
                  <w:tcW w:w="548" w:type="pct"/>
                  <w:tcBorders>
                    <w:top w:val="single" w:color="auto" w:sz="4" w:space="0"/>
                    <w:left w:val="single" w:color="auto" w:sz="4" w:space="0"/>
                    <w:bottom w:val="single" w:color="auto" w:sz="4" w:space="0"/>
                    <w:right w:val="single" w:color="auto" w:sz="4" w:space="0"/>
                  </w:tcBorders>
                  <w:noWrap w:val="0"/>
                  <w:vAlign w:val="center"/>
                </w:tcPr>
                <w:p w14:paraId="5243E899">
                  <w:pPr>
                    <w:spacing w:line="240" w:lineRule="auto"/>
                    <w:ind w:firstLine="0" w:firstLineChars="0"/>
                    <w:jc w:val="center"/>
                    <w:rPr>
                      <w:rFonts w:hint="default"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lang w:val="en-US" w:eastAsia="zh-CN"/>
                    </w:rPr>
                    <w:t>达标</w:t>
                  </w:r>
                </w:p>
              </w:tc>
            </w:tr>
            <w:tr w14:paraId="415BFCE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45" w:type="pct"/>
                  <w:tcBorders>
                    <w:top w:val="single" w:color="auto" w:sz="4" w:space="0"/>
                    <w:left w:val="single" w:color="auto" w:sz="4" w:space="0"/>
                    <w:bottom w:val="single" w:color="auto" w:sz="4" w:space="0"/>
                    <w:right w:val="single" w:color="auto" w:sz="4" w:space="0"/>
                  </w:tcBorders>
                  <w:noWrap w:val="0"/>
                  <w:vAlign w:val="center"/>
                </w:tcPr>
                <w:p w14:paraId="1447568C">
                  <w:pPr>
                    <w:spacing w:line="240" w:lineRule="auto"/>
                    <w:ind w:firstLine="0" w:firstLineChars="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NO</w:t>
                  </w:r>
                  <w:r>
                    <w:rPr>
                      <w:rFonts w:hint="default" w:ascii="Times New Roman" w:hAnsi="Times New Roman" w:eastAsia="宋体" w:cs="Times New Roman"/>
                      <w:color w:val="auto"/>
                      <w:kern w:val="2"/>
                      <w:sz w:val="21"/>
                      <w:szCs w:val="21"/>
                      <w:highlight w:val="none"/>
                      <w:vertAlign w:val="subscript"/>
                    </w:rPr>
                    <w:t>2</w:t>
                  </w:r>
                </w:p>
              </w:tc>
              <w:tc>
                <w:tcPr>
                  <w:tcW w:w="1723" w:type="pct"/>
                  <w:tcBorders>
                    <w:top w:val="single" w:color="auto" w:sz="4" w:space="0"/>
                    <w:left w:val="single" w:color="auto" w:sz="4" w:space="0"/>
                    <w:bottom w:val="single" w:color="auto" w:sz="4" w:space="0"/>
                    <w:right w:val="single" w:color="auto" w:sz="4" w:space="0"/>
                  </w:tcBorders>
                  <w:noWrap w:val="0"/>
                  <w:vAlign w:val="center"/>
                </w:tcPr>
                <w:p w14:paraId="6FF2C9DC">
                  <w:pPr>
                    <w:spacing w:line="240" w:lineRule="auto"/>
                    <w:ind w:firstLine="0" w:firstLineChars="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年平均质量浓度（ug/m</w:t>
                  </w:r>
                  <w:r>
                    <w:rPr>
                      <w:rFonts w:hint="default" w:ascii="Times New Roman" w:hAnsi="Times New Roman" w:eastAsia="宋体" w:cs="Times New Roman"/>
                      <w:color w:val="auto"/>
                      <w:kern w:val="2"/>
                      <w:sz w:val="21"/>
                      <w:szCs w:val="21"/>
                      <w:highlight w:val="none"/>
                      <w:vertAlign w:val="superscript"/>
                    </w:rPr>
                    <w:t>3</w:t>
                  </w:r>
                  <w:r>
                    <w:rPr>
                      <w:rFonts w:hint="default" w:ascii="Times New Roman" w:hAnsi="Times New Roman" w:eastAsia="宋体" w:cs="Times New Roman"/>
                      <w:color w:val="auto"/>
                      <w:kern w:val="2"/>
                      <w:sz w:val="21"/>
                      <w:szCs w:val="21"/>
                      <w:highlight w:val="none"/>
                    </w:rPr>
                    <w:t>）</w:t>
                  </w:r>
                </w:p>
              </w:tc>
              <w:tc>
                <w:tcPr>
                  <w:tcW w:w="821" w:type="pct"/>
                  <w:tcBorders>
                    <w:top w:val="single" w:color="auto" w:sz="4" w:space="0"/>
                    <w:left w:val="single" w:color="auto" w:sz="4" w:space="0"/>
                    <w:bottom w:val="single" w:color="auto" w:sz="4" w:space="0"/>
                    <w:right w:val="single" w:color="auto" w:sz="4" w:space="0"/>
                  </w:tcBorders>
                  <w:noWrap w:val="0"/>
                  <w:vAlign w:val="center"/>
                </w:tcPr>
                <w:p w14:paraId="3D7CDBF2">
                  <w:pPr>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22</w:t>
                  </w:r>
                </w:p>
              </w:tc>
              <w:tc>
                <w:tcPr>
                  <w:tcW w:w="730" w:type="pct"/>
                  <w:tcBorders>
                    <w:top w:val="single" w:color="auto" w:sz="4" w:space="0"/>
                    <w:left w:val="single" w:color="auto" w:sz="4" w:space="0"/>
                    <w:bottom w:val="single" w:color="auto" w:sz="4" w:space="0"/>
                    <w:right w:val="single" w:color="auto" w:sz="4" w:space="0"/>
                  </w:tcBorders>
                  <w:noWrap w:val="0"/>
                  <w:vAlign w:val="center"/>
                </w:tcPr>
                <w:p w14:paraId="6160D767">
                  <w:pPr>
                    <w:spacing w:line="240" w:lineRule="auto"/>
                    <w:ind w:firstLine="0" w:firstLineChars="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val="en-US" w:eastAsia="zh-CN"/>
                    </w:rPr>
                    <w:t>40</w:t>
                  </w:r>
                </w:p>
              </w:tc>
              <w:tc>
                <w:tcPr>
                  <w:tcW w:w="730" w:type="pct"/>
                  <w:tcBorders>
                    <w:top w:val="single" w:color="auto" w:sz="4" w:space="0"/>
                    <w:left w:val="single" w:color="auto" w:sz="4" w:space="0"/>
                    <w:bottom w:val="single" w:color="auto" w:sz="4" w:space="0"/>
                    <w:right w:val="single" w:color="auto" w:sz="4" w:space="0"/>
                  </w:tcBorders>
                  <w:noWrap w:val="0"/>
                  <w:vAlign w:val="center"/>
                </w:tcPr>
                <w:p w14:paraId="64E96D9C">
                  <w:pPr>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 xml:space="preserve">55.00 </w:t>
                  </w:r>
                </w:p>
              </w:tc>
              <w:tc>
                <w:tcPr>
                  <w:tcW w:w="548" w:type="pct"/>
                  <w:tcBorders>
                    <w:top w:val="single" w:color="auto" w:sz="4" w:space="0"/>
                    <w:left w:val="single" w:color="auto" w:sz="4" w:space="0"/>
                    <w:bottom w:val="single" w:color="auto" w:sz="4" w:space="0"/>
                    <w:right w:val="single" w:color="auto" w:sz="4" w:space="0"/>
                  </w:tcBorders>
                  <w:noWrap w:val="0"/>
                  <w:vAlign w:val="center"/>
                </w:tcPr>
                <w:p w14:paraId="54D10E0F">
                  <w:pPr>
                    <w:spacing w:line="240" w:lineRule="auto"/>
                    <w:ind w:firstLine="0" w:firstLineChars="0"/>
                    <w:jc w:val="center"/>
                    <w:rPr>
                      <w:rFonts w:hint="default"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lang w:val="en-US" w:eastAsia="zh-CN"/>
                    </w:rPr>
                    <w:t>达标</w:t>
                  </w:r>
                </w:p>
              </w:tc>
            </w:tr>
            <w:tr w14:paraId="4477A28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45" w:type="pct"/>
                  <w:tcBorders>
                    <w:top w:val="single" w:color="auto" w:sz="4" w:space="0"/>
                    <w:left w:val="single" w:color="auto" w:sz="4" w:space="0"/>
                    <w:bottom w:val="single" w:color="auto" w:sz="4" w:space="0"/>
                    <w:right w:val="single" w:color="auto" w:sz="4" w:space="0"/>
                  </w:tcBorders>
                  <w:noWrap w:val="0"/>
                  <w:vAlign w:val="center"/>
                </w:tcPr>
                <w:p w14:paraId="5BC09EF1">
                  <w:pPr>
                    <w:spacing w:line="240" w:lineRule="auto"/>
                    <w:ind w:firstLine="0" w:firstLineChars="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PM</w:t>
                  </w:r>
                  <w:r>
                    <w:rPr>
                      <w:rFonts w:hint="default" w:ascii="Times New Roman" w:hAnsi="Times New Roman" w:eastAsia="宋体" w:cs="Times New Roman"/>
                      <w:color w:val="auto"/>
                      <w:kern w:val="2"/>
                      <w:sz w:val="21"/>
                      <w:szCs w:val="21"/>
                      <w:highlight w:val="none"/>
                      <w:vertAlign w:val="subscript"/>
                    </w:rPr>
                    <w:t>10</w:t>
                  </w:r>
                </w:p>
              </w:tc>
              <w:tc>
                <w:tcPr>
                  <w:tcW w:w="1723" w:type="pct"/>
                  <w:tcBorders>
                    <w:top w:val="single" w:color="auto" w:sz="4" w:space="0"/>
                    <w:left w:val="single" w:color="auto" w:sz="4" w:space="0"/>
                    <w:bottom w:val="single" w:color="auto" w:sz="4" w:space="0"/>
                    <w:right w:val="single" w:color="auto" w:sz="4" w:space="0"/>
                  </w:tcBorders>
                  <w:noWrap w:val="0"/>
                  <w:vAlign w:val="center"/>
                </w:tcPr>
                <w:p w14:paraId="7C7C0353">
                  <w:pPr>
                    <w:spacing w:line="240" w:lineRule="auto"/>
                    <w:ind w:firstLine="0" w:firstLineChars="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年平均质量浓度（ug/m</w:t>
                  </w:r>
                  <w:r>
                    <w:rPr>
                      <w:rFonts w:hint="default" w:ascii="Times New Roman" w:hAnsi="Times New Roman" w:eastAsia="宋体" w:cs="Times New Roman"/>
                      <w:color w:val="auto"/>
                      <w:kern w:val="2"/>
                      <w:sz w:val="21"/>
                      <w:szCs w:val="21"/>
                      <w:highlight w:val="none"/>
                      <w:vertAlign w:val="superscript"/>
                    </w:rPr>
                    <w:t>3</w:t>
                  </w:r>
                  <w:r>
                    <w:rPr>
                      <w:rFonts w:hint="default" w:ascii="Times New Roman" w:hAnsi="Times New Roman" w:eastAsia="宋体" w:cs="Times New Roman"/>
                      <w:color w:val="auto"/>
                      <w:kern w:val="2"/>
                      <w:sz w:val="21"/>
                      <w:szCs w:val="21"/>
                      <w:highlight w:val="none"/>
                    </w:rPr>
                    <w:t>）</w:t>
                  </w:r>
                </w:p>
              </w:tc>
              <w:tc>
                <w:tcPr>
                  <w:tcW w:w="821" w:type="pct"/>
                  <w:tcBorders>
                    <w:top w:val="single" w:color="auto" w:sz="4" w:space="0"/>
                    <w:left w:val="single" w:color="auto" w:sz="4" w:space="0"/>
                    <w:bottom w:val="single" w:color="auto" w:sz="4" w:space="0"/>
                    <w:right w:val="single" w:color="auto" w:sz="4" w:space="0"/>
                  </w:tcBorders>
                  <w:noWrap w:val="0"/>
                  <w:vAlign w:val="center"/>
                </w:tcPr>
                <w:p w14:paraId="467ECBDF">
                  <w:pPr>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69</w:t>
                  </w:r>
                </w:p>
              </w:tc>
              <w:tc>
                <w:tcPr>
                  <w:tcW w:w="730" w:type="pct"/>
                  <w:tcBorders>
                    <w:top w:val="single" w:color="auto" w:sz="4" w:space="0"/>
                    <w:left w:val="single" w:color="auto" w:sz="4" w:space="0"/>
                    <w:bottom w:val="single" w:color="auto" w:sz="4" w:space="0"/>
                    <w:right w:val="single" w:color="auto" w:sz="4" w:space="0"/>
                  </w:tcBorders>
                  <w:noWrap w:val="0"/>
                  <w:vAlign w:val="center"/>
                </w:tcPr>
                <w:p w14:paraId="1A15AC4B">
                  <w:pPr>
                    <w:spacing w:line="240" w:lineRule="auto"/>
                    <w:ind w:firstLine="0" w:firstLineChars="0"/>
                    <w:jc w:val="center"/>
                    <w:rPr>
                      <w:rFonts w:hint="default" w:ascii="Times New Roman" w:hAnsi="Times New Roman" w:eastAsia="宋体" w:cs="Times New Roman"/>
                      <w:color w:val="auto"/>
                      <w:kern w:val="2"/>
                      <w:sz w:val="21"/>
                      <w:szCs w:val="21"/>
                      <w:highlight w:val="none"/>
                      <w:lang w:val="en-US"/>
                    </w:rPr>
                  </w:pPr>
                  <w:r>
                    <w:rPr>
                      <w:rFonts w:hint="eastAsia" w:ascii="Times New Roman" w:hAnsi="Times New Roman" w:eastAsia="宋体" w:cs="Times New Roman"/>
                      <w:color w:val="auto"/>
                      <w:kern w:val="2"/>
                      <w:sz w:val="21"/>
                      <w:szCs w:val="21"/>
                      <w:highlight w:val="none"/>
                      <w:lang w:val="en-US" w:eastAsia="zh-CN"/>
                    </w:rPr>
                    <w:t>60</w:t>
                  </w:r>
                </w:p>
              </w:tc>
              <w:tc>
                <w:tcPr>
                  <w:tcW w:w="730" w:type="pct"/>
                  <w:tcBorders>
                    <w:top w:val="single" w:color="auto" w:sz="4" w:space="0"/>
                    <w:left w:val="single" w:color="auto" w:sz="4" w:space="0"/>
                    <w:bottom w:val="single" w:color="auto" w:sz="4" w:space="0"/>
                    <w:right w:val="single" w:color="auto" w:sz="4" w:space="0"/>
                  </w:tcBorders>
                  <w:noWrap w:val="0"/>
                  <w:vAlign w:val="center"/>
                </w:tcPr>
                <w:p w14:paraId="5506D8D1">
                  <w:pPr>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115.00</w:t>
                  </w:r>
                </w:p>
              </w:tc>
              <w:tc>
                <w:tcPr>
                  <w:tcW w:w="548" w:type="pct"/>
                  <w:tcBorders>
                    <w:top w:val="single" w:color="auto" w:sz="4" w:space="0"/>
                    <w:left w:val="single" w:color="auto" w:sz="4" w:space="0"/>
                    <w:bottom w:val="single" w:color="auto" w:sz="4" w:space="0"/>
                    <w:right w:val="single" w:color="auto" w:sz="4" w:space="0"/>
                  </w:tcBorders>
                  <w:noWrap w:val="0"/>
                  <w:vAlign w:val="center"/>
                </w:tcPr>
                <w:p w14:paraId="251AD573">
                  <w:pPr>
                    <w:spacing w:line="240" w:lineRule="auto"/>
                    <w:ind w:firstLine="0" w:firstLineChars="0"/>
                    <w:jc w:val="center"/>
                    <w:rPr>
                      <w:rFonts w:hint="eastAsia"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超标</w:t>
                  </w:r>
                </w:p>
              </w:tc>
            </w:tr>
            <w:tr w14:paraId="1B51F40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45" w:type="pct"/>
                  <w:tcBorders>
                    <w:top w:val="single" w:color="auto" w:sz="4" w:space="0"/>
                    <w:left w:val="single" w:color="auto" w:sz="4" w:space="0"/>
                    <w:bottom w:val="single" w:color="auto" w:sz="4" w:space="0"/>
                    <w:right w:val="single" w:color="auto" w:sz="4" w:space="0"/>
                  </w:tcBorders>
                  <w:noWrap w:val="0"/>
                  <w:vAlign w:val="center"/>
                </w:tcPr>
                <w:p w14:paraId="49B22D59">
                  <w:pPr>
                    <w:spacing w:line="240" w:lineRule="auto"/>
                    <w:ind w:firstLine="0" w:firstLineChars="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PM</w:t>
                  </w:r>
                  <w:r>
                    <w:rPr>
                      <w:rFonts w:hint="default" w:ascii="Times New Roman" w:hAnsi="Times New Roman" w:eastAsia="宋体" w:cs="Times New Roman"/>
                      <w:color w:val="auto"/>
                      <w:kern w:val="2"/>
                      <w:sz w:val="21"/>
                      <w:szCs w:val="21"/>
                      <w:highlight w:val="none"/>
                      <w:vertAlign w:val="subscript"/>
                    </w:rPr>
                    <w:t>2.5</w:t>
                  </w:r>
                </w:p>
              </w:tc>
              <w:tc>
                <w:tcPr>
                  <w:tcW w:w="1723" w:type="pct"/>
                  <w:tcBorders>
                    <w:top w:val="single" w:color="auto" w:sz="4" w:space="0"/>
                    <w:left w:val="single" w:color="auto" w:sz="4" w:space="0"/>
                    <w:bottom w:val="single" w:color="auto" w:sz="4" w:space="0"/>
                    <w:right w:val="single" w:color="auto" w:sz="4" w:space="0"/>
                  </w:tcBorders>
                  <w:noWrap w:val="0"/>
                  <w:vAlign w:val="center"/>
                </w:tcPr>
                <w:p w14:paraId="57AB4608">
                  <w:pPr>
                    <w:spacing w:line="240" w:lineRule="auto"/>
                    <w:ind w:firstLine="0" w:firstLineChars="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年平均质量浓度（ug/m</w:t>
                  </w:r>
                  <w:r>
                    <w:rPr>
                      <w:rFonts w:hint="default" w:ascii="Times New Roman" w:hAnsi="Times New Roman" w:eastAsia="宋体" w:cs="Times New Roman"/>
                      <w:color w:val="auto"/>
                      <w:kern w:val="2"/>
                      <w:sz w:val="21"/>
                      <w:szCs w:val="21"/>
                      <w:highlight w:val="none"/>
                      <w:vertAlign w:val="superscript"/>
                    </w:rPr>
                    <w:t>3</w:t>
                  </w:r>
                  <w:r>
                    <w:rPr>
                      <w:rFonts w:hint="default" w:ascii="Times New Roman" w:hAnsi="Times New Roman" w:eastAsia="宋体" w:cs="Times New Roman"/>
                      <w:color w:val="auto"/>
                      <w:kern w:val="2"/>
                      <w:sz w:val="21"/>
                      <w:szCs w:val="21"/>
                      <w:highlight w:val="none"/>
                    </w:rPr>
                    <w:t>）</w:t>
                  </w:r>
                </w:p>
              </w:tc>
              <w:tc>
                <w:tcPr>
                  <w:tcW w:w="821" w:type="pct"/>
                  <w:tcBorders>
                    <w:top w:val="single" w:color="auto" w:sz="4" w:space="0"/>
                    <w:left w:val="single" w:color="auto" w:sz="4" w:space="0"/>
                    <w:bottom w:val="single" w:color="auto" w:sz="4" w:space="0"/>
                    <w:right w:val="single" w:color="auto" w:sz="4" w:space="0"/>
                  </w:tcBorders>
                  <w:noWrap w:val="0"/>
                  <w:vAlign w:val="center"/>
                </w:tcPr>
                <w:p w14:paraId="4CEBFCF1">
                  <w:pPr>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39</w:t>
                  </w:r>
                </w:p>
              </w:tc>
              <w:tc>
                <w:tcPr>
                  <w:tcW w:w="730" w:type="pct"/>
                  <w:tcBorders>
                    <w:top w:val="single" w:color="auto" w:sz="4" w:space="0"/>
                    <w:left w:val="single" w:color="auto" w:sz="4" w:space="0"/>
                    <w:bottom w:val="single" w:color="auto" w:sz="4" w:space="0"/>
                    <w:right w:val="single" w:color="auto" w:sz="4" w:space="0"/>
                  </w:tcBorders>
                  <w:noWrap w:val="0"/>
                  <w:vAlign w:val="center"/>
                </w:tcPr>
                <w:p w14:paraId="32964B06">
                  <w:pPr>
                    <w:spacing w:line="240" w:lineRule="auto"/>
                    <w:ind w:firstLine="0" w:firstLineChars="0"/>
                    <w:jc w:val="center"/>
                    <w:rPr>
                      <w:rFonts w:hint="default" w:ascii="Times New Roman" w:hAnsi="Times New Roman" w:eastAsia="宋体" w:cs="Times New Roman"/>
                      <w:color w:val="auto"/>
                      <w:kern w:val="2"/>
                      <w:sz w:val="21"/>
                      <w:szCs w:val="21"/>
                      <w:highlight w:val="none"/>
                      <w:lang w:val="en-US"/>
                    </w:rPr>
                  </w:pPr>
                  <w:r>
                    <w:rPr>
                      <w:rFonts w:hint="eastAsia" w:ascii="Times New Roman" w:hAnsi="Times New Roman" w:eastAsia="宋体" w:cs="Times New Roman"/>
                      <w:color w:val="auto"/>
                      <w:kern w:val="2"/>
                      <w:sz w:val="21"/>
                      <w:szCs w:val="21"/>
                      <w:highlight w:val="none"/>
                      <w:lang w:val="en-US" w:eastAsia="zh-CN"/>
                    </w:rPr>
                    <w:t>30</w:t>
                  </w:r>
                </w:p>
              </w:tc>
              <w:tc>
                <w:tcPr>
                  <w:tcW w:w="730" w:type="pct"/>
                  <w:tcBorders>
                    <w:top w:val="single" w:color="auto" w:sz="4" w:space="0"/>
                    <w:left w:val="single" w:color="auto" w:sz="4" w:space="0"/>
                    <w:bottom w:val="single" w:color="auto" w:sz="4" w:space="0"/>
                    <w:right w:val="single" w:color="auto" w:sz="4" w:space="0"/>
                  </w:tcBorders>
                  <w:noWrap w:val="0"/>
                  <w:vAlign w:val="center"/>
                </w:tcPr>
                <w:p w14:paraId="35A94BD0">
                  <w:pPr>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 xml:space="preserve">111.43 </w:t>
                  </w:r>
                </w:p>
              </w:tc>
              <w:tc>
                <w:tcPr>
                  <w:tcW w:w="548" w:type="pct"/>
                  <w:tcBorders>
                    <w:top w:val="single" w:color="auto" w:sz="4" w:space="0"/>
                    <w:left w:val="single" w:color="auto" w:sz="4" w:space="0"/>
                    <w:bottom w:val="single" w:color="auto" w:sz="4" w:space="0"/>
                    <w:right w:val="single" w:color="auto" w:sz="4" w:space="0"/>
                  </w:tcBorders>
                  <w:noWrap w:val="0"/>
                  <w:vAlign w:val="center"/>
                </w:tcPr>
                <w:p w14:paraId="68A1125C">
                  <w:pPr>
                    <w:spacing w:line="240" w:lineRule="auto"/>
                    <w:ind w:firstLine="0" w:firstLineChars="0"/>
                    <w:jc w:val="center"/>
                    <w:rPr>
                      <w:rFonts w:hint="default"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lang w:val="en-US" w:eastAsia="zh-CN"/>
                    </w:rPr>
                    <w:t>超标</w:t>
                  </w:r>
                </w:p>
              </w:tc>
            </w:tr>
            <w:tr w14:paraId="6E14052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29" w:hRule="atLeast"/>
              </w:trPr>
              <w:tc>
                <w:tcPr>
                  <w:tcW w:w="445" w:type="pct"/>
                  <w:tcBorders>
                    <w:top w:val="single" w:color="auto" w:sz="4" w:space="0"/>
                    <w:left w:val="single" w:color="auto" w:sz="4" w:space="0"/>
                    <w:bottom w:val="single" w:color="auto" w:sz="4" w:space="0"/>
                    <w:right w:val="single" w:color="auto" w:sz="4" w:space="0"/>
                  </w:tcBorders>
                  <w:noWrap w:val="0"/>
                  <w:vAlign w:val="center"/>
                </w:tcPr>
                <w:p w14:paraId="065B7759">
                  <w:pPr>
                    <w:spacing w:line="240" w:lineRule="auto"/>
                    <w:ind w:firstLine="0" w:firstLineChars="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CO</w:t>
                  </w:r>
                </w:p>
              </w:tc>
              <w:tc>
                <w:tcPr>
                  <w:tcW w:w="1723" w:type="pct"/>
                  <w:tcBorders>
                    <w:top w:val="single" w:color="auto" w:sz="4" w:space="0"/>
                    <w:left w:val="single" w:color="auto" w:sz="4" w:space="0"/>
                    <w:bottom w:val="single" w:color="auto" w:sz="4" w:space="0"/>
                    <w:right w:val="single" w:color="auto" w:sz="4" w:space="0"/>
                  </w:tcBorders>
                  <w:noWrap w:val="0"/>
                  <w:vAlign w:val="center"/>
                </w:tcPr>
                <w:p w14:paraId="637DE379">
                  <w:pPr>
                    <w:spacing w:line="240" w:lineRule="auto"/>
                    <w:ind w:firstLine="0" w:firstLineChars="0"/>
                    <w:jc w:val="center"/>
                    <w:rPr>
                      <w:rFonts w:hint="default" w:ascii="Times New Roman" w:hAnsi="Times New Roman" w:eastAsia="宋体" w:cs="Times New Roman"/>
                      <w:color w:val="auto"/>
                      <w:kern w:val="2"/>
                      <w:sz w:val="21"/>
                      <w:szCs w:val="21"/>
                      <w:highlight w:val="none"/>
                      <w:lang w:eastAsia="zh-CN"/>
                    </w:rPr>
                  </w:pPr>
                  <w:r>
                    <w:rPr>
                      <w:rFonts w:hint="default" w:ascii="Times New Roman" w:hAnsi="Times New Roman" w:eastAsia="宋体" w:cs="Times New Roman"/>
                      <w:color w:val="auto"/>
                      <w:kern w:val="2"/>
                      <w:sz w:val="21"/>
                      <w:szCs w:val="21"/>
                      <w:highlight w:val="none"/>
                    </w:rPr>
                    <w:t>CO日均值第95百分位数（mg/m</w:t>
                  </w:r>
                  <w:r>
                    <w:rPr>
                      <w:rFonts w:hint="default" w:ascii="Times New Roman" w:hAnsi="Times New Roman" w:eastAsia="宋体" w:cs="Times New Roman"/>
                      <w:color w:val="auto"/>
                      <w:kern w:val="2"/>
                      <w:sz w:val="21"/>
                      <w:szCs w:val="21"/>
                      <w:highlight w:val="none"/>
                      <w:vertAlign w:val="superscript"/>
                    </w:rPr>
                    <w:t>3</w:t>
                  </w:r>
                  <w:r>
                    <w:rPr>
                      <w:rFonts w:hint="default" w:ascii="Times New Roman" w:hAnsi="Times New Roman" w:eastAsia="宋体" w:cs="Times New Roman"/>
                      <w:color w:val="auto"/>
                      <w:kern w:val="2"/>
                      <w:sz w:val="21"/>
                      <w:szCs w:val="21"/>
                      <w:highlight w:val="none"/>
                      <w:lang w:eastAsia="zh-CN"/>
                    </w:rPr>
                    <w:t>）</w:t>
                  </w:r>
                </w:p>
              </w:tc>
              <w:tc>
                <w:tcPr>
                  <w:tcW w:w="821" w:type="pct"/>
                  <w:tcBorders>
                    <w:top w:val="single" w:color="auto" w:sz="4" w:space="0"/>
                    <w:left w:val="single" w:color="auto" w:sz="4" w:space="0"/>
                    <w:bottom w:val="single" w:color="auto" w:sz="4" w:space="0"/>
                    <w:right w:val="single" w:color="auto" w:sz="4" w:space="0"/>
                  </w:tcBorders>
                  <w:noWrap w:val="0"/>
                  <w:vAlign w:val="center"/>
                </w:tcPr>
                <w:p w14:paraId="5E7819BF">
                  <w:pPr>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1.4</w:t>
                  </w:r>
                </w:p>
              </w:tc>
              <w:tc>
                <w:tcPr>
                  <w:tcW w:w="730" w:type="pct"/>
                  <w:tcBorders>
                    <w:top w:val="single" w:color="auto" w:sz="4" w:space="0"/>
                    <w:left w:val="single" w:color="auto" w:sz="4" w:space="0"/>
                    <w:bottom w:val="single" w:color="auto" w:sz="4" w:space="0"/>
                    <w:right w:val="single" w:color="auto" w:sz="4" w:space="0"/>
                  </w:tcBorders>
                  <w:noWrap w:val="0"/>
                  <w:vAlign w:val="center"/>
                </w:tcPr>
                <w:p w14:paraId="32F2A7DB">
                  <w:pPr>
                    <w:spacing w:line="240" w:lineRule="auto"/>
                    <w:ind w:firstLine="0" w:firstLineChars="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val="en-US" w:eastAsia="zh-CN"/>
                    </w:rPr>
                    <w:t>4</w:t>
                  </w:r>
                </w:p>
              </w:tc>
              <w:tc>
                <w:tcPr>
                  <w:tcW w:w="730" w:type="pct"/>
                  <w:tcBorders>
                    <w:top w:val="single" w:color="auto" w:sz="4" w:space="0"/>
                    <w:left w:val="single" w:color="auto" w:sz="4" w:space="0"/>
                    <w:bottom w:val="single" w:color="auto" w:sz="4" w:space="0"/>
                    <w:right w:val="single" w:color="auto" w:sz="4" w:space="0"/>
                  </w:tcBorders>
                  <w:noWrap w:val="0"/>
                  <w:vAlign w:val="center"/>
                </w:tcPr>
                <w:p w14:paraId="75B469AC">
                  <w:pPr>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 xml:space="preserve">35.00 </w:t>
                  </w:r>
                </w:p>
              </w:tc>
              <w:tc>
                <w:tcPr>
                  <w:tcW w:w="548" w:type="pct"/>
                  <w:tcBorders>
                    <w:top w:val="single" w:color="auto" w:sz="4" w:space="0"/>
                    <w:left w:val="single" w:color="auto" w:sz="4" w:space="0"/>
                    <w:bottom w:val="single" w:color="auto" w:sz="4" w:space="0"/>
                    <w:right w:val="single" w:color="auto" w:sz="4" w:space="0"/>
                  </w:tcBorders>
                  <w:noWrap w:val="0"/>
                  <w:vAlign w:val="center"/>
                </w:tcPr>
                <w:p w14:paraId="3BF14C4C">
                  <w:pPr>
                    <w:spacing w:line="240" w:lineRule="auto"/>
                    <w:ind w:firstLine="0" w:firstLineChars="0"/>
                    <w:jc w:val="center"/>
                    <w:rPr>
                      <w:rFonts w:hint="default" w:ascii="Times New Roman" w:hAnsi="Times New Roman" w:eastAsia="宋体" w:cs="Times New Roman"/>
                      <w:color w:val="auto"/>
                      <w:kern w:val="2"/>
                      <w:sz w:val="21"/>
                      <w:szCs w:val="21"/>
                      <w:highlight w:val="none"/>
                    </w:rPr>
                  </w:pPr>
                  <w:r>
                    <w:rPr>
                      <w:rFonts w:hint="eastAsia" w:ascii="Times New Roman" w:hAnsi="Times New Roman" w:eastAsia="宋体" w:cs="Times New Roman"/>
                      <w:color w:val="auto"/>
                      <w:kern w:val="2"/>
                      <w:sz w:val="21"/>
                      <w:szCs w:val="21"/>
                      <w:highlight w:val="none"/>
                      <w:lang w:val="en-US" w:eastAsia="zh-CN"/>
                    </w:rPr>
                    <w:t>达标</w:t>
                  </w:r>
                </w:p>
              </w:tc>
            </w:tr>
            <w:tr w14:paraId="3E135F2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45" w:type="pct"/>
                  <w:tcBorders>
                    <w:top w:val="single" w:color="auto" w:sz="4" w:space="0"/>
                    <w:left w:val="single" w:color="auto" w:sz="4" w:space="0"/>
                    <w:bottom w:val="single" w:color="auto" w:sz="4" w:space="0"/>
                    <w:right w:val="single" w:color="auto" w:sz="4" w:space="0"/>
                  </w:tcBorders>
                  <w:noWrap w:val="0"/>
                  <w:vAlign w:val="center"/>
                </w:tcPr>
                <w:p w14:paraId="7B0273BE">
                  <w:pPr>
                    <w:spacing w:line="240" w:lineRule="auto"/>
                    <w:ind w:firstLine="0" w:firstLineChars="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O</w:t>
                  </w:r>
                  <w:r>
                    <w:rPr>
                      <w:rFonts w:hint="default" w:ascii="Times New Roman" w:hAnsi="Times New Roman" w:eastAsia="宋体" w:cs="Times New Roman"/>
                      <w:color w:val="auto"/>
                      <w:kern w:val="2"/>
                      <w:sz w:val="21"/>
                      <w:szCs w:val="21"/>
                      <w:highlight w:val="none"/>
                      <w:vertAlign w:val="subscript"/>
                    </w:rPr>
                    <w:t>3</w:t>
                  </w:r>
                </w:p>
              </w:tc>
              <w:tc>
                <w:tcPr>
                  <w:tcW w:w="1723" w:type="pct"/>
                  <w:tcBorders>
                    <w:top w:val="single" w:color="auto" w:sz="4" w:space="0"/>
                    <w:left w:val="single" w:color="auto" w:sz="4" w:space="0"/>
                    <w:bottom w:val="single" w:color="auto" w:sz="4" w:space="0"/>
                    <w:right w:val="single" w:color="auto" w:sz="4" w:space="0"/>
                  </w:tcBorders>
                  <w:noWrap w:val="0"/>
                  <w:vAlign w:val="center"/>
                </w:tcPr>
                <w:p w14:paraId="049E9AE5">
                  <w:pPr>
                    <w:spacing w:line="240" w:lineRule="auto"/>
                    <w:ind w:firstLine="0" w:firstLineChars="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O</w:t>
                  </w:r>
                  <w:r>
                    <w:rPr>
                      <w:rFonts w:hint="default" w:ascii="Times New Roman" w:hAnsi="Times New Roman" w:eastAsia="宋体" w:cs="Times New Roman"/>
                      <w:color w:val="auto"/>
                      <w:kern w:val="2"/>
                      <w:sz w:val="21"/>
                      <w:szCs w:val="21"/>
                      <w:highlight w:val="none"/>
                      <w:vertAlign w:val="subscript"/>
                    </w:rPr>
                    <w:t>3</w:t>
                  </w:r>
                  <w:r>
                    <w:rPr>
                      <w:rFonts w:hint="default" w:ascii="Times New Roman" w:hAnsi="Times New Roman" w:eastAsia="宋体" w:cs="Times New Roman"/>
                      <w:color w:val="auto"/>
                      <w:kern w:val="2"/>
                      <w:sz w:val="21"/>
                      <w:szCs w:val="21"/>
                      <w:highlight w:val="none"/>
                    </w:rPr>
                    <w:t>日最大8h滑动平均值第90百分位数（ug/m</w:t>
                  </w:r>
                  <w:r>
                    <w:rPr>
                      <w:rFonts w:hint="default" w:ascii="Times New Roman" w:hAnsi="Times New Roman" w:eastAsia="宋体" w:cs="Times New Roman"/>
                      <w:color w:val="auto"/>
                      <w:kern w:val="2"/>
                      <w:sz w:val="21"/>
                      <w:szCs w:val="21"/>
                      <w:highlight w:val="none"/>
                      <w:vertAlign w:val="superscript"/>
                    </w:rPr>
                    <w:t>3</w:t>
                  </w:r>
                  <w:r>
                    <w:rPr>
                      <w:rFonts w:hint="default" w:ascii="Times New Roman" w:hAnsi="Times New Roman" w:eastAsia="宋体" w:cs="Times New Roman"/>
                      <w:color w:val="auto"/>
                      <w:kern w:val="2"/>
                      <w:sz w:val="21"/>
                      <w:szCs w:val="21"/>
                      <w:highlight w:val="none"/>
                    </w:rPr>
                    <w:t>）</w:t>
                  </w:r>
                </w:p>
              </w:tc>
              <w:tc>
                <w:tcPr>
                  <w:tcW w:w="821" w:type="pct"/>
                  <w:tcBorders>
                    <w:top w:val="single" w:color="auto" w:sz="4" w:space="0"/>
                    <w:left w:val="single" w:color="auto" w:sz="4" w:space="0"/>
                    <w:bottom w:val="single" w:color="auto" w:sz="4" w:space="0"/>
                    <w:right w:val="single" w:color="auto" w:sz="4" w:space="0"/>
                  </w:tcBorders>
                  <w:noWrap w:val="0"/>
                  <w:vAlign w:val="center"/>
                </w:tcPr>
                <w:p w14:paraId="59AF5F2B">
                  <w:pPr>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135</w:t>
                  </w:r>
                </w:p>
              </w:tc>
              <w:tc>
                <w:tcPr>
                  <w:tcW w:w="730" w:type="pct"/>
                  <w:tcBorders>
                    <w:top w:val="single" w:color="auto" w:sz="4" w:space="0"/>
                    <w:left w:val="single" w:color="auto" w:sz="4" w:space="0"/>
                    <w:bottom w:val="single" w:color="auto" w:sz="4" w:space="0"/>
                    <w:right w:val="single" w:color="auto" w:sz="4" w:space="0"/>
                  </w:tcBorders>
                  <w:noWrap w:val="0"/>
                  <w:vAlign w:val="center"/>
                </w:tcPr>
                <w:p w14:paraId="7F3FC89A">
                  <w:pPr>
                    <w:spacing w:line="240" w:lineRule="auto"/>
                    <w:ind w:firstLine="0" w:firstLineChars="0"/>
                    <w:jc w:val="center"/>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val="en-US" w:eastAsia="zh-CN"/>
                    </w:rPr>
                    <w:t>160</w:t>
                  </w:r>
                </w:p>
              </w:tc>
              <w:tc>
                <w:tcPr>
                  <w:tcW w:w="730" w:type="pct"/>
                  <w:tcBorders>
                    <w:top w:val="single" w:color="auto" w:sz="4" w:space="0"/>
                    <w:left w:val="single" w:color="auto" w:sz="4" w:space="0"/>
                    <w:bottom w:val="single" w:color="auto" w:sz="4" w:space="0"/>
                    <w:right w:val="single" w:color="auto" w:sz="4" w:space="0"/>
                  </w:tcBorders>
                  <w:noWrap w:val="0"/>
                  <w:vAlign w:val="center"/>
                </w:tcPr>
                <w:p w14:paraId="425BF6DF">
                  <w:pPr>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rPr>
                    <w:t xml:space="preserve">84.38 </w:t>
                  </w:r>
                </w:p>
              </w:tc>
              <w:tc>
                <w:tcPr>
                  <w:tcW w:w="548" w:type="pct"/>
                  <w:tcBorders>
                    <w:top w:val="single" w:color="auto" w:sz="4" w:space="0"/>
                    <w:left w:val="single" w:color="auto" w:sz="4" w:space="0"/>
                    <w:bottom w:val="single" w:color="auto" w:sz="4" w:space="0"/>
                    <w:right w:val="single" w:color="auto" w:sz="4" w:space="0"/>
                  </w:tcBorders>
                  <w:noWrap w:val="0"/>
                  <w:vAlign w:val="center"/>
                </w:tcPr>
                <w:p w14:paraId="316D51D1">
                  <w:pPr>
                    <w:spacing w:line="240" w:lineRule="auto"/>
                    <w:ind w:firstLine="0" w:firstLineChars="0"/>
                    <w:jc w:val="center"/>
                    <w:rPr>
                      <w:rFonts w:hint="eastAsia" w:ascii="Times New Roman" w:hAnsi="Times New Roman" w:eastAsia="宋体" w:cs="Times New Roman"/>
                      <w:color w:val="auto"/>
                      <w:kern w:val="2"/>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rPr>
                    <w:t>达标</w:t>
                  </w:r>
                </w:p>
              </w:tc>
            </w:tr>
          </w:tbl>
          <w:p w14:paraId="1AFD2031">
            <w:pPr>
              <w:rPr>
                <w:bCs/>
                <w:color w:val="auto"/>
                <w:kern w:val="44"/>
                <w:sz w:val="24"/>
                <w:szCs w:val="44"/>
                <w:highlight w:val="none"/>
              </w:rPr>
            </w:pPr>
          </w:p>
          <w:p w14:paraId="1095EEDD">
            <w:pPr>
              <w:snapToGrid w:val="0"/>
              <w:ind w:firstLine="480" w:firstLineChars="200"/>
              <w:jc w:val="both"/>
              <w:rPr>
                <w:rFonts w:hint="default"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t>从上表可知，项目所在区域</w:t>
            </w:r>
            <w:r>
              <w:rPr>
                <w:rFonts w:hint="eastAsia" w:ascii="Times New Roman" w:hAnsi="Times New Roman" w:eastAsia="宋体" w:cs="Times New Roman"/>
                <w:color w:val="auto"/>
                <w:sz w:val="24"/>
                <w:highlight w:val="none"/>
                <w:lang w:val="en-US" w:eastAsia="zh-CN"/>
              </w:rPr>
              <w:t>PM</w:t>
            </w:r>
            <w:r>
              <w:rPr>
                <w:rFonts w:hint="eastAsia" w:ascii="Times New Roman" w:hAnsi="Times New Roman" w:eastAsia="宋体" w:cs="Times New Roman"/>
                <w:color w:val="auto"/>
                <w:sz w:val="24"/>
                <w:highlight w:val="none"/>
                <w:vertAlign w:val="subscript"/>
                <w:lang w:val="en-US" w:eastAsia="zh-CN"/>
              </w:rPr>
              <w:t>10</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sz w:val="24"/>
                <w:highlight w:val="none"/>
              </w:rPr>
              <w:t>PM</w:t>
            </w:r>
            <w:r>
              <w:rPr>
                <w:rFonts w:hint="default" w:ascii="Times New Roman" w:hAnsi="Times New Roman" w:eastAsia="宋体" w:cs="Times New Roman"/>
                <w:color w:val="auto"/>
                <w:sz w:val="24"/>
                <w:highlight w:val="none"/>
                <w:vertAlign w:val="subscript"/>
              </w:rPr>
              <w:t>2.5</w:t>
            </w:r>
            <w:r>
              <w:rPr>
                <w:rFonts w:hint="eastAsia" w:ascii="Times New Roman" w:hAnsi="Times New Roman" w:eastAsia="宋体" w:cs="Times New Roman"/>
                <w:color w:val="auto"/>
                <w:sz w:val="24"/>
                <w:highlight w:val="none"/>
              </w:rPr>
              <w:t>超过</w:t>
            </w:r>
            <w:r>
              <w:rPr>
                <w:rFonts w:hint="default" w:ascii="Times New Roman" w:hAnsi="Times New Roman" w:eastAsia="宋体" w:cs="Times New Roman"/>
                <w:color w:val="auto"/>
                <w:sz w:val="24"/>
                <w:highlight w:val="none"/>
              </w:rPr>
              <w:t>《环境空气质量标准》</w:t>
            </w:r>
            <w:r>
              <w:rPr>
                <w:rFonts w:hint="eastAsia" w:ascii="Times New Roman" w:hAnsi="Times New Roman" w:eastAsia="宋体" w:cs="Times New Roman"/>
                <w:color w:val="auto"/>
                <w:kern w:val="2"/>
                <w:sz w:val="24"/>
                <w:szCs w:val="21"/>
                <w:lang w:val="en-US" w:eastAsia="zh-CN" w:bidi="ar-SA"/>
              </w:rPr>
              <w:t>（</w:t>
            </w:r>
            <w:r>
              <w:rPr>
                <w:rFonts w:hint="default" w:ascii="Times New Roman" w:hAnsi="Times New Roman" w:eastAsia="宋体" w:cs="Times New Roman"/>
                <w:color w:val="auto"/>
                <w:kern w:val="2"/>
                <w:sz w:val="24"/>
                <w:szCs w:val="21"/>
                <w:lang w:val="en-US" w:eastAsia="zh-CN" w:bidi="ar-SA"/>
              </w:rPr>
              <w:t>GB3095-20</w:t>
            </w:r>
            <w:r>
              <w:rPr>
                <w:rFonts w:hint="eastAsia" w:ascii="Times New Roman" w:hAnsi="Times New Roman" w:eastAsia="宋体" w:cs="Times New Roman"/>
                <w:color w:val="auto"/>
                <w:kern w:val="2"/>
                <w:sz w:val="24"/>
                <w:szCs w:val="21"/>
                <w:lang w:val="en-US" w:eastAsia="zh-CN" w:bidi="ar-SA"/>
              </w:rPr>
              <w:t>26）过渡阶段浓度限值</w:t>
            </w:r>
            <w:r>
              <w:rPr>
                <w:rFonts w:hint="default" w:ascii="Times New Roman" w:hAnsi="Times New Roman" w:eastAsia="宋体" w:cs="Times New Roman"/>
                <w:color w:val="auto"/>
                <w:sz w:val="24"/>
                <w:highlight w:val="none"/>
              </w:rPr>
              <w:t>二级标准</w:t>
            </w:r>
            <w:r>
              <w:rPr>
                <w:rFonts w:hint="eastAsia" w:ascii="Times New Roman" w:hAnsi="Times New Roman" w:eastAsia="宋体" w:cs="Times New Roman"/>
                <w:color w:val="auto"/>
                <w:sz w:val="24"/>
                <w:highlight w:val="none"/>
              </w:rPr>
              <w:t>，其他环境质量因子均满足《</w:t>
            </w:r>
            <w:r>
              <w:rPr>
                <w:rFonts w:hint="default" w:ascii="Times New Roman" w:hAnsi="Times New Roman" w:eastAsia="宋体" w:cs="Times New Roman"/>
                <w:color w:val="auto"/>
                <w:sz w:val="24"/>
                <w:highlight w:val="none"/>
              </w:rPr>
              <w:t>环境空气质量标准》</w:t>
            </w:r>
            <w:r>
              <w:rPr>
                <w:rFonts w:hint="eastAsia" w:ascii="Times New Roman" w:hAnsi="Times New Roman" w:eastAsia="宋体" w:cs="Times New Roman"/>
                <w:color w:val="auto"/>
                <w:kern w:val="2"/>
                <w:sz w:val="24"/>
                <w:szCs w:val="21"/>
                <w:lang w:val="en-US" w:eastAsia="zh-CN" w:bidi="ar-SA"/>
              </w:rPr>
              <w:t>（</w:t>
            </w:r>
            <w:r>
              <w:rPr>
                <w:rFonts w:hint="default" w:ascii="Times New Roman" w:hAnsi="Times New Roman" w:eastAsia="宋体" w:cs="Times New Roman"/>
                <w:color w:val="auto"/>
                <w:kern w:val="2"/>
                <w:sz w:val="24"/>
                <w:szCs w:val="21"/>
                <w:lang w:val="en-US" w:eastAsia="zh-CN" w:bidi="ar-SA"/>
              </w:rPr>
              <w:t>GB3095-20</w:t>
            </w:r>
            <w:r>
              <w:rPr>
                <w:rFonts w:hint="eastAsia" w:ascii="Times New Roman" w:hAnsi="Times New Roman" w:eastAsia="宋体" w:cs="Times New Roman"/>
                <w:color w:val="auto"/>
                <w:kern w:val="2"/>
                <w:sz w:val="24"/>
                <w:szCs w:val="21"/>
                <w:lang w:val="en-US" w:eastAsia="zh-CN" w:bidi="ar-SA"/>
              </w:rPr>
              <w:t>26）过渡阶段浓度限值</w:t>
            </w:r>
            <w:r>
              <w:rPr>
                <w:rFonts w:hint="default" w:ascii="Times New Roman" w:hAnsi="Times New Roman" w:eastAsia="宋体" w:cs="Times New Roman"/>
                <w:color w:val="auto"/>
                <w:sz w:val="24"/>
                <w:highlight w:val="none"/>
              </w:rPr>
              <w:t>二级标准</w:t>
            </w:r>
            <w:r>
              <w:rPr>
                <w:rFonts w:hint="eastAsia" w:ascii="Times New Roman" w:hAnsi="Times New Roman" w:eastAsia="宋体" w:cs="Times New Roman"/>
                <w:color w:val="auto"/>
                <w:sz w:val="24"/>
                <w:highlight w:val="none"/>
              </w:rPr>
              <w:t>，因此判定抚顺县环境空气质量不达标。</w:t>
            </w:r>
          </w:p>
          <w:p w14:paraId="57B9731F">
            <w:pPr>
              <w:snapToGrid w:val="0"/>
              <w:ind w:firstLine="480" w:firstLineChars="200"/>
              <w:jc w:val="both"/>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rPr>
              <w:t>抚顺</w:t>
            </w:r>
            <w:r>
              <w:rPr>
                <w:rFonts w:hint="eastAsia" w:ascii="Times New Roman" w:hAnsi="Times New Roman" w:eastAsia="宋体" w:cs="Times New Roman"/>
                <w:color w:val="auto"/>
                <w:sz w:val="24"/>
                <w:highlight w:val="none"/>
                <w:lang w:eastAsia="zh-CN"/>
              </w:rPr>
              <w:t>县</w:t>
            </w:r>
            <w:r>
              <w:rPr>
                <w:rFonts w:hint="eastAsia" w:ascii="Times New Roman" w:hAnsi="Times New Roman" w:eastAsia="宋体" w:cs="Times New Roman"/>
                <w:color w:val="auto"/>
                <w:sz w:val="24"/>
                <w:highlight w:val="none"/>
                <w:lang w:val="en-US" w:eastAsia="zh-CN"/>
              </w:rPr>
              <w:t>PM</w:t>
            </w:r>
            <w:r>
              <w:rPr>
                <w:rFonts w:hint="eastAsia" w:ascii="Times New Roman" w:hAnsi="Times New Roman" w:eastAsia="宋体" w:cs="Times New Roman"/>
                <w:color w:val="auto"/>
                <w:sz w:val="24"/>
                <w:highlight w:val="none"/>
                <w:vertAlign w:val="subscript"/>
                <w:lang w:val="en-US" w:eastAsia="zh-CN"/>
              </w:rPr>
              <w:t>10</w:t>
            </w:r>
            <w:r>
              <w:rPr>
                <w:rFonts w:hint="eastAsia" w:ascii="Times New Roman" w:hAnsi="Times New Roman" w:eastAsia="宋体" w:cs="Times New Roman"/>
                <w:color w:val="auto"/>
                <w:sz w:val="24"/>
                <w:highlight w:val="none"/>
                <w:lang w:val="en-US" w:eastAsia="zh-CN"/>
              </w:rPr>
              <w:t>、</w:t>
            </w:r>
            <w:r>
              <w:rPr>
                <w:rFonts w:hint="eastAsia" w:ascii="Times New Roman" w:hAnsi="Times New Roman" w:eastAsia="宋体" w:cs="Times New Roman"/>
                <w:color w:val="auto"/>
                <w:sz w:val="24"/>
                <w:highlight w:val="none"/>
              </w:rPr>
              <w:t>PM</w:t>
            </w:r>
            <w:r>
              <w:rPr>
                <w:rFonts w:hint="eastAsia" w:ascii="Times New Roman" w:hAnsi="Times New Roman" w:eastAsia="宋体" w:cs="Times New Roman"/>
                <w:color w:val="auto"/>
                <w:sz w:val="24"/>
                <w:highlight w:val="none"/>
                <w:vertAlign w:val="subscript"/>
              </w:rPr>
              <w:t>2.5</w:t>
            </w:r>
            <w:r>
              <w:rPr>
                <w:rFonts w:hint="eastAsia" w:ascii="Times New Roman" w:hAnsi="Times New Roman" w:eastAsia="宋体" w:cs="Times New Roman"/>
                <w:color w:val="auto"/>
                <w:sz w:val="24"/>
                <w:highlight w:val="none"/>
              </w:rPr>
              <w:t>现状浓度超过《环境空气质量标准》</w:t>
            </w:r>
            <w:r>
              <w:rPr>
                <w:rFonts w:hint="eastAsia" w:ascii="Times New Roman" w:hAnsi="Times New Roman" w:eastAsia="宋体" w:cs="Times New Roman"/>
                <w:color w:val="auto"/>
                <w:kern w:val="2"/>
                <w:sz w:val="24"/>
                <w:szCs w:val="21"/>
                <w:lang w:val="en-US" w:eastAsia="zh-CN" w:bidi="ar-SA"/>
              </w:rPr>
              <w:t>（</w:t>
            </w:r>
            <w:r>
              <w:rPr>
                <w:rFonts w:hint="default" w:ascii="Times New Roman" w:hAnsi="Times New Roman" w:eastAsia="宋体" w:cs="Times New Roman"/>
                <w:color w:val="auto"/>
                <w:kern w:val="2"/>
                <w:sz w:val="24"/>
                <w:szCs w:val="21"/>
                <w:lang w:val="en-US" w:eastAsia="zh-CN" w:bidi="ar-SA"/>
              </w:rPr>
              <w:t>GB3095-20</w:t>
            </w:r>
            <w:r>
              <w:rPr>
                <w:rFonts w:hint="eastAsia" w:ascii="Times New Roman" w:hAnsi="Times New Roman" w:eastAsia="宋体" w:cs="Times New Roman"/>
                <w:color w:val="auto"/>
                <w:kern w:val="2"/>
                <w:sz w:val="24"/>
                <w:szCs w:val="21"/>
                <w:lang w:val="en-US" w:eastAsia="zh-CN" w:bidi="ar-SA"/>
              </w:rPr>
              <w:t>26）</w:t>
            </w:r>
            <w:r>
              <w:rPr>
                <w:rFonts w:hint="eastAsia" w:ascii="Times New Roman" w:hAnsi="Times New Roman" w:eastAsia="宋体" w:cs="Times New Roman"/>
                <w:color w:val="auto"/>
                <w:sz w:val="24"/>
                <w:highlight w:val="none"/>
              </w:rPr>
              <w:t>中二级标准要求，依据《抚顺市空气质量持续改善行动实施方案》，抚顺市以PM</w:t>
            </w:r>
            <w:r>
              <w:rPr>
                <w:rFonts w:hint="eastAsia" w:ascii="Times New Roman" w:hAnsi="Times New Roman" w:eastAsia="宋体" w:cs="Times New Roman"/>
                <w:color w:val="auto"/>
                <w:sz w:val="24"/>
                <w:highlight w:val="none"/>
                <w:vertAlign w:val="subscript"/>
              </w:rPr>
              <w:t>2.5</w:t>
            </w:r>
            <w:r>
              <w:rPr>
                <w:rFonts w:hint="eastAsia" w:ascii="Times New Roman" w:hAnsi="Times New Roman" w:eastAsia="宋体" w:cs="Times New Roman"/>
                <w:color w:val="auto"/>
                <w:sz w:val="24"/>
                <w:highlight w:val="none"/>
              </w:rPr>
              <w:t>年平均浓度降至34微克/立方米以下为核心目标，从产业、能源、交通、扬尘、工业减排、监管应急等多维度实施综合治理，全力推进PM</w:t>
            </w:r>
            <w:r>
              <w:rPr>
                <w:rFonts w:hint="eastAsia" w:ascii="Times New Roman" w:hAnsi="Times New Roman" w:eastAsia="宋体" w:cs="Times New Roman"/>
                <w:color w:val="auto"/>
                <w:sz w:val="24"/>
                <w:highlight w:val="none"/>
                <w:vertAlign w:val="subscript"/>
              </w:rPr>
              <w:t>2.5</w:t>
            </w:r>
            <w:r>
              <w:rPr>
                <w:rFonts w:hint="eastAsia" w:ascii="Times New Roman" w:hAnsi="Times New Roman" w:eastAsia="宋体" w:cs="Times New Roman"/>
                <w:color w:val="auto"/>
                <w:sz w:val="24"/>
                <w:highlight w:val="none"/>
              </w:rPr>
              <w:t>浓度持续下降</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lang w:val="en-US" w:eastAsia="zh-CN"/>
              </w:rPr>
              <w:t>具体方案如下：</w:t>
            </w:r>
          </w:p>
          <w:p w14:paraId="79B5EF73">
            <w:pPr>
              <w:snapToGrid w:val="0"/>
              <w:ind w:firstLine="480" w:firstLineChars="200"/>
              <w:jc w:val="both"/>
              <w:rPr>
                <w:rFonts w:hint="eastAsia"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t>一是优化产业结构，从源头削减污染。严格把控项目准入，</w:t>
            </w:r>
            <w:r>
              <w:rPr>
                <w:rFonts w:hint="eastAsia" w:ascii="Times New Roman" w:hAnsi="Times New Roman" w:eastAsia="宋体" w:cs="Times New Roman"/>
                <w:color w:val="auto"/>
                <w:sz w:val="24"/>
                <w:highlight w:val="none"/>
                <w:lang w:val="en-US" w:eastAsia="zh-CN"/>
              </w:rPr>
              <w:t>杜绝</w:t>
            </w:r>
            <w:r>
              <w:rPr>
                <w:rFonts w:hint="eastAsia" w:ascii="Times New Roman" w:hAnsi="Times New Roman" w:eastAsia="宋体" w:cs="Times New Roman"/>
                <w:color w:val="auto"/>
                <w:sz w:val="24"/>
                <w:highlight w:val="none"/>
              </w:rPr>
              <w:t>高耗能、高排放低水平项目</w:t>
            </w:r>
            <w:r>
              <w:rPr>
                <w:rFonts w:hint="eastAsia" w:ascii="Times New Roman" w:hAnsi="Times New Roman" w:eastAsia="宋体" w:cs="Times New Roman"/>
                <w:color w:val="auto"/>
                <w:sz w:val="24"/>
                <w:highlight w:val="none"/>
                <w:lang w:val="en-US" w:eastAsia="zh-CN"/>
              </w:rPr>
              <w:t>上马；</w:t>
            </w:r>
            <w:r>
              <w:rPr>
                <w:rFonts w:hint="eastAsia" w:ascii="Times New Roman" w:hAnsi="Times New Roman" w:eastAsia="宋体" w:cs="Times New Roman"/>
                <w:color w:val="auto"/>
                <w:sz w:val="24"/>
                <w:highlight w:val="none"/>
              </w:rPr>
              <w:t>加快钢铁、石化、水泥、碳素等重点行业落后产能及老旧低效设备淘汰更新；常态化开展“散乱污”企业排查整治，实施动态清零</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lang w:val="en-US" w:eastAsia="zh-CN"/>
              </w:rPr>
              <w:t>通过产业结构调成，从源头削减</w:t>
            </w:r>
            <w:r>
              <w:rPr>
                <w:rFonts w:hint="eastAsia" w:ascii="Times New Roman" w:hAnsi="Times New Roman" w:eastAsia="宋体" w:cs="Times New Roman"/>
                <w:color w:val="auto"/>
                <w:sz w:val="24"/>
                <w:highlight w:val="none"/>
              </w:rPr>
              <w:t>PM</w:t>
            </w:r>
            <w:r>
              <w:rPr>
                <w:rFonts w:hint="eastAsia" w:ascii="Times New Roman" w:hAnsi="Times New Roman" w:eastAsia="宋体" w:cs="Times New Roman"/>
                <w:color w:val="auto"/>
                <w:sz w:val="24"/>
                <w:highlight w:val="none"/>
                <w:vertAlign w:val="subscript"/>
              </w:rPr>
              <w:t>2.5</w:t>
            </w:r>
            <w:r>
              <w:rPr>
                <w:rFonts w:hint="eastAsia" w:ascii="Times New Roman" w:hAnsi="Times New Roman" w:eastAsia="宋体" w:cs="Times New Roman"/>
                <w:color w:val="auto"/>
                <w:sz w:val="24"/>
                <w:highlight w:val="none"/>
                <w:lang w:val="en-US" w:eastAsia="zh-CN"/>
              </w:rPr>
              <w:t>排放</w:t>
            </w:r>
            <w:r>
              <w:rPr>
                <w:rFonts w:hint="eastAsia" w:ascii="Times New Roman" w:hAnsi="Times New Roman" w:eastAsia="宋体" w:cs="Times New Roman"/>
                <w:color w:val="auto"/>
                <w:sz w:val="24"/>
                <w:highlight w:val="none"/>
              </w:rPr>
              <w:t>。</w:t>
            </w:r>
          </w:p>
          <w:p w14:paraId="22608997">
            <w:pPr>
              <w:snapToGrid w:val="0"/>
              <w:ind w:firstLine="480" w:firstLineChars="200"/>
              <w:jc w:val="both"/>
              <w:rPr>
                <w:rFonts w:hint="eastAsia"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t>二是</w:t>
            </w:r>
            <w:r>
              <w:rPr>
                <w:rFonts w:hint="eastAsia" w:ascii="Times New Roman" w:hAnsi="Times New Roman" w:eastAsia="宋体" w:cs="Times New Roman"/>
                <w:color w:val="auto"/>
                <w:sz w:val="24"/>
                <w:highlight w:val="none"/>
                <w:lang w:val="en-US" w:eastAsia="zh-CN"/>
              </w:rPr>
              <w:t>优化</w:t>
            </w:r>
            <w:r>
              <w:rPr>
                <w:rFonts w:hint="eastAsia" w:ascii="Times New Roman" w:hAnsi="Times New Roman" w:eastAsia="宋体" w:cs="Times New Roman"/>
                <w:color w:val="auto"/>
                <w:sz w:val="24"/>
                <w:highlight w:val="none"/>
              </w:rPr>
              <w:t>能源结构，</w:t>
            </w:r>
            <w:r>
              <w:rPr>
                <w:rFonts w:hint="eastAsia" w:ascii="Times New Roman" w:hAnsi="Times New Roman" w:eastAsia="宋体" w:cs="Times New Roman"/>
                <w:color w:val="auto"/>
                <w:sz w:val="24"/>
                <w:highlight w:val="none"/>
                <w:lang w:val="en-US" w:eastAsia="zh-CN"/>
              </w:rPr>
              <w:t>加速能源清洁低碳高效发展</w:t>
            </w:r>
            <w:r>
              <w:rPr>
                <w:rFonts w:hint="eastAsia" w:ascii="Times New Roman" w:hAnsi="Times New Roman" w:eastAsia="宋体" w:cs="Times New Roman"/>
                <w:color w:val="auto"/>
                <w:sz w:val="24"/>
                <w:highlight w:val="none"/>
              </w:rPr>
              <w:t>。</w:t>
            </w:r>
            <w:r>
              <w:rPr>
                <w:rFonts w:hint="eastAsia" w:ascii="Times New Roman" w:hAnsi="Times New Roman" w:eastAsia="宋体" w:cs="Times New Roman"/>
                <w:color w:val="auto"/>
                <w:sz w:val="24"/>
                <w:highlight w:val="none"/>
                <w:lang w:val="en-US" w:eastAsia="zh-CN"/>
              </w:rPr>
              <w:t>原则上不再新增自备燃煤机组，推动</w:t>
            </w:r>
            <w:r>
              <w:rPr>
                <w:rFonts w:hint="eastAsia" w:ascii="Times New Roman" w:hAnsi="Times New Roman" w:eastAsia="宋体" w:cs="Times New Roman"/>
                <w:color w:val="auto"/>
                <w:sz w:val="24"/>
                <w:highlight w:val="none"/>
              </w:rPr>
              <w:t>光伏、风电、抽水蓄能等新能源项目</w:t>
            </w:r>
            <w:r>
              <w:rPr>
                <w:rFonts w:hint="eastAsia" w:ascii="Times New Roman" w:hAnsi="Times New Roman" w:eastAsia="宋体" w:cs="Times New Roman"/>
                <w:color w:val="auto"/>
                <w:sz w:val="24"/>
                <w:highlight w:val="none"/>
                <w:lang w:val="en-US" w:eastAsia="zh-CN"/>
              </w:rPr>
              <w:t>建设；</w:t>
            </w:r>
            <w:r>
              <w:rPr>
                <w:rFonts w:hint="eastAsia" w:ascii="Times New Roman" w:hAnsi="Times New Roman" w:eastAsia="宋体" w:cs="Times New Roman"/>
                <w:color w:val="auto"/>
                <w:sz w:val="24"/>
                <w:highlight w:val="none"/>
              </w:rPr>
              <w:t>2025年全市清洁能源装机规模达到200万千瓦以上；</w:t>
            </w:r>
            <w:r>
              <w:rPr>
                <w:rFonts w:hint="eastAsia" w:ascii="Times New Roman" w:hAnsi="Times New Roman" w:eastAsia="宋体" w:cs="Times New Roman"/>
                <w:color w:val="auto"/>
                <w:sz w:val="24"/>
                <w:highlight w:val="none"/>
                <w:lang w:val="en-US" w:eastAsia="zh-CN"/>
              </w:rPr>
              <w:t>县级及以上城市建成区原则上不再新建35蒸吨/小时及以下燃煤锅炉</w:t>
            </w:r>
            <w:r>
              <w:rPr>
                <w:rFonts w:hint="eastAsia" w:ascii="Times New Roman" w:hAnsi="Times New Roman" w:eastAsia="宋体" w:cs="Times New Roman"/>
                <w:color w:val="auto"/>
                <w:sz w:val="24"/>
                <w:highlight w:val="none"/>
              </w:rPr>
              <w:t>，全域基本淘汰10蒸吨/小时及以下燃煤锅炉，城市建成区基本淘汰35蒸吨/小时及以下燃煤锅炉；整村整屯推进散煤替代，取缔禁燃区劣质煤销售网点，严防散煤复烧造成颗粒物污染。</w:t>
            </w:r>
          </w:p>
          <w:p w14:paraId="7A0C44B9">
            <w:pPr>
              <w:snapToGrid w:val="0"/>
              <w:ind w:firstLine="480" w:firstLineChars="200"/>
              <w:jc w:val="both"/>
              <w:rPr>
                <w:rFonts w:hint="eastAsia"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t>三是优化交通结构，强化移动源污染治理。调整大宗货物运输结构，提升铁路货运占比，推广公铁多式联运；在公交、环卫、出租、物流园区及工矿企业全面推广新能源车辆，提高大宗货物清洁运输比例；严格执行非道路移动柴油机械第四阶段排放标准，完成城区工程机械环保编码三级联网，基本消除机械“冒黑烟”现象；全环节监管成品油质量，加大柴油抽测频次，严厉打击非标油品销售使用行为。</w:t>
            </w:r>
          </w:p>
          <w:p w14:paraId="19F4D743">
            <w:pPr>
              <w:snapToGrid w:val="0"/>
              <w:ind w:firstLine="480" w:firstLineChars="200"/>
              <w:jc w:val="both"/>
              <w:rPr>
                <w:rFonts w:hint="eastAsia"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t>四是细化扬尘</w:t>
            </w:r>
            <w:r>
              <w:rPr>
                <w:rFonts w:hint="eastAsia" w:ascii="Times New Roman" w:hAnsi="Times New Roman" w:eastAsia="宋体" w:cs="Times New Roman"/>
                <w:color w:val="auto"/>
                <w:sz w:val="24"/>
                <w:highlight w:val="none"/>
                <w:lang w:val="en-US" w:eastAsia="zh-CN"/>
              </w:rPr>
              <w:t>污染防治和精细化管理</w:t>
            </w:r>
            <w:r>
              <w:rPr>
                <w:rFonts w:hint="eastAsia" w:ascii="Times New Roman" w:hAnsi="Times New Roman" w:eastAsia="宋体" w:cs="Times New Roman"/>
                <w:color w:val="auto"/>
                <w:sz w:val="24"/>
                <w:highlight w:val="none"/>
              </w:rPr>
              <w:t>。施工工地严格落实扬尘治理“六个百分百”，</w:t>
            </w:r>
            <w:r>
              <w:rPr>
                <w:rFonts w:hint="eastAsia" w:ascii="Times New Roman" w:hAnsi="Times New Roman" w:eastAsia="宋体" w:cs="Times New Roman"/>
                <w:color w:val="auto"/>
                <w:sz w:val="24"/>
                <w:highlight w:val="none"/>
                <w:lang w:val="en-US" w:eastAsia="zh-CN"/>
              </w:rPr>
              <w:t>加强城市公共区域、城区道路两侧裸露土地硬化和绿化，加强渣土车密闭增加作业车辆和机械冲洗次数，防止带泥行驶</w:t>
            </w:r>
            <w:r>
              <w:rPr>
                <w:rFonts w:hint="eastAsia" w:ascii="Times New Roman" w:hAnsi="Times New Roman" w:eastAsia="宋体" w:cs="Times New Roman"/>
                <w:color w:val="auto"/>
                <w:sz w:val="24"/>
                <w:highlight w:val="none"/>
              </w:rPr>
              <w:t>；提升道路机械化清扫水平，城市建成区道路机械化清扫率达80%左右、县城达70%左右；加强露天矿山扬尘排查整治，对整改不达标矿山依法关闭；提升秸秆综合利用水平，秸秆综合利用率稳定在90%以上，运用高清视频、无人机等手段严控秸秆露天焚烧，严肃追责重污染天气焚烧行为。</w:t>
            </w:r>
          </w:p>
          <w:p w14:paraId="6C8FFE94">
            <w:pPr>
              <w:snapToGrid w:val="0"/>
              <w:ind w:firstLine="480" w:firstLineChars="200"/>
              <w:jc w:val="both"/>
              <w:rPr>
                <w:rFonts w:hint="eastAsia"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t>五是</w:t>
            </w:r>
            <w:r>
              <w:rPr>
                <w:rFonts w:hint="eastAsia" w:ascii="Times New Roman" w:hAnsi="Times New Roman" w:eastAsia="宋体" w:cs="Times New Roman"/>
                <w:color w:val="auto"/>
                <w:sz w:val="24"/>
                <w:highlight w:val="none"/>
                <w:lang w:val="en-US" w:eastAsia="zh-CN"/>
              </w:rPr>
              <w:t>推进重点行业减排</w:t>
            </w:r>
            <w:r>
              <w:rPr>
                <w:rFonts w:hint="eastAsia" w:ascii="Times New Roman" w:hAnsi="Times New Roman" w:eastAsia="宋体" w:cs="Times New Roman"/>
                <w:color w:val="auto"/>
                <w:sz w:val="24"/>
                <w:highlight w:val="none"/>
              </w:rPr>
              <w:t>。</w:t>
            </w:r>
            <w:r>
              <w:rPr>
                <w:rFonts w:hint="eastAsia" w:ascii="Times New Roman" w:hAnsi="Times New Roman" w:eastAsia="宋体" w:cs="Times New Roman"/>
                <w:color w:val="auto"/>
                <w:sz w:val="24"/>
                <w:highlight w:val="none"/>
                <w:lang w:val="en-US" w:eastAsia="zh-CN"/>
              </w:rPr>
              <w:t>有序</w:t>
            </w:r>
            <w:r>
              <w:rPr>
                <w:rFonts w:hint="eastAsia" w:ascii="Times New Roman" w:hAnsi="Times New Roman" w:eastAsia="宋体" w:cs="Times New Roman"/>
                <w:color w:val="auto"/>
                <w:sz w:val="24"/>
                <w:highlight w:val="none"/>
              </w:rPr>
              <w:t>推进辖区2家水泥企业</w:t>
            </w:r>
            <w:r>
              <w:rPr>
                <w:rFonts w:hint="eastAsia" w:ascii="Times New Roman" w:hAnsi="Times New Roman" w:eastAsia="宋体" w:cs="Times New Roman"/>
                <w:color w:val="auto"/>
                <w:sz w:val="24"/>
                <w:highlight w:val="none"/>
                <w:lang w:val="en-US" w:eastAsia="zh-CN"/>
              </w:rPr>
              <w:t>和</w:t>
            </w:r>
            <w:r>
              <w:rPr>
                <w:rFonts w:hint="eastAsia" w:ascii="Times New Roman" w:hAnsi="Times New Roman" w:eastAsia="宋体" w:cs="Times New Roman"/>
                <w:color w:val="auto"/>
                <w:sz w:val="24"/>
                <w:highlight w:val="none"/>
              </w:rPr>
              <w:t>65蒸吨/小时及以上燃煤锅炉实施超低排放改造。</w:t>
            </w:r>
          </w:p>
          <w:p w14:paraId="6BAB2551">
            <w:pPr>
              <w:snapToGrid w:val="0"/>
              <w:ind w:firstLine="480" w:firstLineChars="200"/>
              <w:jc w:val="both"/>
              <w:rPr>
                <w:rFonts w:hint="eastAsia"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t>六是</w:t>
            </w:r>
            <w:r>
              <w:rPr>
                <w:rFonts w:hint="eastAsia" w:ascii="Times New Roman" w:hAnsi="Times New Roman" w:eastAsia="宋体" w:cs="Times New Roman"/>
                <w:color w:val="auto"/>
                <w:sz w:val="24"/>
                <w:highlight w:val="none"/>
                <w:lang w:val="en-US" w:eastAsia="zh-CN"/>
              </w:rPr>
              <w:t>提升大气环境监测监控能力</w:t>
            </w:r>
            <w:r>
              <w:rPr>
                <w:rFonts w:hint="eastAsia" w:ascii="Times New Roman" w:hAnsi="Times New Roman" w:eastAsia="宋体" w:cs="Times New Roman"/>
                <w:color w:val="auto"/>
                <w:sz w:val="24"/>
                <w:highlight w:val="none"/>
              </w:rPr>
              <w:t>。</w:t>
            </w:r>
            <w:r>
              <w:rPr>
                <w:rFonts w:hint="eastAsia" w:ascii="Times New Roman" w:hAnsi="Times New Roman" w:eastAsia="宋体" w:cs="Times New Roman"/>
                <w:color w:val="auto"/>
                <w:sz w:val="24"/>
                <w:highlight w:val="none"/>
                <w:lang w:val="en-US" w:eastAsia="zh-CN"/>
              </w:rPr>
              <w:t>进一步</w:t>
            </w:r>
            <w:r>
              <w:rPr>
                <w:rFonts w:hint="eastAsia" w:ascii="Times New Roman" w:hAnsi="Times New Roman" w:eastAsia="宋体" w:cs="Times New Roman"/>
                <w:color w:val="auto"/>
                <w:sz w:val="24"/>
                <w:highlight w:val="none"/>
              </w:rPr>
              <w:t>完善PM</w:t>
            </w:r>
            <w:r>
              <w:rPr>
                <w:rFonts w:hint="eastAsia" w:ascii="Times New Roman" w:hAnsi="Times New Roman" w:eastAsia="宋体" w:cs="Times New Roman"/>
                <w:color w:val="auto"/>
                <w:sz w:val="24"/>
                <w:highlight w:val="none"/>
                <w:vertAlign w:val="subscript"/>
              </w:rPr>
              <w:t>2.5</w:t>
            </w:r>
            <w:r>
              <w:rPr>
                <w:rFonts w:hint="eastAsia" w:ascii="Times New Roman" w:hAnsi="Times New Roman" w:eastAsia="宋体" w:cs="Times New Roman"/>
                <w:color w:val="auto"/>
                <w:sz w:val="24"/>
                <w:highlight w:val="none"/>
              </w:rPr>
              <w:t>监测网络，推动</w:t>
            </w:r>
            <w:r>
              <w:rPr>
                <w:rFonts w:hint="eastAsia" w:ascii="Times New Roman" w:hAnsi="Times New Roman" w:eastAsia="宋体" w:cs="Times New Roman"/>
                <w:color w:val="auto"/>
                <w:sz w:val="24"/>
                <w:highlight w:val="none"/>
                <w:lang w:val="en-US" w:eastAsia="zh-CN"/>
              </w:rPr>
              <w:t>石化、钢铁等大气重点排污单位依法</w:t>
            </w:r>
            <w:r>
              <w:rPr>
                <w:rFonts w:hint="eastAsia" w:ascii="Times New Roman" w:hAnsi="Times New Roman" w:eastAsia="宋体" w:cs="Times New Roman"/>
                <w:color w:val="auto"/>
                <w:sz w:val="24"/>
                <w:highlight w:val="none"/>
              </w:rPr>
              <w:t>安装自动监测设备并联网运行</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rPr>
              <w:t>搭建重型柴油车远程监控平台；编制大气污染源排放清单，提升污染动态溯源能力；修订重污染天气应急预案及应急减排清单，预警期间实施企业差异化管控；强化多部门联合执法，依托信息化监管手段严厉打击环境违法行为，将PM</w:t>
            </w:r>
            <w:r>
              <w:rPr>
                <w:rFonts w:hint="eastAsia" w:ascii="Times New Roman" w:hAnsi="Times New Roman" w:eastAsia="宋体" w:cs="Times New Roman"/>
                <w:color w:val="auto"/>
                <w:sz w:val="24"/>
                <w:highlight w:val="none"/>
                <w:vertAlign w:val="subscript"/>
              </w:rPr>
              <w:t>2.5</w:t>
            </w:r>
            <w:r>
              <w:rPr>
                <w:rFonts w:hint="eastAsia" w:ascii="Times New Roman" w:hAnsi="Times New Roman" w:eastAsia="宋体" w:cs="Times New Roman"/>
                <w:color w:val="auto"/>
                <w:sz w:val="24"/>
                <w:highlight w:val="none"/>
              </w:rPr>
              <w:t>改善目标纳入政府考核，压实属地治理责任，同时倡导全民绿色生活方式，形成全域共治格局。</w:t>
            </w:r>
          </w:p>
          <w:p w14:paraId="4C2FE5B0">
            <w:pPr>
              <w:snapToGrid w:val="0"/>
              <w:ind w:firstLine="480" w:firstLineChars="200"/>
              <w:jc w:val="both"/>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（2）其他污染物环境质量现状</w:t>
            </w:r>
          </w:p>
          <w:p w14:paraId="1093A8A1">
            <w:pPr>
              <w:ind w:firstLine="436" w:firstLineChars="182"/>
              <w:rPr>
                <w:rFonts w:hint="eastAsia" w:hAnsi="宋体"/>
                <w:color w:val="auto"/>
                <w:sz w:val="24"/>
                <w:highlight w:val="none"/>
              </w:rPr>
            </w:pPr>
            <w:r>
              <w:rPr>
                <w:rFonts w:hint="default" w:ascii="Times New Roman" w:hAnsi="Times New Roman" w:eastAsia="宋体" w:cs="Times New Roman"/>
                <w:color w:val="auto"/>
                <w:kern w:val="2"/>
                <w:sz w:val="24"/>
                <w:szCs w:val="21"/>
                <w:lang w:val="en-US" w:eastAsia="zh-CN" w:bidi="ar-SA"/>
              </w:rPr>
              <w:t>根据《建设项目环境影响报告表编制技术指南（污染影响类）》，</w:t>
            </w:r>
            <w:r>
              <w:rPr>
                <w:rFonts w:hint="eastAsia" w:ascii="Times New Roman" w:hAnsi="Times New Roman" w:eastAsia="宋体" w:cs="Times New Roman"/>
                <w:color w:val="auto"/>
                <w:kern w:val="2"/>
                <w:sz w:val="24"/>
                <w:szCs w:val="21"/>
                <w:lang w:val="en-US" w:eastAsia="zh-CN" w:bidi="ar-SA"/>
              </w:rPr>
              <w:t>“</w:t>
            </w:r>
            <w:r>
              <w:rPr>
                <w:rFonts w:hint="default" w:ascii="Times New Roman" w:hAnsi="Times New Roman" w:eastAsia="宋体" w:cs="Times New Roman"/>
                <w:color w:val="auto"/>
                <w:kern w:val="2"/>
                <w:sz w:val="24"/>
                <w:szCs w:val="21"/>
                <w:lang w:val="en-US" w:eastAsia="zh-CN" w:bidi="ar-SA"/>
              </w:rPr>
              <w:t>排放国家、地方环境空气质量标准中有标准限值要求的特征污染物时，引用建设项目周边5千米范围内近3年的现有监测数据，无相关数据的选择当季主导风向下风向1个点位补充不少于3天的监测数据</w:t>
            </w:r>
            <w:r>
              <w:rPr>
                <w:rFonts w:hint="eastAsia" w:ascii="Times New Roman" w:hAnsi="Times New Roman" w:eastAsia="宋体" w:cs="Times New Roman"/>
                <w:color w:val="auto"/>
                <w:kern w:val="2"/>
                <w:sz w:val="24"/>
                <w:szCs w:val="21"/>
                <w:lang w:val="en-US" w:eastAsia="zh-CN" w:bidi="ar-SA"/>
              </w:rPr>
              <w:t>”</w:t>
            </w:r>
            <w:r>
              <w:rPr>
                <w:rFonts w:hint="default" w:ascii="Times New Roman" w:hAnsi="Times New Roman" w:eastAsia="宋体" w:cs="Times New Roman"/>
                <w:color w:val="auto"/>
                <w:kern w:val="2"/>
                <w:sz w:val="24"/>
                <w:szCs w:val="21"/>
                <w:lang w:val="en-US" w:eastAsia="zh-CN" w:bidi="ar-SA"/>
              </w:rPr>
              <w:t>，本项目排放的废气中有国家环境空气质量标准的污染因子为</w:t>
            </w:r>
            <w:r>
              <w:rPr>
                <w:rFonts w:hint="eastAsia" w:ascii="Times New Roman" w:hAnsi="Times New Roman" w:eastAsia="宋体" w:cs="Times New Roman"/>
                <w:color w:val="auto"/>
                <w:kern w:val="2"/>
                <w:sz w:val="24"/>
                <w:szCs w:val="21"/>
                <w:lang w:val="en-US" w:eastAsia="zh-CN" w:bidi="ar-SA"/>
              </w:rPr>
              <w:t>总悬浮颗粒物（TSP）。</w:t>
            </w:r>
            <w:r>
              <w:rPr>
                <w:rFonts w:hint="eastAsia" w:hAnsi="宋体"/>
                <w:color w:val="auto"/>
                <w:sz w:val="24"/>
                <w:highlight w:val="none"/>
                <w:lang w:val="en-US" w:eastAsia="zh-CN"/>
              </w:rPr>
              <w:t>TSP</w:t>
            </w:r>
            <w:r>
              <w:rPr>
                <w:rFonts w:hint="eastAsia" w:hAnsi="宋体"/>
                <w:color w:val="auto"/>
                <w:sz w:val="24"/>
                <w:highlight w:val="none"/>
              </w:rPr>
              <w:t>监测数据引用</w:t>
            </w:r>
            <w:r>
              <w:rPr>
                <w:rFonts w:ascii="Times New Roman" w:hAnsi="Times New Roman" w:cs="Times New Roman"/>
                <w:color w:val="auto"/>
                <w:sz w:val="24"/>
                <w:szCs w:val="24"/>
                <w:lang w:eastAsia="zh-CN"/>
              </w:rPr>
              <w:t>《抚顺市马郡城铁矿有限责任公司大东选矿厂尾矿干排综合利用项目环境影响报告书》中对</w:t>
            </w:r>
            <w:r>
              <w:rPr>
                <w:rFonts w:hint="eastAsia" w:ascii="Times New Roman" w:hAnsi="Times New Roman" w:cs="Times New Roman"/>
                <w:color w:val="auto"/>
                <w:sz w:val="24"/>
                <w:szCs w:val="24"/>
                <w:lang w:eastAsia="zh-CN"/>
              </w:rPr>
              <w:t>项目所在地</w:t>
            </w:r>
            <w:r>
              <w:rPr>
                <w:rFonts w:ascii="Times New Roman" w:hAnsi="Times New Roman" w:cs="Times New Roman"/>
                <w:color w:val="auto"/>
                <w:sz w:val="24"/>
                <w:szCs w:val="24"/>
                <w:lang w:eastAsia="zh-CN"/>
              </w:rPr>
              <w:t>的环境空气质量现状监测数据，监测单位为辽宁嘉瑞环境检测有限公司，监测时间为2023年8月20日至8月27日，监测点位于本项目</w:t>
            </w:r>
            <w:r>
              <w:rPr>
                <w:rFonts w:hint="eastAsia" w:ascii="Times New Roman" w:hAnsi="Times New Roman" w:cs="Times New Roman"/>
                <w:color w:val="auto"/>
                <w:sz w:val="24"/>
                <w:szCs w:val="24"/>
                <w:lang w:eastAsia="zh-CN"/>
              </w:rPr>
              <w:t>东</w:t>
            </w:r>
            <w:r>
              <w:rPr>
                <w:rFonts w:ascii="Times New Roman" w:hAnsi="Times New Roman" w:cs="Times New Roman"/>
                <w:color w:val="auto"/>
                <w:sz w:val="24"/>
                <w:szCs w:val="24"/>
                <w:lang w:eastAsia="zh-CN"/>
              </w:rPr>
              <w:t>北侧</w:t>
            </w:r>
            <w:r>
              <w:rPr>
                <w:rFonts w:hint="eastAsia" w:ascii="Times New Roman" w:hAnsi="Times New Roman" w:cs="Times New Roman"/>
                <w:color w:val="auto"/>
                <w:sz w:val="24"/>
                <w:szCs w:val="24"/>
                <w:lang w:val="en-US" w:eastAsia="zh-CN"/>
              </w:rPr>
              <w:t>2931</w:t>
            </w:r>
            <w:r>
              <w:rPr>
                <w:rFonts w:ascii="Times New Roman" w:hAnsi="Times New Roman" w:cs="Times New Roman"/>
                <w:color w:val="auto"/>
                <w:sz w:val="24"/>
                <w:szCs w:val="24"/>
                <w:lang w:eastAsia="zh-CN"/>
              </w:rPr>
              <w:t>m处，因此监测数据引用可行，</w:t>
            </w:r>
            <w:r>
              <w:rPr>
                <w:rFonts w:hint="eastAsia" w:hAnsi="宋体"/>
                <w:color w:val="auto"/>
                <w:sz w:val="24"/>
                <w:highlight w:val="none"/>
              </w:rPr>
              <w:t>监测结果如下。</w:t>
            </w:r>
          </w:p>
          <w:p w14:paraId="5C461DEC">
            <w:pPr>
              <w:pStyle w:val="68"/>
              <w:numPr>
                <w:ilvl w:val="0"/>
                <w:numId w:val="18"/>
              </w:numPr>
              <w:spacing w:line="360" w:lineRule="auto"/>
              <w:ind w:left="0" w:leftChars="0" w:firstLine="0" w:firstLineChars="0"/>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  TSP检测结果</w:t>
            </w:r>
          </w:p>
          <w:tbl>
            <w:tblPr>
              <w:tblStyle w:val="25"/>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65"/>
              <w:gridCol w:w="1201"/>
              <w:gridCol w:w="731"/>
              <w:gridCol w:w="705"/>
              <w:gridCol w:w="928"/>
              <w:gridCol w:w="1012"/>
              <w:gridCol w:w="940"/>
              <w:gridCol w:w="831"/>
              <w:gridCol w:w="693"/>
            </w:tblGrid>
            <w:tr w14:paraId="7A19C3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0" w:type="pct"/>
                  <w:tcBorders>
                    <w:tl2br w:val="nil"/>
                    <w:tr2bl w:val="nil"/>
                  </w:tcBorders>
                  <w:noWrap w:val="0"/>
                  <w:vAlign w:val="center"/>
                </w:tcPr>
                <w:p w14:paraId="3B7A4966">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ascii="Times New Roman" w:hAnsi="Times New Roman" w:eastAsia="宋体" w:cs="Times New Roman"/>
                      <w:color w:val="auto"/>
                    </w:rPr>
                  </w:pPr>
                  <w:r>
                    <w:rPr>
                      <w:rFonts w:ascii="Times New Roman" w:hAnsi="Times New Roman" w:eastAsia="宋体" w:cs="Times New Roman"/>
                      <w:color w:val="auto"/>
                      <w:lang w:eastAsia="zh-CN"/>
                    </w:rPr>
                    <w:t>监测</w:t>
                  </w:r>
                  <w:r>
                    <w:rPr>
                      <w:rFonts w:ascii="Times New Roman" w:hAnsi="Times New Roman" w:eastAsia="宋体" w:cs="Times New Roman"/>
                      <w:color w:val="auto"/>
                      <w:lang w:eastAsia="zh-CN"/>
                    </w:rPr>
                    <w:br w:type="textWrapping"/>
                  </w:r>
                  <w:r>
                    <w:rPr>
                      <w:rFonts w:ascii="Times New Roman" w:hAnsi="Times New Roman" w:eastAsia="宋体" w:cs="Times New Roman"/>
                      <w:color w:val="auto"/>
                      <w:lang w:eastAsia="zh-CN"/>
                    </w:rPr>
                    <w:t>点位</w:t>
                  </w:r>
                </w:p>
              </w:tc>
              <w:tc>
                <w:tcPr>
                  <w:tcW w:w="731" w:type="pct"/>
                  <w:tcBorders>
                    <w:tl2br w:val="nil"/>
                    <w:tr2bl w:val="nil"/>
                  </w:tcBorders>
                  <w:noWrap w:val="0"/>
                  <w:vAlign w:val="center"/>
                </w:tcPr>
                <w:p w14:paraId="6640BD9B">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ascii="Times New Roman" w:hAnsi="Times New Roman" w:eastAsia="宋体" w:cs="Times New Roman"/>
                      <w:color w:val="auto"/>
                      <w:lang w:eastAsia="zh-CN"/>
                    </w:rPr>
                  </w:pPr>
                  <w:r>
                    <w:rPr>
                      <w:rFonts w:ascii="Times New Roman" w:hAnsi="Times New Roman" w:eastAsia="宋体" w:cs="Times New Roman"/>
                      <w:color w:val="auto"/>
                      <w:lang w:eastAsia="zh-CN"/>
                    </w:rPr>
                    <w:t>监测点</w:t>
                  </w:r>
                </w:p>
                <w:p w14:paraId="16C29B3C">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ascii="Times New Roman" w:hAnsi="Times New Roman" w:eastAsia="宋体" w:cs="Times New Roman"/>
                      <w:color w:val="auto"/>
                    </w:rPr>
                  </w:pPr>
                  <w:r>
                    <w:rPr>
                      <w:rFonts w:ascii="Times New Roman" w:hAnsi="Times New Roman" w:eastAsia="宋体" w:cs="Times New Roman"/>
                      <w:color w:val="auto"/>
                      <w:lang w:eastAsia="zh-CN"/>
                    </w:rPr>
                    <w:t>坐标</w:t>
                  </w:r>
                </w:p>
              </w:tc>
              <w:tc>
                <w:tcPr>
                  <w:tcW w:w="445" w:type="pct"/>
                  <w:tcBorders>
                    <w:tl2br w:val="nil"/>
                    <w:tr2bl w:val="nil"/>
                  </w:tcBorders>
                  <w:noWrap w:val="0"/>
                  <w:vAlign w:val="center"/>
                </w:tcPr>
                <w:p w14:paraId="3A4A2915">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ascii="Times New Roman" w:hAnsi="Times New Roman" w:eastAsia="宋体" w:cs="Times New Roman"/>
                      <w:color w:val="auto"/>
                    </w:rPr>
                  </w:pPr>
                  <w:r>
                    <w:rPr>
                      <w:rFonts w:ascii="Times New Roman" w:hAnsi="Times New Roman" w:eastAsia="宋体" w:cs="Times New Roman"/>
                      <w:color w:val="auto"/>
                      <w:lang w:eastAsia="zh-CN"/>
                    </w:rPr>
                    <w:t>污染物</w:t>
                  </w:r>
                </w:p>
              </w:tc>
              <w:tc>
                <w:tcPr>
                  <w:tcW w:w="429" w:type="pct"/>
                  <w:tcBorders>
                    <w:tl2br w:val="nil"/>
                    <w:tr2bl w:val="nil"/>
                  </w:tcBorders>
                  <w:noWrap w:val="0"/>
                  <w:vAlign w:val="center"/>
                </w:tcPr>
                <w:p w14:paraId="68441D6E">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ascii="Times New Roman" w:hAnsi="Times New Roman" w:eastAsia="宋体" w:cs="Times New Roman"/>
                      <w:color w:val="auto"/>
                    </w:rPr>
                  </w:pPr>
                  <w:r>
                    <w:rPr>
                      <w:rFonts w:ascii="Times New Roman" w:hAnsi="Times New Roman" w:eastAsia="宋体" w:cs="Times New Roman"/>
                      <w:color w:val="auto"/>
                      <w:lang w:eastAsia="zh-CN"/>
                    </w:rPr>
                    <w:t>监测时间</w:t>
                  </w:r>
                </w:p>
              </w:tc>
              <w:tc>
                <w:tcPr>
                  <w:tcW w:w="565" w:type="pct"/>
                  <w:tcBorders>
                    <w:tl2br w:val="nil"/>
                    <w:tr2bl w:val="nil"/>
                  </w:tcBorders>
                  <w:noWrap w:val="0"/>
                  <w:vAlign w:val="center"/>
                </w:tcPr>
                <w:p w14:paraId="79021102">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ascii="Times New Roman" w:hAnsi="Times New Roman" w:eastAsia="宋体" w:cs="Times New Roman"/>
                      <w:color w:val="auto"/>
                    </w:rPr>
                  </w:pPr>
                  <w:r>
                    <w:rPr>
                      <w:rFonts w:ascii="Times New Roman" w:hAnsi="Times New Roman" w:eastAsia="宋体" w:cs="Times New Roman"/>
                      <w:color w:val="auto"/>
                      <w:lang w:eastAsia="zh-CN"/>
                    </w:rPr>
                    <w:t>评价标准(μg/m</w:t>
                  </w:r>
                  <w:r>
                    <w:rPr>
                      <w:rFonts w:hint="eastAsia" w:ascii="Times New Roman" w:hAnsi="Times New Roman" w:eastAsia="宋体" w:cs="Times New Roman"/>
                      <w:color w:val="auto"/>
                      <w:vertAlign w:val="superscript"/>
                      <w:lang w:eastAsia="zh-CN"/>
                    </w:rPr>
                    <w:t>3</w:t>
                  </w:r>
                  <w:r>
                    <w:rPr>
                      <w:rFonts w:ascii="Times New Roman" w:hAnsi="Times New Roman" w:eastAsia="宋体" w:cs="Times New Roman"/>
                      <w:color w:val="auto"/>
                      <w:lang w:eastAsia="zh-CN"/>
                    </w:rPr>
                    <w:t>)</w:t>
                  </w:r>
                </w:p>
              </w:tc>
              <w:tc>
                <w:tcPr>
                  <w:tcW w:w="616" w:type="pct"/>
                  <w:tcBorders>
                    <w:tl2br w:val="nil"/>
                    <w:tr2bl w:val="nil"/>
                  </w:tcBorders>
                  <w:noWrap w:val="0"/>
                  <w:vAlign w:val="center"/>
                </w:tcPr>
                <w:p w14:paraId="0F645BCD">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ascii="Times New Roman" w:hAnsi="Times New Roman" w:eastAsia="宋体" w:cs="Times New Roman"/>
                      <w:color w:val="auto"/>
                    </w:rPr>
                  </w:pPr>
                  <w:r>
                    <w:rPr>
                      <w:rFonts w:ascii="Times New Roman" w:hAnsi="Times New Roman" w:eastAsia="宋体" w:cs="Times New Roman"/>
                      <w:color w:val="auto"/>
                      <w:lang w:eastAsia="zh-CN"/>
                    </w:rPr>
                    <w:t>监测浓度范围</w:t>
                  </w:r>
                  <w:r>
                    <w:rPr>
                      <w:rFonts w:ascii="Times New Roman" w:hAnsi="Times New Roman" w:eastAsia="宋体" w:cs="Times New Roman"/>
                      <w:color w:val="auto"/>
                      <w:lang w:eastAsia="zh-CN"/>
                    </w:rPr>
                    <w:br w:type="textWrapping"/>
                  </w:r>
                  <w:r>
                    <w:rPr>
                      <w:rFonts w:ascii="Times New Roman" w:hAnsi="Times New Roman" w:eastAsia="宋体" w:cs="Times New Roman"/>
                      <w:color w:val="auto"/>
                      <w:lang w:eastAsia="zh-CN"/>
                    </w:rPr>
                    <w:t>(μg/m</w:t>
                  </w:r>
                  <w:r>
                    <w:rPr>
                      <w:rFonts w:hint="eastAsia" w:ascii="Times New Roman" w:hAnsi="Times New Roman" w:eastAsia="宋体" w:cs="Times New Roman"/>
                      <w:color w:val="auto"/>
                      <w:vertAlign w:val="superscript"/>
                      <w:lang w:eastAsia="zh-CN"/>
                    </w:rPr>
                    <w:t>3</w:t>
                  </w:r>
                  <w:r>
                    <w:rPr>
                      <w:rFonts w:ascii="Times New Roman" w:hAnsi="Times New Roman" w:eastAsia="宋体" w:cs="Times New Roman"/>
                      <w:color w:val="auto"/>
                      <w:lang w:eastAsia="zh-CN"/>
                    </w:rPr>
                    <w:t>)</w:t>
                  </w:r>
                </w:p>
              </w:tc>
              <w:tc>
                <w:tcPr>
                  <w:tcW w:w="572" w:type="pct"/>
                  <w:tcBorders>
                    <w:tl2br w:val="nil"/>
                    <w:tr2bl w:val="nil"/>
                  </w:tcBorders>
                  <w:noWrap w:val="0"/>
                  <w:vAlign w:val="center"/>
                </w:tcPr>
                <w:p w14:paraId="05D87409">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ascii="Times New Roman" w:hAnsi="Times New Roman" w:eastAsia="宋体" w:cs="Times New Roman"/>
                      <w:color w:val="auto"/>
                    </w:rPr>
                  </w:pPr>
                  <w:r>
                    <w:rPr>
                      <w:rFonts w:ascii="Times New Roman" w:hAnsi="Times New Roman" w:eastAsia="宋体" w:cs="Times New Roman"/>
                      <w:color w:val="auto"/>
                      <w:lang w:eastAsia="zh-CN"/>
                    </w:rPr>
                    <w:t>最大浓度占标率/%</w:t>
                  </w:r>
                </w:p>
              </w:tc>
              <w:tc>
                <w:tcPr>
                  <w:tcW w:w="506" w:type="pct"/>
                  <w:tcBorders>
                    <w:tl2br w:val="nil"/>
                    <w:tr2bl w:val="nil"/>
                  </w:tcBorders>
                  <w:noWrap w:val="0"/>
                  <w:vAlign w:val="center"/>
                </w:tcPr>
                <w:p w14:paraId="0567F81E">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ascii="Times New Roman" w:hAnsi="Times New Roman" w:eastAsia="宋体" w:cs="Times New Roman"/>
                      <w:color w:val="auto"/>
                    </w:rPr>
                  </w:pPr>
                  <w:r>
                    <w:rPr>
                      <w:rFonts w:ascii="Times New Roman" w:hAnsi="Times New Roman" w:eastAsia="宋体" w:cs="Times New Roman"/>
                      <w:color w:val="auto"/>
                      <w:lang w:eastAsia="zh-CN"/>
                    </w:rPr>
                    <w:t>超标</w:t>
                  </w:r>
                  <w:r>
                    <w:rPr>
                      <w:rFonts w:ascii="Times New Roman" w:hAnsi="Times New Roman" w:eastAsia="宋体" w:cs="Times New Roman"/>
                      <w:color w:val="auto"/>
                      <w:lang w:eastAsia="zh-CN"/>
                    </w:rPr>
                    <w:br w:type="textWrapping"/>
                  </w:r>
                  <w:r>
                    <w:rPr>
                      <w:rFonts w:ascii="Times New Roman" w:hAnsi="Times New Roman" w:eastAsia="宋体" w:cs="Times New Roman"/>
                      <w:color w:val="auto"/>
                      <w:lang w:eastAsia="zh-CN"/>
                    </w:rPr>
                    <w:t>率/%</w:t>
                  </w:r>
                </w:p>
              </w:tc>
              <w:tc>
                <w:tcPr>
                  <w:tcW w:w="422" w:type="pct"/>
                  <w:tcBorders>
                    <w:tl2br w:val="nil"/>
                    <w:tr2bl w:val="nil"/>
                  </w:tcBorders>
                  <w:noWrap w:val="0"/>
                  <w:vAlign w:val="center"/>
                </w:tcPr>
                <w:p w14:paraId="593446E9">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ascii="Times New Roman" w:hAnsi="Times New Roman" w:eastAsia="宋体" w:cs="Times New Roman"/>
                      <w:color w:val="auto"/>
                    </w:rPr>
                  </w:pPr>
                  <w:r>
                    <w:rPr>
                      <w:rFonts w:ascii="Times New Roman" w:hAnsi="Times New Roman" w:eastAsia="宋体" w:cs="Times New Roman"/>
                      <w:color w:val="auto"/>
                      <w:lang w:eastAsia="zh-CN"/>
                    </w:rPr>
                    <w:t>达标</w:t>
                  </w:r>
                  <w:r>
                    <w:rPr>
                      <w:rFonts w:ascii="Times New Roman" w:hAnsi="Times New Roman" w:eastAsia="宋体" w:cs="Times New Roman"/>
                      <w:color w:val="auto"/>
                      <w:lang w:eastAsia="zh-CN"/>
                    </w:rPr>
                    <w:br w:type="textWrapping"/>
                  </w:r>
                  <w:r>
                    <w:rPr>
                      <w:rFonts w:ascii="Times New Roman" w:hAnsi="Times New Roman" w:eastAsia="宋体" w:cs="Times New Roman"/>
                      <w:color w:val="auto"/>
                      <w:lang w:eastAsia="zh-CN"/>
                    </w:rPr>
                    <w:t>情况</w:t>
                  </w:r>
                </w:p>
              </w:tc>
            </w:tr>
            <w:tr w14:paraId="56192C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0" w:type="pct"/>
                  <w:tcBorders>
                    <w:tl2br w:val="nil"/>
                    <w:tr2bl w:val="nil"/>
                  </w:tcBorders>
                  <w:noWrap w:val="0"/>
                  <w:vAlign w:val="center"/>
                </w:tcPr>
                <w:p w14:paraId="4B80387D">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ascii="Times New Roman" w:hAnsi="Times New Roman" w:eastAsia="宋体" w:cs="Times New Roman"/>
                      <w:color w:val="auto"/>
                    </w:rPr>
                  </w:pPr>
                  <w:r>
                    <w:rPr>
                      <w:rFonts w:ascii="Times New Roman" w:hAnsi="Times New Roman" w:eastAsia="宋体" w:cs="Times New Roman"/>
                      <w:color w:val="auto"/>
                      <w:lang w:eastAsia="zh-CN"/>
                    </w:rPr>
                    <w:t>抚顺市马郡城铁矿有限责任公司</w:t>
                  </w:r>
                </w:p>
              </w:tc>
              <w:tc>
                <w:tcPr>
                  <w:tcW w:w="731" w:type="pct"/>
                  <w:tcBorders>
                    <w:tl2br w:val="nil"/>
                    <w:tr2bl w:val="nil"/>
                  </w:tcBorders>
                  <w:noWrap w:val="0"/>
                  <w:vAlign w:val="center"/>
                </w:tcPr>
                <w:p w14:paraId="71CAE562">
                  <w:pPr>
                    <w:keepNext w:val="0"/>
                    <w:keepLines w:val="0"/>
                    <w:pageBreakBefore w:val="0"/>
                    <w:widowControl w:val="0"/>
                    <w:kinsoku/>
                    <w:wordWrap/>
                    <w:overflowPunct/>
                    <w:topLinePunct w:val="0"/>
                    <w:autoSpaceDE/>
                    <w:autoSpaceDN/>
                    <w:bidi w:val="0"/>
                    <w:adjustRightInd/>
                    <w:snapToGrid/>
                    <w:spacing w:line="240" w:lineRule="auto"/>
                    <w:jc w:val="center"/>
                    <w:rPr>
                      <w:rFonts w:ascii="Times New Roman" w:hAnsi="Times New Roman" w:eastAsia="宋体" w:cs="Times New Roman"/>
                      <w:color w:val="auto"/>
                      <w:sz w:val="20"/>
                      <w:szCs w:val="20"/>
                      <w:lang w:eastAsia="zh-CN"/>
                    </w:rPr>
                  </w:pPr>
                  <w:r>
                    <w:rPr>
                      <w:rFonts w:ascii="Times New Roman" w:hAnsi="Times New Roman" w:eastAsia="宋体" w:cs="Times New Roman"/>
                      <w:color w:val="auto"/>
                      <w:sz w:val="20"/>
                      <w:szCs w:val="20"/>
                      <w:lang w:eastAsia="zh-CN"/>
                    </w:rPr>
                    <w:t>E12</w:t>
                  </w:r>
                  <w:r>
                    <w:rPr>
                      <w:rFonts w:hint="eastAsia" w:ascii="Times New Roman" w:hAnsi="Times New Roman" w:eastAsia="宋体" w:cs="Times New Roman"/>
                      <w:color w:val="auto"/>
                      <w:sz w:val="20"/>
                      <w:szCs w:val="20"/>
                      <w:lang w:val="en-US" w:eastAsia="zh-CN"/>
                    </w:rPr>
                    <w:t>4</w:t>
                  </w:r>
                  <w:r>
                    <w:rPr>
                      <w:rFonts w:ascii="Times New Roman" w:hAnsi="Times New Roman" w:eastAsia="宋体" w:cs="Times New Roman"/>
                      <w:color w:val="auto"/>
                      <w:sz w:val="20"/>
                      <w:szCs w:val="20"/>
                      <w:lang w:eastAsia="zh-CN"/>
                    </w:rPr>
                    <w:t>°1′17″</w:t>
                  </w:r>
                </w:p>
                <w:p w14:paraId="450471F3">
                  <w:pPr>
                    <w:keepNext w:val="0"/>
                    <w:keepLines w:val="0"/>
                    <w:pageBreakBefore w:val="0"/>
                    <w:widowControl w:val="0"/>
                    <w:kinsoku/>
                    <w:wordWrap/>
                    <w:overflowPunct/>
                    <w:topLinePunct w:val="0"/>
                    <w:autoSpaceDE/>
                    <w:autoSpaceDN/>
                    <w:bidi w:val="0"/>
                    <w:adjustRightInd/>
                    <w:snapToGrid/>
                    <w:spacing w:line="240" w:lineRule="auto"/>
                    <w:jc w:val="center"/>
                    <w:rPr>
                      <w:rFonts w:ascii="Times New Roman" w:hAnsi="Times New Roman" w:eastAsia="宋体" w:cs="Times New Roman"/>
                      <w:color w:val="auto"/>
                    </w:rPr>
                  </w:pPr>
                  <w:r>
                    <w:rPr>
                      <w:rFonts w:ascii="Times New Roman" w:hAnsi="Times New Roman" w:eastAsia="宋体" w:cs="Times New Roman"/>
                      <w:color w:val="auto"/>
                      <w:sz w:val="20"/>
                      <w:szCs w:val="20"/>
                      <w:lang w:eastAsia="zh-CN"/>
                    </w:rPr>
                    <w:t>N41°45′1″</w:t>
                  </w:r>
                </w:p>
              </w:tc>
              <w:tc>
                <w:tcPr>
                  <w:tcW w:w="445" w:type="pct"/>
                  <w:tcBorders>
                    <w:tl2br w:val="nil"/>
                    <w:tr2bl w:val="nil"/>
                  </w:tcBorders>
                  <w:noWrap w:val="0"/>
                  <w:vAlign w:val="center"/>
                </w:tcPr>
                <w:p w14:paraId="6E88F438">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ascii="Times New Roman" w:hAnsi="Times New Roman" w:eastAsia="宋体" w:cs="Times New Roman"/>
                      <w:color w:val="auto"/>
                    </w:rPr>
                  </w:pPr>
                  <w:r>
                    <w:rPr>
                      <w:rFonts w:ascii="Times New Roman" w:hAnsi="Times New Roman" w:eastAsia="宋体" w:cs="Times New Roman"/>
                      <w:color w:val="auto"/>
                      <w:lang w:eastAsia="zh-CN"/>
                    </w:rPr>
                    <w:t>TSP</w:t>
                  </w:r>
                </w:p>
              </w:tc>
              <w:tc>
                <w:tcPr>
                  <w:tcW w:w="429" w:type="pct"/>
                  <w:tcBorders>
                    <w:tl2br w:val="nil"/>
                    <w:tr2bl w:val="nil"/>
                  </w:tcBorders>
                  <w:noWrap w:val="0"/>
                  <w:vAlign w:val="center"/>
                </w:tcPr>
                <w:p w14:paraId="06A75EED">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ascii="Times New Roman" w:hAnsi="Times New Roman" w:eastAsia="宋体" w:cs="Times New Roman"/>
                      <w:color w:val="auto"/>
                    </w:rPr>
                  </w:pPr>
                  <w:r>
                    <w:rPr>
                      <w:rFonts w:ascii="Times New Roman" w:hAnsi="Times New Roman" w:eastAsia="宋体" w:cs="Times New Roman"/>
                      <w:color w:val="auto"/>
                      <w:lang w:eastAsia="zh-CN"/>
                    </w:rPr>
                    <w:t>7d</w:t>
                  </w:r>
                </w:p>
              </w:tc>
              <w:tc>
                <w:tcPr>
                  <w:tcW w:w="565" w:type="pct"/>
                  <w:tcBorders>
                    <w:tl2br w:val="nil"/>
                    <w:tr2bl w:val="nil"/>
                  </w:tcBorders>
                  <w:noWrap w:val="0"/>
                  <w:vAlign w:val="center"/>
                </w:tcPr>
                <w:p w14:paraId="0C2902F2">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ascii="Times New Roman" w:hAnsi="Times New Roman" w:eastAsia="宋体" w:cs="Times New Roman"/>
                      <w:color w:val="auto"/>
                    </w:rPr>
                  </w:pPr>
                  <w:r>
                    <w:rPr>
                      <w:rFonts w:ascii="Times New Roman" w:hAnsi="Times New Roman" w:eastAsia="宋体" w:cs="Times New Roman"/>
                      <w:color w:val="auto"/>
                      <w:lang w:eastAsia="zh-CN"/>
                    </w:rPr>
                    <w:t>300</w:t>
                  </w:r>
                </w:p>
              </w:tc>
              <w:tc>
                <w:tcPr>
                  <w:tcW w:w="616" w:type="pct"/>
                  <w:tcBorders>
                    <w:tl2br w:val="nil"/>
                    <w:tr2bl w:val="nil"/>
                  </w:tcBorders>
                  <w:noWrap w:val="0"/>
                  <w:vAlign w:val="center"/>
                </w:tcPr>
                <w:p w14:paraId="65CF7EBA">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ascii="Times New Roman" w:hAnsi="Times New Roman" w:eastAsia="宋体" w:cs="Times New Roman"/>
                      <w:color w:val="auto"/>
                    </w:rPr>
                  </w:pPr>
                  <w:r>
                    <w:rPr>
                      <w:rFonts w:hint="eastAsia" w:ascii="Times New Roman" w:hAnsi="Times New Roman" w:eastAsia="宋体" w:cs="Times New Roman"/>
                      <w:color w:val="auto"/>
                      <w:lang w:eastAsia="zh-CN"/>
                    </w:rPr>
                    <w:t>222~246</w:t>
                  </w:r>
                </w:p>
              </w:tc>
              <w:tc>
                <w:tcPr>
                  <w:tcW w:w="572" w:type="pct"/>
                  <w:tcBorders>
                    <w:tl2br w:val="nil"/>
                    <w:tr2bl w:val="nil"/>
                  </w:tcBorders>
                  <w:noWrap w:val="0"/>
                  <w:vAlign w:val="center"/>
                </w:tcPr>
                <w:p w14:paraId="4872E434">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ascii="Times New Roman" w:hAnsi="Times New Roman" w:eastAsia="宋体" w:cs="Times New Roman"/>
                      <w:color w:val="auto"/>
                    </w:rPr>
                  </w:pPr>
                  <w:r>
                    <w:rPr>
                      <w:rFonts w:hint="eastAsia" w:ascii="Times New Roman" w:hAnsi="Times New Roman" w:eastAsia="宋体" w:cs="Times New Roman"/>
                      <w:color w:val="auto"/>
                      <w:lang w:eastAsia="zh-CN"/>
                    </w:rPr>
                    <w:t>82</w:t>
                  </w:r>
                </w:p>
              </w:tc>
              <w:tc>
                <w:tcPr>
                  <w:tcW w:w="506" w:type="pct"/>
                  <w:tcBorders>
                    <w:tl2br w:val="nil"/>
                    <w:tr2bl w:val="nil"/>
                  </w:tcBorders>
                  <w:noWrap w:val="0"/>
                  <w:vAlign w:val="center"/>
                </w:tcPr>
                <w:p w14:paraId="6632EF68">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ascii="Times New Roman" w:hAnsi="Times New Roman" w:eastAsia="宋体" w:cs="Times New Roman"/>
                      <w:color w:val="auto"/>
                    </w:rPr>
                  </w:pPr>
                  <w:r>
                    <w:rPr>
                      <w:rFonts w:ascii="Times New Roman" w:hAnsi="Times New Roman" w:eastAsia="宋体" w:cs="Times New Roman"/>
                      <w:color w:val="auto"/>
                      <w:lang w:eastAsia="zh-CN"/>
                    </w:rPr>
                    <w:t>0</w:t>
                  </w:r>
                </w:p>
              </w:tc>
              <w:tc>
                <w:tcPr>
                  <w:tcW w:w="422" w:type="pct"/>
                  <w:tcBorders>
                    <w:tl2br w:val="nil"/>
                    <w:tr2bl w:val="nil"/>
                  </w:tcBorders>
                  <w:noWrap w:val="0"/>
                  <w:vAlign w:val="center"/>
                </w:tcPr>
                <w:p w14:paraId="56FBBB70">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ascii="Times New Roman" w:hAnsi="Times New Roman" w:eastAsia="宋体" w:cs="Times New Roman"/>
                      <w:color w:val="auto"/>
                    </w:rPr>
                  </w:pPr>
                  <w:r>
                    <w:rPr>
                      <w:rFonts w:ascii="Times New Roman" w:hAnsi="Times New Roman" w:eastAsia="宋体" w:cs="Times New Roman"/>
                      <w:color w:val="auto"/>
                      <w:lang w:eastAsia="zh-CN"/>
                    </w:rPr>
                    <w:t>达标</w:t>
                  </w:r>
                </w:p>
              </w:tc>
            </w:tr>
          </w:tbl>
          <w:p w14:paraId="4803E333">
            <w:pPr>
              <w:pStyle w:val="59"/>
              <w:ind w:left="0" w:leftChars="0" w:firstLine="0" w:firstLineChars="0"/>
              <w:rPr>
                <w:color w:val="auto"/>
                <w:highlight w:val="none"/>
              </w:rPr>
            </w:pPr>
          </w:p>
          <w:p w14:paraId="72876EE6">
            <w:pPr>
              <w:pStyle w:val="59"/>
              <w:keepNext w:val="0"/>
              <w:keepLines w:val="0"/>
              <w:pageBreakBefore w:val="0"/>
              <w:widowControl w:val="0"/>
              <w:kinsoku/>
              <w:wordWrap/>
              <w:overflowPunct/>
              <w:topLinePunct w:val="0"/>
              <w:autoSpaceDE/>
              <w:autoSpaceDN/>
              <w:bidi w:val="0"/>
              <w:adjustRightInd/>
              <w:snapToGrid/>
              <w:ind w:left="0" w:leftChars="0" w:firstLine="480" w:firstLineChars="200"/>
              <w:textAlignment w:val="auto"/>
              <w:rPr>
                <w:rFonts w:hint="default" w:ascii="Times New Roman" w:hAnsi="Times New Roman" w:eastAsia="宋体" w:cs="Times New Roman"/>
                <w:color w:val="auto"/>
                <w:kern w:val="2"/>
                <w:sz w:val="24"/>
                <w:szCs w:val="21"/>
                <w:lang w:val="en-US" w:eastAsia="zh-CN" w:bidi="ar-SA"/>
              </w:rPr>
            </w:pPr>
            <w:r>
              <w:rPr>
                <w:rFonts w:hint="default" w:ascii="Times New Roman" w:hAnsi="Times New Roman" w:eastAsia="宋体" w:cs="Times New Roman"/>
                <w:color w:val="auto"/>
                <w:kern w:val="2"/>
                <w:sz w:val="24"/>
                <w:szCs w:val="21"/>
                <w:lang w:val="en-US" w:eastAsia="zh-CN" w:bidi="ar-SA"/>
              </w:rPr>
              <w:t>由上表可以看出</w:t>
            </w:r>
            <w:r>
              <w:rPr>
                <w:rFonts w:hint="eastAsia" w:ascii="Times New Roman" w:hAnsi="Times New Roman" w:eastAsia="宋体" w:cs="Times New Roman"/>
                <w:color w:val="auto"/>
                <w:kern w:val="2"/>
                <w:sz w:val="24"/>
                <w:szCs w:val="21"/>
                <w:lang w:val="en-US" w:eastAsia="zh-CN" w:bidi="ar-SA"/>
              </w:rPr>
              <w:t>，</w:t>
            </w:r>
            <w:r>
              <w:rPr>
                <w:rFonts w:hint="default" w:ascii="Times New Roman" w:hAnsi="Times New Roman" w:eastAsia="宋体" w:cs="Times New Roman"/>
                <w:color w:val="auto"/>
                <w:kern w:val="2"/>
                <w:sz w:val="24"/>
                <w:szCs w:val="21"/>
                <w:lang w:val="en-US" w:eastAsia="zh-CN" w:bidi="ar-SA"/>
              </w:rPr>
              <w:t>该项目所在区域TSP监测结果符合《环境空气质量标准》</w:t>
            </w:r>
            <w:r>
              <w:rPr>
                <w:rFonts w:hint="eastAsia" w:ascii="Times New Roman" w:hAnsi="宋体" w:eastAsia="宋体" w:cs="Times New Roman"/>
                <w:color w:val="auto"/>
                <w:sz w:val="24"/>
                <w:highlight w:val="none"/>
                <w:lang w:eastAsia="zh-CN"/>
              </w:rPr>
              <w:t>中</w:t>
            </w:r>
            <w:r>
              <w:rPr>
                <w:rFonts w:hint="default" w:ascii="Times New Roman" w:hAnsi="Times New Roman" w:eastAsia="宋体" w:cs="Times New Roman"/>
                <w:color w:val="auto"/>
                <w:kern w:val="2"/>
                <w:sz w:val="24"/>
                <w:szCs w:val="21"/>
                <w:lang w:val="en-US" w:eastAsia="zh-CN" w:bidi="ar-SA"/>
              </w:rPr>
              <w:t>二级标准</w:t>
            </w:r>
            <w:r>
              <w:rPr>
                <w:rFonts w:hint="eastAsia" w:ascii="Times New Roman" w:hAnsi="Times New Roman" w:eastAsia="宋体" w:cs="Times New Roman"/>
                <w:color w:val="auto"/>
                <w:kern w:val="2"/>
                <w:sz w:val="24"/>
                <w:szCs w:val="21"/>
                <w:lang w:val="en-US" w:eastAsia="zh-CN" w:bidi="ar-SA"/>
              </w:rPr>
              <w:t>（日</w:t>
            </w:r>
            <w:r>
              <w:rPr>
                <w:rFonts w:hint="default" w:ascii="Times New Roman" w:hAnsi="Times New Roman" w:eastAsia="宋体" w:cs="Times New Roman"/>
                <w:color w:val="auto"/>
                <w:kern w:val="2"/>
                <w:sz w:val="24"/>
                <w:szCs w:val="21"/>
                <w:lang w:val="en-US" w:eastAsia="zh-CN" w:bidi="ar-SA"/>
              </w:rPr>
              <w:t>平均浓度&lt;</w:t>
            </w:r>
            <w:r>
              <w:rPr>
                <w:rFonts w:hint="eastAsia" w:ascii="Times New Roman" w:hAnsi="Times New Roman" w:eastAsia="宋体" w:cs="Times New Roman"/>
                <w:color w:val="auto"/>
                <w:kern w:val="2"/>
                <w:sz w:val="24"/>
                <w:szCs w:val="21"/>
                <w:lang w:val="en-US" w:eastAsia="zh-CN" w:bidi="ar-SA"/>
              </w:rPr>
              <w:t>300</w:t>
            </w:r>
            <w:r>
              <w:rPr>
                <w:rFonts w:hint="default" w:ascii="Times New Roman" w:hAnsi="Times New Roman" w:eastAsia="宋体" w:cs="Times New Roman"/>
                <w:color w:val="auto"/>
                <w:kern w:val="2"/>
                <w:sz w:val="24"/>
                <w:szCs w:val="21"/>
                <w:lang w:val="en-US" w:eastAsia="zh-CN" w:bidi="ar-SA"/>
              </w:rPr>
              <w:t>μg</w:t>
            </w:r>
            <w:r>
              <w:rPr>
                <w:rFonts w:hint="eastAsia" w:ascii="Times New Roman" w:hAnsi="Times New Roman" w:eastAsia="宋体" w:cs="Times New Roman"/>
                <w:color w:val="auto"/>
                <w:kern w:val="2"/>
                <w:sz w:val="24"/>
                <w:szCs w:val="21"/>
                <w:lang w:val="en-US" w:eastAsia="zh-CN" w:bidi="ar-SA"/>
              </w:rPr>
              <w:t>/</w:t>
            </w:r>
            <w:r>
              <w:rPr>
                <w:rFonts w:hint="default" w:ascii="Times New Roman" w:hAnsi="Times New Roman" w:eastAsia="宋体" w:cs="Times New Roman"/>
                <w:color w:val="auto"/>
                <w:kern w:val="2"/>
                <w:sz w:val="24"/>
                <w:szCs w:val="21"/>
                <w:lang w:val="en-US" w:eastAsia="zh-CN" w:bidi="ar-SA"/>
              </w:rPr>
              <w:t>m</w:t>
            </w:r>
            <w:r>
              <w:rPr>
                <w:rFonts w:hint="eastAsia" w:ascii="Times New Roman" w:hAnsi="Times New Roman" w:eastAsia="宋体" w:cs="Times New Roman"/>
                <w:color w:val="auto"/>
                <w:kern w:val="2"/>
                <w:sz w:val="24"/>
                <w:szCs w:val="21"/>
                <w:vertAlign w:val="superscript"/>
                <w:lang w:val="en-US" w:eastAsia="zh-CN" w:bidi="ar-SA"/>
              </w:rPr>
              <w:t>3</w:t>
            </w:r>
            <w:r>
              <w:rPr>
                <w:rFonts w:hint="eastAsia" w:ascii="Times New Roman" w:hAnsi="Times New Roman" w:eastAsia="宋体" w:cs="Times New Roman"/>
                <w:color w:val="auto"/>
                <w:kern w:val="2"/>
                <w:sz w:val="24"/>
                <w:szCs w:val="21"/>
                <w:lang w:val="en-US" w:eastAsia="zh-CN" w:bidi="ar-SA"/>
              </w:rPr>
              <w:t>）</w:t>
            </w:r>
            <w:r>
              <w:rPr>
                <w:rFonts w:hint="default" w:ascii="Times New Roman" w:hAnsi="Times New Roman" w:eastAsia="宋体" w:cs="Times New Roman"/>
                <w:color w:val="auto"/>
                <w:kern w:val="2"/>
                <w:sz w:val="24"/>
                <w:szCs w:val="21"/>
                <w:lang w:val="en-US" w:eastAsia="zh-CN" w:bidi="ar-SA"/>
              </w:rPr>
              <w:t>。</w:t>
            </w:r>
          </w:p>
          <w:p w14:paraId="2969AE47">
            <w:pPr>
              <w:pStyle w:val="68"/>
              <w:rPr>
                <w:color w:val="auto"/>
                <w:sz w:val="24"/>
                <w:highlight w:val="none"/>
              </w:rPr>
            </w:pPr>
            <w:r>
              <w:rPr>
                <w:rFonts w:hint="eastAsia"/>
                <w:color w:val="auto"/>
                <w:sz w:val="24"/>
                <w:highlight w:val="none"/>
              </w:rPr>
              <w:t>2、</w:t>
            </w:r>
            <w:r>
              <w:rPr>
                <w:color w:val="auto"/>
                <w:sz w:val="24"/>
                <w:highlight w:val="none"/>
              </w:rPr>
              <w:t>地表水环境</w:t>
            </w:r>
          </w:p>
          <w:p w14:paraId="07EACDED">
            <w:pPr>
              <w:adjustRightInd w:val="0"/>
              <w:snapToGrid w:val="0"/>
              <w:ind w:firstLine="480" w:firstLineChars="200"/>
              <w:rPr>
                <w:rFonts w:hint="eastAsia" w:ascii="Times New Roman" w:hAnsi="Times New Roman" w:cs="Times New Roman"/>
                <w:color w:val="auto"/>
                <w:sz w:val="24"/>
                <w:szCs w:val="24"/>
                <w:lang w:eastAsia="zh-CN"/>
              </w:rPr>
            </w:pPr>
            <w:r>
              <w:rPr>
                <w:rFonts w:hint="eastAsia" w:ascii="Times New Roman" w:hAnsi="Times New Roman" w:cs="Times New Roman"/>
                <w:color w:val="auto"/>
                <w:sz w:val="24"/>
                <w:szCs w:val="24"/>
                <w:lang w:eastAsia="zh-CN"/>
              </w:rPr>
              <w:t>根据《抚顺市人民政府办公厅关于调整抚顺市地表水环境功能区划的通知》（抚政办发〔</w:t>
            </w:r>
            <w:r>
              <w:rPr>
                <w:rFonts w:ascii="Times New Roman" w:hAnsi="Times New Roman" w:cs="Times New Roman"/>
                <w:color w:val="auto"/>
                <w:sz w:val="24"/>
                <w:szCs w:val="24"/>
                <w:lang w:eastAsia="zh-CN"/>
              </w:rPr>
              <w:t>2016</w:t>
            </w:r>
            <w:r>
              <w:rPr>
                <w:rFonts w:hint="eastAsia" w:ascii="Times New Roman" w:hAnsi="Times New Roman" w:cs="Times New Roman"/>
                <w:color w:val="auto"/>
                <w:sz w:val="24"/>
                <w:szCs w:val="24"/>
                <w:lang w:eastAsia="zh-CN"/>
              </w:rPr>
              <w:t>〕</w:t>
            </w:r>
            <w:r>
              <w:rPr>
                <w:rFonts w:ascii="Times New Roman" w:hAnsi="Times New Roman" w:cs="Times New Roman"/>
                <w:color w:val="auto"/>
                <w:sz w:val="24"/>
                <w:szCs w:val="24"/>
                <w:lang w:eastAsia="zh-CN"/>
              </w:rPr>
              <w:t>32</w:t>
            </w:r>
            <w:r>
              <w:rPr>
                <w:rFonts w:hint="eastAsia" w:ascii="Times New Roman" w:hAnsi="Times New Roman" w:cs="Times New Roman"/>
                <w:color w:val="auto"/>
                <w:sz w:val="24"/>
                <w:szCs w:val="24"/>
                <w:lang w:eastAsia="zh-CN"/>
              </w:rPr>
              <w:t>号），本项目所在地距离较近的地表水水体为东洲河（王木—河口），地表水水质现状监测引用《抚顺市生态环境质量报告书》（2024年）中东洲河口断面2024年度的监测数据。</w:t>
            </w:r>
          </w:p>
          <w:p w14:paraId="2099314B">
            <w:pPr>
              <w:autoSpaceDE w:val="0"/>
              <w:autoSpaceDN w:val="0"/>
              <w:adjustRightInd w:val="0"/>
              <w:ind w:firstLine="480" w:firstLineChars="200"/>
              <w:rPr>
                <w:rFonts w:hint="eastAsia"/>
                <w:color w:val="auto"/>
                <w:sz w:val="24"/>
                <w:highlight w:val="none"/>
              </w:rPr>
            </w:pPr>
            <w:r>
              <w:rPr>
                <w:color w:val="auto"/>
                <w:sz w:val="24"/>
                <w:highlight w:val="none"/>
              </w:rPr>
              <w:t>（1）监测断面</w:t>
            </w:r>
            <w:r>
              <w:rPr>
                <w:rFonts w:hint="eastAsia"/>
                <w:color w:val="auto"/>
                <w:sz w:val="24"/>
                <w:highlight w:val="none"/>
              </w:rPr>
              <w:t>：</w:t>
            </w:r>
            <w:r>
              <w:rPr>
                <w:rFonts w:hint="eastAsia" w:ascii="Times New Roman" w:hAnsi="Times New Roman" w:cs="Times New Roman"/>
                <w:color w:val="auto"/>
                <w:sz w:val="24"/>
                <w:szCs w:val="24"/>
                <w:lang w:eastAsia="zh-CN"/>
              </w:rPr>
              <w:t>东洲河（东洲河口）</w:t>
            </w:r>
          </w:p>
          <w:p w14:paraId="4E0CE7FA">
            <w:pPr>
              <w:autoSpaceDE w:val="0"/>
              <w:autoSpaceDN w:val="0"/>
              <w:adjustRightInd w:val="0"/>
              <w:ind w:firstLine="480" w:firstLineChars="200"/>
              <w:rPr>
                <w:rFonts w:hint="eastAsia" w:eastAsia="宋体"/>
                <w:color w:val="auto"/>
                <w:sz w:val="24"/>
                <w:highlight w:val="none"/>
                <w:lang w:eastAsia="zh-CN"/>
              </w:rPr>
            </w:pPr>
            <w:r>
              <w:rPr>
                <w:color w:val="auto"/>
                <w:sz w:val="24"/>
                <w:highlight w:val="none"/>
              </w:rPr>
              <w:t>（2）监测</w:t>
            </w:r>
            <w:r>
              <w:rPr>
                <w:rFonts w:hint="eastAsia"/>
                <w:color w:val="auto"/>
                <w:sz w:val="24"/>
                <w:highlight w:val="none"/>
                <w:lang w:eastAsia="zh-CN"/>
              </w:rPr>
              <w:t>因子</w:t>
            </w:r>
          </w:p>
          <w:p w14:paraId="77FB8C5E">
            <w:pPr>
              <w:adjustRightInd w:val="0"/>
              <w:snapToGrid w:val="0"/>
              <w:ind w:firstLine="600" w:firstLineChars="250"/>
              <w:rPr>
                <w:color w:val="auto"/>
                <w:sz w:val="24"/>
                <w:highlight w:val="none"/>
              </w:rPr>
            </w:pPr>
            <w:r>
              <w:rPr>
                <w:color w:val="auto"/>
                <w:sz w:val="24"/>
                <w:highlight w:val="none"/>
              </w:rPr>
              <w:t>监测项目为：化学需氧量、</w:t>
            </w:r>
            <w:r>
              <w:rPr>
                <w:rFonts w:hint="eastAsia"/>
                <w:color w:val="auto"/>
                <w:sz w:val="24"/>
                <w:highlight w:val="none"/>
              </w:rPr>
              <w:t>高锰酸盐指数，五日生化需氧量、石油类、氨氮和总磷，</w:t>
            </w:r>
            <w:r>
              <w:rPr>
                <w:color w:val="auto"/>
                <w:sz w:val="24"/>
                <w:highlight w:val="none"/>
              </w:rPr>
              <w:t>共</w:t>
            </w:r>
            <w:r>
              <w:rPr>
                <w:rFonts w:hint="eastAsia"/>
                <w:color w:val="auto"/>
                <w:sz w:val="24"/>
                <w:highlight w:val="none"/>
              </w:rPr>
              <w:t>6</w:t>
            </w:r>
            <w:r>
              <w:rPr>
                <w:color w:val="auto"/>
                <w:sz w:val="24"/>
                <w:highlight w:val="none"/>
              </w:rPr>
              <w:t>项。</w:t>
            </w:r>
          </w:p>
          <w:p w14:paraId="0169620F">
            <w:pPr>
              <w:autoSpaceDE w:val="0"/>
              <w:autoSpaceDN w:val="0"/>
              <w:adjustRightInd w:val="0"/>
              <w:ind w:firstLine="480" w:firstLineChars="200"/>
              <w:rPr>
                <w:color w:val="auto"/>
                <w:sz w:val="24"/>
                <w:highlight w:val="none"/>
              </w:rPr>
            </w:pPr>
            <w:r>
              <w:rPr>
                <w:color w:val="auto"/>
                <w:sz w:val="24"/>
                <w:highlight w:val="none"/>
              </w:rPr>
              <w:t>（3）分析方法</w:t>
            </w:r>
          </w:p>
          <w:p w14:paraId="077D8569">
            <w:pPr>
              <w:adjustRightInd w:val="0"/>
              <w:snapToGrid w:val="0"/>
              <w:ind w:firstLine="480" w:firstLineChars="200"/>
              <w:rPr>
                <w:color w:val="auto"/>
                <w:sz w:val="24"/>
                <w:highlight w:val="none"/>
              </w:rPr>
            </w:pPr>
            <w:r>
              <w:rPr>
                <w:color w:val="auto"/>
                <w:sz w:val="24"/>
                <w:highlight w:val="none"/>
              </w:rPr>
              <w:t>国家标准分析方法和《水和废水监测分析方法》第四版中规定的方法。</w:t>
            </w:r>
          </w:p>
          <w:p w14:paraId="707AFA58">
            <w:pPr>
              <w:autoSpaceDE w:val="0"/>
              <w:autoSpaceDN w:val="0"/>
              <w:adjustRightInd w:val="0"/>
              <w:ind w:firstLine="480" w:firstLineChars="200"/>
              <w:rPr>
                <w:color w:val="auto"/>
                <w:sz w:val="24"/>
                <w:highlight w:val="none"/>
              </w:rPr>
            </w:pPr>
            <w:r>
              <w:rPr>
                <w:color w:val="auto"/>
                <w:sz w:val="24"/>
                <w:highlight w:val="none"/>
              </w:rPr>
              <w:t>（4）评价标准及方法</w:t>
            </w:r>
          </w:p>
          <w:p w14:paraId="7449C60B">
            <w:pPr>
              <w:widowControl/>
              <w:ind w:firstLine="480" w:firstLineChars="200"/>
              <w:rPr>
                <w:color w:val="auto"/>
                <w:sz w:val="24"/>
                <w:highlight w:val="none"/>
              </w:rPr>
            </w:pPr>
            <w:r>
              <w:rPr>
                <w:color w:val="auto"/>
                <w:sz w:val="24"/>
                <w:highlight w:val="none"/>
              </w:rPr>
              <w:t>一般水质因子采用水质指数法进行评价：</w:t>
            </w:r>
          </w:p>
          <w:p w14:paraId="4EF8AD08">
            <w:pPr>
              <w:widowControl/>
              <w:ind w:firstLine="480" w:firstLineChars="200"/>
              <w:jc w:val="center"/>
              <w:rPr>
                <w:color w:val="auto"/>
                <w:sz w:val="24"/>
                <w:highlight w:val="none"/>
              </w:rPr>
            </w:pPr>
            <w:r>
              <w:rPr>
                <w:color w:val="auto"/>
                <w:sz w:val="24"/>
                <w:highlight w:val="none"/>
              </w:rPr>
              <w:object>
                <v:shape id="_x0000_i1031" o:spt="75" type="#_x0000_t75" style="height:16pt;width:74pt;" o:ole="t" filled="f" o:preferrelative="t" stroked="f" coordsize="21600,21600">
                  <v:path/>
                  <v:fill on="f" focussize="0,0"/>
                  <v:stroke on="f"/>
                  <v:imagedata r:id="rId13" o:title=""/>
                  <o:lock v:ext="edit" grouping="f" rotation="f" text="f" aspectratio="t"/>
                  <w10:wrap type="none"/>
                  <w10:anchorlock/>
                </v:shape>
                <o:OLEObject Type="Embed" ProgID="Equation.KSEE3" ShapeID="_x0000_i1031" DrawAspect="Content" ObjectID="_1468075725" r:id="rId12">
                  <o:LockedField>false</o:LockedField>
                </o:OLEObject>
              </w:object>
            </w:r>
          </w:p>
          <w:p w14:paraId="1E372758">
            <w:pPr>
              <w:ind w:firstLine="480" w:firstLineChars="200"/>
              <w:rPr>
                <w:color w:val="auto"/>
                <w:sz w:val="24"/>
                <w:highlight w:val="none"/>
              </w:rPr>
            </w:pPr>
            <w:r>
              <w:rPr>
                <w:color w:val="auto"/>
                <w:sz w:val="24"/>
                <w:highlight w:val="none"/>
              </w:rPr>
              <w:t>式中：Si.j-评价因子i的水质指数，大于1表明该水质因子超标；</w:t>
            </w:r>
          </w:p>
          <w:p w14:paraId="65A48377">
            <w:pPr>
              <w:ind w:firstLine="1200" w:firstLineChars="500"/>
              <w:rPr>
                <w:color w:val="auto"/>
                <w:sz w:val="24"/>
                <w:highlight w:val="none"/>
              </w:rPr>
            </w:pPr>
            <w:r>
              <w:rPr>
                <w:color w:val="auto"/>
                <w:sz w:val="24"/>
                <w:highlight w:val="none"/>
              </w:rPr>
              <w:t>Ci.j－评价因子i在j点的实测统计代表值，mg/L；</w:t>
            </w:r>
          </w:p>
          <w:p w14:paraId="295A021C">
            <w:pPr>
              <w:adjustRightInd w:val="0"/>
              <w:snapToGrid w:val="0"/>
              <w:ind w:firstLine="1200" w:firstLineChars="500"/>
              <w:rPr>
                <w:color w:val="auto"/>
                <w:sz w:val="24"/>
                <w:highlight w:val="none"/>
              </w:rPr>
            </w:pPr>
            <w:r>
              <w:rPr>
                <w:color w:val="auto"/>
                <w:sz w:val="24"/>
                <w:highlight w:val="none"/>
              </w:rPr>
              <w:t>Csi－评价因子i的水质评价</w:t>
            </w:r>
            <w:r>
              <w:rPr>
                <w:rFonts w:hint="eastAsia"/>
                <w:color w:val="auto"/>
                <w:sz w:val="24"/>
                <w:highlight w:val="none"/>
                <w:lang w:eastAsia="zh-CN"/>
              </w:rPr>
              <w:t>标准限值</w:t>
            </w:r>
            <w:r>
              <w:rPr>
                <w:color w:val="auto"/>
                <w:sz w:val="24"/>
                <w:highlight w:val="none"/>
              </w:rPr>
              <w:t>，mg/L。</w:t>
            </w:r>
          </w:p>
          <w:p w14:paraId="0BFC7E62">
            <w:pPr>
              <w:pStyle w:val="68"/>
              <w:numPr>
                <w:ilvl w:val="0"/>
                <w:numId w:val="18"/>
              </w:numPr>
              <w:spacing w:line="360" w:lineRule="auto"/>
              <w:ind w:left="0" w:leftChars="0" w:firstLine="0" w:firstLineChars="0"/>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  地表水环境质量监测情况  单位：mg/L</w:t>
            </w:r>
          </w:p>
          <w:tbl>
            <w:tblPr>
              <w:tblStyle w:val="25"/>
              <w:tblW w:w="494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691"/>
              <w:gridCol w:w="863"/>
              <w:gridCol w:w="1199"/>
              <w:gridCol w:w="1024"/>
              <w:gridCol w:w="825"/>
              <w:gridCol w:w="954"/>
              <w:gridCol w:w="703"/>
              <w:gridCol w:w="830"/>
              <w:gridCol w:w="1039"/>
            </w:tblGrid>
            <w:tr w14:paraId="670167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91" w:type="dxa"/>
                  <w:noWrap w:val="0"/>
                  <w:vAlign w:val="center"/>
                </w:tcPr>
                <w:p w14:paraId="65F9781A">
                  <w:pPr>
                    <w:spacing w:line="240" w:lineRule="auto"/>
                    <w:jc w:val="center"/>
                    <w:rPr>
                      <w:color w:val="auto"/>
                      <w:szCs w:val="21"/>
                      <w:highlight w:val="none"/>
                    </w:rPr>
                  </w:pPr>
                  <w:r>
                    <w:rPr>
                      <w:color w:val="auto"/>
                      <w:szCs w:val="21"/>
                      <w:highlight w:val="none"/>
                    </w:rPr>
                    <w:t>断面</w:t>
                  </w:r>
                </w:p>
                <w:p w14:paraId="31EBF6F1">
                  <w:pPr>
                    <w:spacing w:line="240" w:lineRule="auto"/>
                    <w:jc w:val="center"/>
                    <w:rPr>
                      <w:color w:val="auto"/>
                      <w:szCs w:val="21"/>
                      <w:highlight w:val="none"/>
                    </w:rPr>
                  </w:pPr>
                  <w:r>
                    <w:rPr>
                      <w:color w:val="auto"/>
                      <w:szCs w:val="21"/>
                      <w:highlight w:val="none"/>
                    </w:rPr>
                    <w:t>名称</w:t>
                  </w:r>
                </w:p>
              </w:tc>
              <w:tc>
                <w:tcPr>
                  <w:tcW w:w="863" w:type="dxa"/>
                  <w:noWrap w:val="0"/>
                  <w:vAlign w:val="center"/>
                </w:tcPr>
                <w:p w14:paraId="27BCF125">
                  <w:pPr>
                    <w:spacing w:line="240" w:lineRule="auto"/>
                    <w:jc w:val="center"/>
                    <w:rPr>
                      <w:color w:val="auto"/>
                      <w:szCs w:val="21"/>
                      <w:highlight w:val="none"/>
                    </w:rPr>
                  </w:pPr>
                  <w:r>
                    <w:rPr>
                      <w:color w:val="auto"/>
                      <w:szCs w:val="21"/>
                      <w:highlight w:val="none"/>
                    </w:rPr>
                    <w:t>功能区</w:t>
                  </w:r>
                </w:p>
                <w:p w14:paraId="2926CFE6">
                  <w:pPr>
                    <w:spacing w:line="240" w:lineRule="auto"/>
                    <w:jc w:val="center"/>
                    <w:rPr>
                      <w:color w:val="auto"/>
                      <w:szCs w:val="21"/>
                      <w:highlight w:val="none"/>
                    </w:rPr>
                  </w:pPr>
                  <w:r>
                    <w:rPr>
                      <w:color w:val="auto"/>
                      <w:szCs w:val="21"/>
                      <w:highlight w:val="none"/>
                    </w:rPr>
                    <w:t>类别</w:t>
                  </w:r>
                </w:p>
              </w:tc>
              <w:tc>
                <w:tcPr>
                  <w:tcW w:w="1199" w:type="dxa"/>
                  <w:noWrap w:val="0"/>
                  <w:vAlign w:val="center"/>
                </w:tcPr>
                <w:p w14:paraId="7BC21034">
                  <w:pPr>
                    <w:spacing w:line="240" w:lineRule="auto"/>
                    <w:jc w:val="center"/>
                    <w:rPr>
                      <w:color w:val="auto"/>
                      <w:szCs w:val="21"/>
                      <w:highlight w:val="none"/>
                    </w:rPr>
                  </w:pPr>
                  <w:r>
                    <w:rPr>
                      <w:color w:val="auto"/>
                      <w:szCs w:val="21"/>
                      <w:highlight w:val="none"/>
                    </w:rPr>
                    <w:t>统计指标</w:t>
                  </w:r>
                </w:p>
              </w:tc>
              <w:tc>
                <w:tcPr>
                  <w:tcW w:w="1024" w:type="dxa"/>
                  <w:noWrap w:val="0"/>
                  <w:vAlign w:val="center"/>
                </w:tcPr>
                <w:p w14:paraId="0748835F">
                  <w:pPr>
                    <w:spacing w:line="240" w:lineRule="auto"/>
                    <w:jc w:val="center"/>
                    <w:rPr>
                      <w:color w:val="auto"/>
                      <w:szCs w:val="21"/>
                      <w:highlight w:val="none"/>
                    </w:rPr>
                  </w:pPr>
                  <w:r>
                    <w:rPr>
                      <w:color w:val="auto"/>
                      <w:szCs w:val="21"/>
                      <w:highlight w:val="none"/>
                    </w:rPr>
                    <w:t>化学</w:t>
                  </w:r>
                </w:p>
                <w:p w14:paraId="1B92618D">
                  <w:pPr>
                    <w:spacing w:line="240" w:lineRule="auto"/>
                    <w:jc w:val="center"/>
                    <w:rPr>
                      <w:color w:val="auto"/>
                      <w:szCs w:val="21"/>
                      <w:highlight w:val="none"/>
                    </w:rPr>
                  </w:pPr>
                  <w:r>
                    <w:rPr>
                      <w:color w:val="auto"/>
                      <w:szCs w:val="21"/>
                      <w:highlight w:val="none"/>
                    </w:rPr>
                    <w:t>需氧量</w:t>
                  </w:r>
                </w:p>
              </w:tc>
              <w:tc>
                <w:tcPr>
                  <w:tcW w:w="825" w:type="dxa"/>
                  <w:noWrap w:val="0"/>
                  <w:vAlign w:val="center"/>
                </w:tcPr>
                <w:p w14:paraId="3C0E6582">
                  <w:pPr>
                    <w:spacing w:line="240" w:lineRule="auto"/>
                    <w:jc w:val="center"/>
                    <w:rPr>
                      <w:color w:val="auto"/>
                      <w:szCs w:val="21"/>
                      <w:highlight w:val="none"/>
                    </w:rPr>
                  </w:pPr>
                  <w:r>
                    <w:rPr>
                      <w:color w:val="auto"/>
                      <w:szCs w:val="21"/>
                      <w:highlight w:val="none"/>
                    </w:rPr>
                    <w:t>高锰酸盐指数</w:t>
                  </w:r>
                </w:p>
              </w:tc>
              <w:tc>
                <w:tcPr>
                  <w:tcW w:w="954" w:type="dxa"/>
                  <w:noWrap w:val="0"/>
                  <w:vAlign w:val="center"/>
                </w:tcPr>
                <w:p w14:paraId="1E254919">
                  <w:pPr>
                    <w:spacing w:line="240" w:lineRule="auto"/>
                    <w:jc w:val="center"/>
                    <w:rPr>
                      <w:color w:val="auto"/>
                      <w:szCs w:val="21"/>
                      <w:highlight w:val="none"/>
                    </w:rPr>
                  </w:pPr>
                  <w:r>
                    <w:rPr>
                      <w:color w:val="auto"/>
                      <w:szCs w:val="21"/>
                      <w:highlight w:val="none"/>
                    </w:rPr>
                    <w:t>五日生化</w:t>
                  </w:r>
                </w:p>
                <w:p w14:paraId="09608343">
                  <w:pPr>
                    <w:spacing w:line="240" w:lineRule="auto"/>
                    <w:jc w:val="center"/>
                    <w:rPr>
                      <w:color w:val="auto"/>
                      <w:szCs w:val="21"/>
                      <w:highlight w:val="none"/>
                    </w:rPr>
                  </w:pPr>
                  <w:r>
                    <w:rPr>
                      <w:color w:val="auto"/>
                      <w:szCs w:val="21"/>
                      <w:highlight w:val="none"/>
                    </w:rPr>
                    <w:t>需氧量</w:t>
                  </w:r>
                </w:p>
              </w:tc>
              <w:tc>
                <w:tcPr>
                  <w:tcW w:w="703" w:type="dxa"/>
                  <w:noWrap w:val="0"/>
                  <w:vAlign w:val="center"/>
                </w:tcPr>
                <w:p w14:paraId="59FA6AF2">
                  <w:pPr>
                    <w:spacing w:line="240" w:lineRule="auto"/>
                    <w:jc w:val="center"/>
                    <w:rPr>
                      <w:color w:val="auto"/>
                      <w:szCs w:val="21"/>
                      <w:highlight w:val="none"/>
                    </w:rPr>
                  </w:pPr>
                  <w:r>
                    <w:rPr>
                      <w:color w:val="auto"/>
                      <w:szCs w:val="21"/>
                      <w:highlight w:val="none"/>
                    </w:rPr>
                    <w:t>石油类</w:t>
                  </w:r>
                </w:p>
              </w:tc>
              <w:tc>
                <w:tcPr>
                  <w:tcW w:w="830" w:type="dxa"/>
                  <w:noWrap w:val="0"/>
                  <w:vAlign w:val="center"/>
                </w:tcPr>
                <w:p w14:paraId="5DA0D41A">
                  <w:pPr>
                    <w:spacing w:line="240" w:lineRule="auto"/>
                    <w:jc w:val="center"/>
                    <w:rPr>
                      <w:color w:val="auto"/>
                      <w:szCs w:val="21"/>
                      <w:highlight w:val="none"/>
                    </w:rPr>
                  </w:pPr>
                  <w:r>
                    <w:rPr>
                      <w:color w:val="auto"/>
                      <w:szCs w:val="21"/>
                      <w:highlight w:val="none"/>
                    </w:rPr>
                    <w:t>氨氮</w:t>
                  </w:r>
                </w:p>
              </w:tc>
              <w:tc>
                <w:tcPr>
                  <w:tcW w:w="1039" w:type="dxa"/>
                  <w:noWrap w:val="0"/>
                  <w:vAlign w:val="center"/>
                </w:tcPr>
                <w:p w14:paraId="0C4E82AB">
                  <w:pPr>
                    <w:spacing w:line="240" w:lineRule="auto"/>
                    <w:jc w:val="center"/>
                    <w:rPr>
                      <w:color w:val="auto"/>
                      <w:szCs w:val="21"/>
                      <w:highlight w:val="none"/>
                    </w:rPr>
                  </w:pPr>
                  <w:r>
                    <w:rPr>
                      <w:color w:val="auto"/>
                      <w:szCs w:val="21"/>
                      <w:highlight w:val="none"/>
                    </w:rPr>
                    <w:t>总磷</w:t>
                  </w:r>
                </w:p>
              </w:tc>
            </w:tr>
            <w:tr w14:paraId="2FEA63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91" w:type="dxa"/>
                  <w:vMerge w:val="restart"/>
                  <w:noWrap w:val="0"/>
                  <w:vAlign w:val="center"/>
                </w:tcPr>
                <w:p w14:paraId="7333F383">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color w:val="auto"/>
                      <w:szCs w:val="21"/>
                      <w:highlight w:val="none"/>
                    </w:rPr>
                  </w:pPr>
                  <w:r>
                    <w:rPr>
                      <w:rFonts w:ascii="Times New Roman" w:hAnsi="Times New Roman" w:eastAsia="宋体" w:cs="Times New Roman"/>
                      <w:color w:val="auto"/>
                      <w:lang w:eastAsia="zh-CN"/>
                    </w:rPr>
                    <w:t>东洲河</w:t>
                  </w:r>
                  <w:r>
                    <w:rPr>
                      <w:rFonts w:hint="eastAsia" w:ascii="Times New Roman" w:hAnsi="Times New Roman" w:eastAsia="宋体" w:cs="Times New Roman"/>
                      <w:color w:val="auto"/>
                      <w:lang w:eastAsia="zh-CN"/>
                    </w:rPr>
                    <w:t>口</w:t>
                  </w:r>
                </w:p>
              </w:tc>
              <w:tc>
                <w:tcPr>
                  <w:tcW w:w="863" w:type="dxa"/>
                  <w:vMerge w:val="restart"/>
                  <w:noWrap w:val="0"/>
                  <w:vAlign w:val="center"/>
                </w:tcPr>
                <w:p w14:paraId="44507B96">
                  <w:pPr>
                    <w:spacing w:line="240" w:lineRule="auto"/>
                    <w:jc w:val="center"/>
                    <w:rPr>
                      <w:color w:val="auto"/>
                      <w:szCs w:val="21"/>
                      <w:highlight w:val="none"/>
                    </w:rPr>
                  </w:pPr>
                  <w:r>
                    <w:rPr>
                      <w:rFonts w:hint="eastAsia"/>
                      <w:color w:val="auto"/>
                      <w:sz w:val="21"/>
                      <w:szCs w:val="21"/>
                      <w:highlight w:val="none"/>
                      <w:lang w:eastAsia="zh-CN"/>
                    </w:rPr>
                    <w:fldChar w:fldCharType="begin"/>
                  </w:r>
                  <w:r>
                    <w:rPr>
                      <w:rFonts w:hint="eastAsia"/>
                      <w:color w:val="auto"/>
                      <w:sz w:val="21"/>
                      <w:szCs w:val="21"/>
                      <w:highlight w:val="none"/>
                      <w:lang w:eastAsia="zh-CN"/>
                    </w:rPr>
                    <w:instrText xml:space="preserve"> = 3 \* ROMAN \* MERGEFORMAT </w:instrText>
                  </w:r>
                  <w:r>
                    <w:rPr>
                      <w:rFonts w:hint="eastAsia"/>
                      <w:color w:val="auto"/>
                      <w:sz w:val="21"/>
                      <w:szCs w:val="21"/>
                      <w:highlight w:val="none"/>
                      <w:lang w:eastAsia="zh-CN"/>
                    </w:rPr>
                    <w:fldChar w:fldCharType="separate"/>
                  </w:r>
                  <w:r>
                    <w:rPr>
                      <w:color w:val="auto"/>
                      <w:sz w:val="21"/>
                      <w:szCs w:val="21"/>
                    </w:rPr>
                    <w:t>III</w:t>
                  </w:r>
                  <w:r>
                    <w:rPr>
                      <w:rFonts w:hint="eastAsia"/>
                      <w:color w:val="auto"/>
                      <w:sz w:val="21"/>
                      <w:szCs w:val="21"/>
                      <w:highlight w:val="none"/>
                      <w:lang w:eastAsia="zh-CN"/>
                    </w:rPr>
                    <w:fldChar w:fldCharType="end"/>
                  </w:r>
                </w:p>
              </w:tc>
              <w:tc>
                <w:tcPr>
                  <w:tcW w:w="1199" w:type="dxa"/>
                  <w:noWrap w:val="0"/>
                  <w:vAlign w:val="center"/>
                </w:tcPr>
                <w:p w14:paraId="2AD8BF5A">
                  <w:pPr>
                    <w:spacing w:line="240" w:lineRule="auto"/>
                    <w:jc w:val="center"/>
                    <w:rPr>
                      <w:color w:val="auto"/>
                      <w:szCs w:val="21"/>
                      <w:highlight w:val="none"/>
                    </w:rPr>
                  </w:pPr>
                  <w:r>
                    <w:rPr>
                      <w:color w:val="auto"/>
                      <w:szCs w:val="21"/>
                      <w:highlight w:val="none"/>
                    </w:rPr>
                    <w:t>年均浓度</w:t>
                  </w:r>
                </w:p>
              </w:tc>
              <w:tc>
                <w:tcPr>
                  <w:tcW w:w="1024" w:type="dxa"/>
                  <w:noWrap w:val="0"/>
                  <w:vAlign w:val="center"/>
                </w:tcPr>
                <w:p w14:paraId="35B3EAED">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default" w:eastAsia="宋体"/>
                      <w:color w:val="auto"/>
                      <w:szCs w:val="21"/>
                      <w:highlight w:val="none"/>
                      <w:lang w:val="en-US" w:eastAsia="zh-CN"/>
                    </w:rPr>
                  </w:pPr>
                  <w:r>
                    <w:rPr>
                      <w:rFonts w:ascii="Times New Roman" w:hAnsi="Times New Roman" w:eastAsia="宋体" w:cs="Times New Roman"/>
                      <w:color w:val="auto"/>
                      <w:lang w:eastAsia="zh-CN"/>
                    </w:rPr>
                    <w:t>1</w:t>
                  </w:r>
                  <w:r>
                    <w:rPr>
                      <w:rFonts w:hint="eastAsia" w:ascii="Times New Roman" w:hAnsi="Times New Roman" w:eastAsia="宋体" w:cs="Times New Roman"/>
                      <w:color w:val="auto"/>
                      <w:lang w:val="en-US" w:eastAsia="zh-CN"/>
                    </w:rPr>
                    <w:t>5.7</w:t>
                  </w:r>
                </w:p>
              </w:tc>
              <w:tc>
                <w:tcPr>
                  <w:tcW w:w="825" w:type="dxa"/>
                  <w:noWrap w:val="0"/>
                  <w:vAlign w:val="center"/>
                </w:tcPr>
                <w:p w14:paraId="570C283F">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default" w:eastAsia="宋体"/>
                      <w:color w:val="auto"/>
                      <w:szCs w:val="21"/>
                      <w:highlight w:val="none"/>
                      <w:lang w:val="en-US" w:eastAsia="zh-CN"/>
                    </w:rPr>
                  </w:pPr>
                  <w:r>
                    <w:rPr>
                      <w:rFonts w:ascii="Times New Roman" w:hAnsi="Times New Roman" w:eastAsia="宋体" w:cs="Times New Roman"/>
                      <w:color w:val="auto"/>
                      <w:lang w:eastAsia="zh-CN"/>
                    </w:rPr>
                    <w:t>3.</w:t>
                  </w:r>
                  <w:r>
                    <w:rPr>
                      <w:rFonts w:hint="eastAsia" w:ascii="Times New Roman" w:hAnsi="Times New Roman" w:eastAsia="宋体" w:cs="Times New Roman"/>
                      <w:color w:val="auto"/>
                      <w:lang w:val="en-US" w:eastAsia="zh-CN"/>
                    </w:rPr>
                    <w:t>0</w:t>
                  </w:r>
                </w:p>
              </w:tc>
              <w:tc>
                <w:tcPr>
                  <w:tcW w:w="954" w:type="dxa"/>
                  <w:noWrap w:val="0"/>
                  <w:vAlign w:val="center"/>
                </w:tcPr>
                <w:p w14:paraId="52DECC2B">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color w:val="auto"/>
                      <w:szCs w:val="21"/>
                      <w:highlight w:val="none"/>
                    </w:rPr>
                  </w:pPr>
                  <w:r>
                    <w:rPr>
                      <w:rFonts w:ascii="Times New Roman" w:hAnsi="Times New Roman" w:eastAsia="宋体" w:cs="Times New Roman"/>
                      <w:color w:val="auto"/>
                      <w:lang w:eastAsia="zh-CN"/>
                    </w:rPr>
                    <w:t>2.</w:t>
                  </w:r>
                  <w:r>
                    <w:rPr>
                      <w:rFonts w:hint="eastAsia" w:ascii="Times New Roman" w:hAnsi="Times New Roman" w:eastAsia="宋体" w:cs="Times New Roman"/>
                      <w:color w:val="auto"/>
                      <w:lang w:val="en-US" w:eastAsia="zh-CN"/>
                    </w:rPr>
                    <w:t>0</w:t>
                  </w:r>
                </w:p>
              </w:tc>
              <w:tc>
                <w:tcPr>
                  <w:tcW w:w="703" w:type="dxa"/>
                  <w:noWrap w:val="0"/>
                  <w:vAlign w:val="center"/>
                </w:tcPr>
                <w:p w14:paraId="10DAFDA0">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eastAsia" w:eastAsia="宋体"/>
                      <w:color w:val="auto"/>
                      <w:szCs w:val="21"/>
                      <w:highlight w:val="none"/>
                      <w:lang w:eastAsia="zh-CN"/>
                    </w:rPr>
                  </w:pPr>
                  <w:r>
                    <w:rPr>
                      <w:rFonts w:ascii="Times New Roman" w:hAnsi="Times New Roman" w:eastAsia="宋体" w:cs="Times New Roman"/>
                      <w:color w:val="auto"/>
                      <w:lang w:eastAsia="zh-CN"/>
                    </w:rPr>
                    <w:t>0.0</w:t>
                  </w:r>
                  <w:r>
                    <w:rPr>
                      <w:rFonts w:hint="eastAsia" w:ascii="Times New Roman" w:hAnsi="Times New Roman" w:eastAsia="宋体" w:cs="Times New Roman"/>
                      <w:color w:val="auto"/>
                      <w:lang w:val="en-US" w:eastAsia="zh-CN"/>
                    </w:rPr>
                    <w:t>4</w:t>
                  </w:r>
                </w:p>
              </w:tc>
              <w:tc>
                <w:tcPr>
                  <w:tcW w:w="830" w:type="dxa"/>
                  <w:noWrap w:val="0"/>
                  <w:vAlign w:val="center"/>
                </w:tcPr>
                <w:p w14:paraId="29710E33">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default" w:eastAsia="宋体"/>
                      <w:color w:val="auto"/>
                      <w:szCs w:val="21"/>
                      <w:highlight w:val="none"/>
                      <w:lang w:val="en-US" w:eastAsia="zh-CN"/>
                    </w:rPr>
                  </w:pPr>
                  <w:r>
                    <w:rPr>
                      <w:rFonts w:ascii="Times New Roman" w:hAnsi="Times New Roman" w:eastAsia="宋体" w:cs="Times New Roman"/>
                      <w:color w:val="auto"/>
                      <w:lang w:eastAsia="zh-CN"/>
                    </w:rPr>
                    <w:t>0.</w:t>
                  </w:r>
                  <w:r>
                    <w:rPr>
                      <w:rFonts w:hint="eastAsia" w:ascii="Times New Roman" w:hAnsi="Times New Roman" w:eastAsia="宋体" w:cs="Times New Roman"/>
                      <w:color w:val="auto"/>
                      <w:lang w:val="en-US" w:eastAsia="zh-CN"/>
                    </w:rPr>
                    <w:t>41</w:t>
                  </w:r>
                </w:p>
              </w:tc>
              <w:tc>
                <w:tcPr>
                  <w:tcW w:w="1039" w:type="dxa"/>
                  <w:noWrap w:val="0"/>
                  <w:vAlign w:val="center"/>
                </w:tcPr>
                <w:p w14:paraId="4DE310BE">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default" w:eastAsia="宋体"/>
                      <w:color w:val="auto"/>
                      <w:szCs w:val="21"/>
                      <w:highlight w:val="none"/>
                      <w:lang w:val="en-US" w:eastAsia="zh-CN"/>
                    </w:rPr>
                  </w:pPr>
                  <w:r>
                    <w:rPr>
                      <w:rFonts w:ascii="Times New Roman" w:hAnsi="Times New Roman" w:eastAsia="宋体" w:cs="Times New Roman"/>
                      <w:color w:val="auto"/>
                      <w:lang w:eastAsia="zh-CN"/>
                    </w:rPr>
                    <w:t>0.10</w:t>
                  </w:r>
                  <w:r>
                    <w:rPr>
                      <w:rFonts w:hint="eastAsia" w:ascii="Times New Roman" w:hAnsi="Times New Roman" w:eastAsia="宋体" w:cs="Times New Roman"/>
                      <w:color w:val="auto"/>
                      <w:lang w:val="en-US" w:eastAsia="zh-CN"/>
                    </w:rPr>
                    <w:t>4</w:t>
                  </w:r>
                </w:p>
              </w:tc>
            </w:tr>
            <w:tr w14:paraId="3D5C87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91" w:type="dxa"/>
                  <w:vMerge w:val="continue"/>
                  <w:noWrap w:val="0"/>
                  <w:vAlign w:val="center"/>
                </w:tcPr>
                <w:p w14:paraId="3AA335D2">
                  <w:pPr>
                    <w:spacing w:line="240" w:lineRule="auto"/>
                    <w:jc w:val="center"/>
                    <w:rPr>
                      <w:color w:val="auto"/>
                      <w:szCs w:val="21"/>
                      <w:highlight w:val="none"/>
                    </w:rPr>
                  </w:pPr>
                </w:p>
              </w:tc>
              <w:tc>
                <w:tcPr>
                  <w:tcW w:w="863" w:type="dxa"/>
                  <w:vMerge w:val="continue"/>
                  <w:noWrap w:val="0"/>
                  <w:vAlign w:val="center"/>
                </w:tcPr>
                <w:p w14:paraId="42FA4A2F">
                  <w:pPr>
                    <w:spacing w:line="240" w:lineRule="auto"/>
                    <w:jc w:val="center"/>
                    <w:rPr>
                      <w:color w:val="auto"/>
                      <w:szCs w:val="21"/>
                      <w:highlight w:val="none"/>
                    </w:rPr>
                  </w:pPr>
                </w:p>
              </w:tc>
              <w:tc>
                <w:tcPr>
                  <w:tcW w:w="1199" w:type="dxa"/>
                  <w:noWrap w:val="0"/>
                  <w:vAlign w:val="center"/>
                </w:tcPr>
                <w:p w14:paraId="66D29E70">
                  <w:pPr>
                    <w:spacing w:line="240" w:lineRule="auto"/>
                    <w:jc w:val="center"/>
                    <w:rPr>
                      <w:color w:val="auto"/>
                      <w:szCs w:val="21"/>
                      <w:highlight w:val="none"/>
                    </w:rPr>
                  </w:pPr>
                  <w:r>
                    <w:rPr>
                      <w:color w:val="auto"/>
                      <w:szCs w:val="21"/>
                      <w:highlight w:val="none"/>
                    </w:rPr>
                    <w:t>水质标准</w:t>
                  </w:r>
                </w:p>
              </w:tc>
              <w:tc>
                <w:tcPr>
                  <w:tcW w:w="1024" w:type="dxa"/>
                  <w:noWrap w:val="0"/>
                  <w:vAlign w:val="center"/>
                </w:tcPr>
                <w:p w14:paraId="347BC8EF">
                  <w:pPr>
                    <w:widowControl/>
                    <w:spacing w:line="240" w:lineRule="auto"/>
                    <w:jc w:val="center"/>
                    <w:rPr>
                      <w:rFonts w:hint="default" w:eastAsia="宋体"/>
                      <w:color w:val="auto"/>
                      <w:szCs w:val="21"/>
                      <w:highlight w:val="none"/>
                      <w:lang w:val="en-US" w:eastAsia="zh-CN"/>
                    </w:rPr>
                  </w:pPr>
                  <w:r>
                    <w:rPr>
                      <w:rFonts w:hint="eastAsia"/>
                      <w:color w:val="auto"/>
                      <w:sz w:val="21"/>
                      <w:szCs w:val="21"/>
                    </w:rPr>
                    <w:t>20</w:t>
                  </w:r>
                </w:p>
              </w:tc>
              <w:tc>
                <w:tcPr>
                  <w:tcW w:w="825" w:type="dxa"/>
                  <w:noWrap w:val="0"/>
                  <w:vAlign w:val="center"/>
                </w:tcPr>
                <w:p w14:paraId="138FE986">
                  <w:pPr>
                    <w:widowControl/>
                    <w:spacing w:line="240" w:lineRule="auto"/>
                    <w:jc w:val="center"/>
                    <w:rPr>
                      <w:rFonts w:hint="eastAsia" w:eastAsia="宋体"/>
                      <w:color w:val="auto"/>
                      <w:szCs w:val="21"/>
                      <w:highlight w:val="none"/>
                      <w:lang w:val="en-US" w:eastAsia="zh-CN"/>
                    </w:rPr>
                  </w:pPr>
                  <w:r>
                    <w:rPr>
                      <w:rFonts w:hint="eastAsia"/>
                      <w:color w:val="auto"/>
                      <w:kern w:val="0"/>
                      <w:sz w:val="21"/>
                    </w:rPr>
                    <w:t>6</w:t>
                  </w:r>
                </w:p>
              </w:tc>
              <w:tc>
                <w:tcPr>
                  <w:tcW w:w="954" w:type="dxa"/>
                  <w:noWrap w:val="0"/>
                  <w:vAlign w:val="center"/>
                </w:tcPr>
                <w:p w14:paraId="045988D9">
                  <w:pPr>
                    <w:widowControl/>
                    <w:spacing w:line="240" w:lineRule="auto"/>
                    <w:jc w:val="center"/>
                    <w:rPr>
                      <w:rFonts w:hint="eastAsia" w:eastAsia="宋体"/>
                      <w:color w:val="auto"/>
                      <w:szCs w:val="21"/>
                      <w:highlight w:val="none"/>
                      <w:lang w:val="en-US" w:eastAsia="zh-CN"/>
                    </w:rPr>
                  </w:pPr>
                  <w:r>
                    <w:rPr>
                      <w:rFonts w:hint="eastAsia"/>
                      <w:color w:val="auto"/>
                      <w:kern w:val="0"/>
                      <w:sz w:val="21"/>
                    </w:rPr>
                    <w:t>4</w:t>
                  </w:r>
                </w:p>
              </w:tc>
              <w:tc>
                <w:tcPr>
                  <w:tcW w:w="703" w:type="dxa"/>
                  <w:noWrap w:val="0"/>
                  <w:vAlign w:val="center"/>
                </w:tcPr>
                <w:p w14:paraId="496BBDD7">
                  <w:pPr>
                    <w:widowControl/>
                    <w:spacing w:line="240" w:lineRule="auto"/>
                    <w:jc w:val="center"/>
                    <w:rPr>
                      <w:rFonts w:hint="default" w:eastAsia="宋体"/>
                      <w:color w:val="auto"/>
                      <w:szCs w:val="21"/>
                      <w:highlight w:val="none"/>
                      <w:lang w:val="en-US" w:eastAsia="zh-CN"/>
                    </w:rPr>
                  </w:pPr>
                  <w:r>
                    <w:rPr>
                      <w:rFonts w:hint="eastAsia"/>
                      <w:color w:val="auto"/>
                      <w:kern w:val="0"/>
                      <w:sz w:val="21"/>
                    </w:rPr>
                    <w:t>0.05</w:t>
                  </w:r>
                </w:p>
              </w:tc>
              <w:tc>
                <w:tcPr>
                  <w:tcW w:w="830" w:type="dxa"/>
                  <w:noWrap w:val="0"/>
                  <w:vAlign w:val="center"/>
                </w:tcPr>
                <w:p w14:paraId="425999CF">
                  <w:pPr>
                    <w:widowControl/>
                    <w:spacing w:line="240" w:lineRule="auto"/>
                    <w:jc w:val="center"/>
                    <w:rPr>
                      <w:rFonts w:hint="default" w:eastAsia="宋体"/>
                      <w:color w:val="auto"/>
                      <w:szCs w:val="21"/>
                      <w:highlight w:val="none"/>
                      <w:lang w:val="en-US" w:eastAsia="zh-CN"/>
                    </w:rPr>
                  </w:pPr>
                  <w:r>
                    <w:rPr>
                      <w:rFonts w:hint="eastAsia"/>
                      <w:color w:val="auto"/>
                      <w:kern w:val="0"/>
                      <w:sz w:val="21"/>
                    </w:rPr>
                    <w:t>1.0</w:t>
                  </w:r>
                </w:p>
              </w:tc>
              <w:tc>
                <w:tcPr>
                  <w:tcW w:w="1039" w:type="dxa"/>
                  <w:noWrap w:val="0"/>
                  <w:vAlign w:val="center"/>
                </w:tcPr>
                <w:p w14:paraId="0C26FA2A">
                  <w:pPr>
                    <w:widowControl/>
                    <w:spacing w:line="240" w:lineRule="auto"/>
                    <w:jc w:val="center"/>
                    <w:rPr>
                      <w:rFonts w:hint="default" w:eastAsia="宋体"/>
                      <w:color w:val="auto"/>
                      <w:szCs w:val="21"/>
                      <w:highlight w:val="none"/>
                      <w:lang w:val="en-US" w:eastAsia="zh-CN"/>
                    </w:rPr>
                  </w:pPr>
                  <w:r>
                    <w:rPr>
                      <w:rFonts w:hint="eastAsia"/>
                      <w:color w:val="auto"/>
                      <w:kern w:val="0"/>
                      <w:sz w:val="21"/>
                    </w:rPr>
                    <w:t>0.2</w:t>
                  </w:r>
                </w:p>
              </w:tc>
            </w:tr>
            <w:tr w14:paraId="084428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91" w:type="dxa"/>
                  <w:vMerge w:val="continue"/>
                  <w:noWrap w:val="0"/>
                  <w:vAlign w:val="center"/>
                </w:tcPr>
                <w:p w14:paraId="1ED855D3">
                  <w:pPr>
                    <w:spacing w:line="240" w:lineRule="auto"/>
                    <w:jc w:val="center"/>
                    <w:rPr>
                      <w:color w:val="auto"/>
                      <w:szCs w:val="21"/>
                      <w:highlight w:val="none"/>
                    </w:rPr>
                  </w:pPr>
                </w:p>
              </w:tc>
              <w:tc>
                <w:tcPr>
                  <w:tcW w:w="863" w:type="dxa"/>
                  <w:vMerge w:val="continue"/>
                  <w:noWrap w:val="0"/>
                  <w:vAlign w:val="center"/>
                </w:tcPr>
                <w:p w14:paraId="1B14E2E6">
                  <w:pPr>
                    <w:spacing w:line="240" w:lineRule="auto"/>
                    <w:jc w:val="center"/>
                    <w:rPr>
                      <w:color w:val="auto"/>
                      <w:szCs w:val="21"/>
                      <w:highlight w:val="none"/>
                    </w:rPr>
                  </w:pPr>
                </w:p>
              </w:tc>
              <w:tc>
                <w:tcPr>
                  <w:tcW w:w="1199" w:type="dxa"/>
                  <w:noWrap w:val="0"/>
                  <w:vAlign w:val="center"/>
                </w:tcPr>
                <w:p w14:paraId="20147C0D">
                  <w:pPr>
                    <w:spacing w:line="240" w:lineRule="auto"/>
                    <w:jc w:val="center"/>
                    <w:rPr>
                      <w:color w:val="auto"/>
                      <w:szCs w:val="21"/>
                      <w:highlight w:val="none"/>
                    </w:rPr>
                  </w:pPr>
                  <w:r>
                    <w:rPr>
                      <w:color w:val="auto"/>
                      <w:szCs w:val="21"/>
                      <w:highlight w:val="none"/>
                    </w:rPr>
                    <w:t>水质指数</w:t>
                  </w:r>
                </w:p>
              </w:tc>
              <w:tc>
                <w:tcPr>
                  <w:tcW w:w="1024" w:type="dxa"/>
                  <w:noWrap w:val="0"/>
                  <w:vAlign w:val="center"/>
                </w:tcPr>
                <w:p w14:paraId="26900217">
                  <w:pPr>
                    <w:widowControl/>
                    <w:spacing w:line="240" w:lineRule="auto"/>
                    <w:jc w:val="center"/>
                    <w:rPr>
                      <w:rFonts w:hint="default" w:eastAsia="宋体"/>
                      <w:color w:val="auto"/>
                      <w:szCs w:val="21"/>
                      <w:highlight w:val="none"/>
                      <w:lang w:val="en-US" w:eastAsia="zh-CN"/>
                    </w:rPr>
                  </w:pPr>
                  <w:r>
                    <w:rPr>
                      <w:rFonts w:hint="eastAsia"/>
                      <w:color w:val="auto"/>
                      <w:sz w:val="21"/>
                      <w:szCs w:val="21"/>
                    </w:rPr>
                    <w:t>78.5</w:t>
                  </w:r>
                </w:p>
              </w:tc>
              <w:tc>
                <w:tcPr>
                  <w:tcW w:w="825" w:type="dxa"/>
                  <w:noWrap w:val="0"/>
                  <w:vAlign w:val="center"/>
                </w:tcPr>
                <w:p w14:paraId="68F737BC">
                  <w:pPr>
                    <w:widowControl/>
                    <w:spacing w:line="240" w:lineRule="auto"/>
                    <w:jc w:val="center"/>
                    <w:rPr>
                      <w:rFonts w:hint="default" w:eastAsia="宋体"/>
                      <w:color w:val="auto"/>
                      <w:szCs w:val="21"/>
                      <w:highlight w:val="none"/>
                      <w:lang w:val="en-US" w:eastAsia="zh-CN"/>
                    </w:rPr>
                  </w:pPr>
                  <w:r>
                    <w:rPr>
                      <w:rFonts w:hint="eastAsia"/>
                      <w:color w:val="auto"/>
                      <w:kern w:val="0"/>
                      <w:sz w:val="21"/>
                    </w:rPr>
                    <w:t>50</w:t>
                  </w:r>
                </w:p>
              </w:tc>
              <w:tc>
                <w:tcPr>
                  <w:tcW w:w="954" w:type="dxa"/>
                  <w:noWrap w:val="0"/>
                  <w:vAlign w:val="center"/>
                </w:tcPr>
                <w:p w14:paraId="697EFBAE">
                  <w:pPr>
                    <w:widowControl/>
                    <w:spacing w:line="240" w:lineRule="auto"/>
                    <w:jc w:val="center"/>
                    <w:rPr>
                      <w:rFonts w:hint="default" w:eastAsia="宋体"/>
                      <w:color w:val="auto"/>
                      <w:szCs w:val="21"/>
                      <w:highlight w:val="none"/>
                      <w:lang w:val="en-US" w:eastAsia="zh-CN"/>
                    </w:rPr>
                  </w:pPr>
                  <w:r>
                    <w:rPr>
                      <w:rFonts w:hint="eastAsia"/>
                      <w:color w:val="auto"/>
                      <w:kern w:val="0"/>
                      <w:sz w:val="21"/>
                    </w:rPr>
                    <w:t>50</w:t>
                  </w:r>
                </w:p>
              </w:tc>
              <w:tc>
                <w:tcPr>
                  <w:tcW w:w="703" w:type="dxa"/>
                  <w:noWrap w:val="0"/>
                  <w:vAlign w:val="center"/>
                </w:tcPr>
                <w:p w14:paraId="0D4F2246">
                  <w:pPr>
                    <w:widowControl/>
                    <w:spacing w:line="240" w:lineRule="auto"/>
                    <w:jc w:val="center"/>
                    <w:rPr>
                      <w:rFonts w:hint="default" w:eastAsia="宋体"/>
                      <w:color w:val="auto"/>
                      <w:szCs w:val="21"/>
                      <w:highlight w:val="none"/>
                      <w:lang w:val="en-US" w:eastAsia="zh-CN"/>
                    </w:rPr>
                  </w:pPr>
                  <w:r>
                    <w:rPr>
                      <w:rFonts w:hint="eastAsia"/>
                      <w:color w:val="auto"/>
                      <w:kern w:val="0"/>
                      <w:sz w:val="21"/>
                    </w:rPr>
                    <w:t>80</w:t>
                  </w:r>
                </w:p>
              </w:tc>
              <w:tc>
                <w:tcPr>
                  <w:tcW w:w="830" w:type="dxa"/>
                  <w:noWrap w:val="0"/>
                  <w:vAlign w:val="center"/>
                </w:tcPr>
                <w:p w14:paraId="4833084B">
                  <w:pPr>
                    <w:widowControl/>
                    <w:spacing w:line="240" w:lineRule="auto"/>
                    <w:jc w:val="center"/>
                    <w:rPr>
                      <w:rFonts w:hint="default" w:eastAsia="宋体"/>
                      <w:color w:val="auto"/>
                      <w:szCs w:val="21"/>
                      <w:highlight w:val="none"/>
                      <w:lang w:val="en-US" w:eastAsia="zh-CN"/>
                    </w:rPr>
                  </w:pPr>
                  <w:r>
                    <w:rPr>
                      <w:rFonts w:hint="eastAsia"/>
                      <w:color w:val="auto"/>
                      <w:kern w:val="0"/>
                      <w:sz w:val="21"/>
                    </w:rPr>
                    <w:t>41</w:t>
                  </w:r>
                </w:p>
              </w:tc>
              <w:tc>
                <w:tcPr>
                  <w:tcW w:w="1039" w:type="dxa"/>
                  <w:noWrap w:val="0"/>
                  <w:vAlign w:val="center"/>
                </w:tcPr>
                <w:p w14:paraId="6962A0CB">
                  <w:pPr>
                    <w:widowControl/>
                    <w:spacing w:line="240" w:lineRule="auto"/>
                    <w:jc w:val="center"/>
                    <w:rPr>
                      <w:rFonts w:hint="default" w:eastAsia="宋体"/>
                      <w:color w:val="auto"/>
                      <w:szCs w:val="21"/>
                      <w:highlight w:val="none"/>
                      <w:lang w:val="en-US" w:eastAsia="zh-CN"/>
                    </w:rPr>
                  </w:pPr>
                  <w:r>
                    <w:rPr>
                      <w:rFonts w:hint="eastAsia" w:eastAsia="宋体"/>
                      <w:color w:val="auto"/>
                      <w:kern w:val="0"/>
                      <w:sz w:val="21"/>
                      <w:lang w:val="en-US" w:eastAsia="zh-CN"/>
                    </w:rPr>
                    <w:t>52</w:t>
                  </w:r>
                </w:p>
              </w:tc>
            </w:tr>
            <w:tr w14:paraId="0FE428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91" w:type="dxa"/>
                  <w:vMerge w:val="continue"/>
                  <w:noWrap w:val="0"/>
                  <w:vAlign w:val="center"/>
                </w:tcPr>
                <w:p w14:paraId="79C5B8D1">
                  <w:pPr>
                    <w:spacing w:line="240" w:lineRule="auto"/>
                    <w:jc w:val="center"/>
                    <w:rPr>
                      <w:color w:val="auto"/>
                      <w:szCs w:val="21"/>
                      <w:highlight w:val="none"/>
                    </w:rPr>
                  </w:pPr>
                </w:p>
              </w:tc>
              <w:tc>
                <w:tcPr>
                  <w:tcW w:w="863" w:type="dxa"/>
                  <w:vMerge w:val="continue"/>
                  <w:noWrap w:val="0"/>
                  <w:vAlign w:val="center"/>
                </w:tcPr>
                <w:p w14:paraId="0DA1AD89">
                  <w:pPr>
                    <w:spacing w:line="240" w:lineRule="auto"/>
                    <w:jc w:val="center"/>
                    <w:rPr>
                      <w:color w:val="auto"/>
                      <w:szCs w:val="21"/>
                      <w:highlight w:val="none"/>
                    </w:rPr>
                  </w:pPr>
                </w:p>
              </w:tc>
              <w:tc>
                <w:tcPr>
                  <w:tcW w:w="1199" w:type="dxa"/>
                  <w:noWrap w:val="0"/>
                  <w:vAlign w:val="center"/>
                </w:tcPr>
                <w:p w14:paraId="7C83F784">
                  <w:pPr>
                    <w:spacing w:line="240" w:lineRule="auto"/>
                    <w:jc w:val="center"/>
                    <w:rPr>
                      <w:color w:val="auto"/>
                      <w:szCs w:val="21"/>
                      <w:highlight w:val="none"/>
                    </w:rPr>
                  </w:pPr>
                  <w:r>
                    <w:rPr>
                      <w:color w:val="auto"/>
                      <w:szCs w:val="21"/>
                      <w:highlight w:val="none"/>
                    </w:rPr>
                    <w:t>是否达标</w:t>
                  </w:r>
                </w:p>
              </w:tc>
              <w:tc>
                <w:tcPr>
                  <w:tcW w:w="1024" w:type="dxa"/>
                  <w:noWrap w:val="0"/>
                  <w:vAlign w:val="center"/>
                </w:tcPr>
                <w:p w14:paraId="6546BBAD">
                  <w:pPr>
                    <w:spacing w:line="240" w:lineRule="auto"/>
                    <w:jc w:val="center"/>
                    <w:rPr>
                      <w:color w:val="auto"/>
                      <w:szCs w:val="21"/>
                      <w:highlight w:val="none"/>
                    </w:rPr>
                  </w:pPr>
                  <w:r>
                    <w:rPr>
                      <w:color w:val="auto"/>
                      <w:szCs w:val="21"/>
                      <w:highlight w:val="none"/>
                    </w:rPr>
                    <w:t>达标</w:t>
                  </w:r>
                </w:p>
              </w:tc>
              <w:tc>
                <w:tcPr>
                  <w:tcW w:w="825" w:type="dxa"/>
                  <w:noWrap w:val="0"/>
                  <w:vAlign w:val="center"/>
                </w:tcPr>
                <w:p w14:paraId="7C115A9C">
                  <w:pPr>
                    <w:spacing w:line="240" w:lineRule="auto"/>
                    <w:jc w:val="center"/>
                    <w:rPr>
                      <w:color w:val="auto"/>
                      <w:szCs w:val="21"/>
                      <w:highlight w:val="none"/>
                    </w:rPr>
                  </w:pPr>
                  <w:r>
                    <w:rPr>
                      <w:color w:val="auto"/>
                      <w:szCs w:val="21"/>
                      <w:highlight w:val="none"/>
                    </w:rPr>
                    <w:t>达标</w:t>
                  </w:r>
                </w:p>
              </w:tc>
              <w:tc>
                <w:tcPr>
                  <w:tcW w:w="954" w:type="dxa"/>
                  <w:noWrap w:val="0"/>
                  <w:vAlign w:val="center"/>
                </w:tcPr>
                <w:p w14:paraId="1857EC94">
                  <w:pPr>
                    <w:spacing w:line="240" w:lineRule="auto"/>
                    <w:jc w:val="center"/>
                    <w:rPr>
                      <w:color w:val="auto"/>
                      <w:szCs w:val="21"/>
                      <w:highlight w:val="none"/>
                    </w:rPr>
                  </w:pPr>
                  <w:r>
                    <w:rPr>
                      <w:color w:val="auto"/>
                      <w:szCs w:val="21"/>
                      <w:highlight w:val="none"/>
                    </w:rPr>
                    <w:t>达标</w:t>
                  </w:r>
                </w:p>
              </w:tc>
              <w:tc>
                <w:tcPr>
                  <w:tcW w:w="703" w:type="dxa"/>
                  <w:noWrap w:val="0"/>
                  <w:vAlign w:val="center"/>
                </w:tcPr>
                <w:p w14:paraId="4D605B20">
                  <w:pPr>
                    <w:spacing w:line="240" w:lineRule="auto"/>
                    <w:jc w:val="center"/>
                    <w:rPr>
                      <w:color w:val="auto"/>
                      <w:szCs w:val="21"/>
                      <w:highlight w:val="none"/>
                    </w:rPr>
                  </w:pPr>
                  <w:r>
                    <w:rPr>
                      <w:color w:val="auto"/>
                      <w:szCs w:val="21"/>
                      <w:highlight w:val="none"/>
                    </w:rPr>
                    <w:t>达标</w:t>
                  </w:r>
                </w:p>
              </w:tc>
              <w:tc>
                <w:tcPr>
                  <w:tcW w:w="830" w:type="dxa"/>
                  <w:noWrap w:val="0"/>
                  <w:vAlign w:val="center"/>
                </w:tcPr>
                <w:p w14:paraId="690164F4">
                  <w:pPr>
                    <w:spacing w:line="240" w:lineRule="auto"/>
                    <w:jc w:val="center"/>
                    <w:rPr>
                      <w:color w:val="auto"/>
                      <w:szCs w:val="21"/>
                      <w:highlight w:val="none"/>
                    </w:rPr>
                  </w:pPr>
                  <w:r>
                    <w:rPr>
                      <w:color w:val="auto"/>
                      <w:szCs w:val="21"/>
                      <w:highlight w:val="none"/>
                    </w:rPr>
                    <w:t>达标</w:t>
                  </w:r>
                </w:p>
              </w:tc>
              <w:tc>
                <w:tcPr>
                  <w:tcW w:w="1039" w:type="dxa"/>
                  <w:noWrap w:val="0"/>
                  <w:vAlign w:val="center"/>
                </w:tcPr>
                <w:p w14:paraId="0AF70E90">
                  <w:pPr>
                    <w:spacing w:line="240" w:lineRule="auto"/>
                    <w:jc w:val="center"/>
                    <w:rPr>
                      <w:color w:val="auto"/>
                      <w:szCs w:val="21"/>
                      <w:highlight w:val="none"/>
                    </w:rPr>
                  </w:pPr>
                  <w:r>
                    <w:rPr>
                      <w:color w:val="auto"/>
                      <w:szCs w:val="21"/>
                      <w:highlight w:val="none"/>
                    </w:rPr>
                    <w:t>达标</w:t>
                  </w:r>
                </w:p>
              </w:tc>
            </w:tr>
          </w:tbl>
          <w:p w14:paraId="21FDAD06">
            <w:pPr>
              <w:pStyle w:val="59"/>
              <w:ind w:firstLine="0" w:firstLineChars="0"/>
              <w:rPr>
                <w:color w:val="auto"/>
                <w:highlight w:val="none"/>
              </w:rPr>
            </w:pPr>
          </w:p>
          <w:p w14:paraId="4CA22DC7">
            <w:pPr>
              <w:pStyle w:val="59"/>
              <w:keepNext w:val="0"/>
              <w:keepLines w:val="0"/>
              <w:pageBreakBefore w:val="0"/>
              <w:widowControl w:val="0"/>
              <w:kinsoku/>
              <w:wordWrap/>
              <w:overflowPunct/>
              <w:topLinePunct w:val="0"/>
              <w:autoSpaceDE/>
              <w:autoSpaceDN/>
              <w:bidi w:val="0"/>
              <w:adjustRightInd/>
              <w:snapToGrid/>
              <w:ind w:firstLine="480"/>
              <w:textAlignment w:val="auto"/>
              <w:rPr>
                <w:rFonts w:hint="eastAsia" w:eastAsia="宋体"/>
                <w:color w:val="auto"/>
                <w:sz w:val="24"/>
                <w:highlight w:val="none"/>
                <w:lang w:eastAsia="zh-CN"/>
              </w:rPr>
            </w:pPr>
            <w:r>
              <w:rPr>
                <w:color w:val="auto"/>
                <w:sz w:val="24"/>
                <w:highlight w:val="none"/>
              </w:rPr>
              <w:t>根据引用数据可以看出，</w:t>
            </w:r>
            <w:r>
              <w:rPr>
                <w:rFonts w:hint="eastAsia" w:ascii="Times New Roman" w:hAnsi="Times New Roman" w:cs="Times New Roman"/>
                <w:color w:val="auto"/>
                <w:sz w:val="24"/>
                <w:szCs w:val="24"/>
                <w:lang w:eastAsia="zh-CN"/>
              </w:rPr>
              <w:t>东洲河口</w:t>
            </w:r>
            <w:r>
              <w:rPr>
                <w:color w:val="auto"/>
                <w:sz w:val="24"/>
                <w:highlight w:val="none"/>
              </w:rPr>
              <w:t>断面水质各项指标</w:t>
            </w:r>
            <w:r>
              <w:rPr>
                <w:rFonts w:hint="eastAsia"/>
                <w:color w:val="auto"/>
                <w:sz w:val="24"/>
                <w:highlight w:val="none"/>
              </w:rPr>
              <w:t>均</w:t>
            </w:r>
            <w:r>
              <w:rPr>
                <w:color w:val="auto"/>
                <w:sz w:val="24"/>
                <w:highlight w:val="none"/>
              </w:rPr>
              <w:t>满足《地表水环境质量标准》（GB3838-2002）中</w:t>
            </w:r>
            <w:r>
              <w:rPr>
                <w:rFonts w:hint="eastAsia"/>
                <w:color w:val="auto"/>
                <w:sz w:val="24"/>
                <w:szCs w:val="24"/>
                <w:highlight w:val="none"/>
                <w:lang w:eastAsia="zh-CN"/>
              </w:rPr>
              <w:fldChar w:fldCharType="begin"/>
            </w:r>
            <w:r>
              <w:rPr>
                <w:rFonts w:hint="eastAsia"/>
                <w:color w:val="auto"/>
                <w:sz w:val="24"/>
                <w:szCs w:val="24"/>
                <w:highlight w:val="none"/>
                <w:lang w:eastAsia="zh-CN"/>
              </w:rPr>
              <w:instrText xml:space="preserve"> = 3 \* ROMAN \* MERGEFORMAT </w:instrText>
            </w:r>
            <w:r>
              <w:rPr>
                <w:rFonts w:hint="eastAsia"/>
                <w:color w:val="auto"/>
                <w:sz w:val="24"/>
                <w:szCs w:val="24"/>
                <w:highlight w:val="none"/>
                <w:lang w:eastAsia="zh-CN"/>
              </w:rPr>
              <w:fldChar w:fldCharType="separate"/>
            </w:r>
            <w:r>
              <w:rPr>
                <w:color w:val="auto"/>
                <w:sz w:val="24"/>
                <w:szCs w:val="24"/>
              </w:rPr>
              <w:t>III</w:t>
            </w:r>
            <w:r>
              <w:rPr>
                <w:rFonts w:hint="eastAsia"/>
                <w:color w:val="auto"/>
                <w:sz w:val="24"/>
                <w:szCs w:val="24"/>
                <w:highlight w:val="none"/>
                <w:lang w:eastAsia="zh-CN"/>
              </w:rPr>
              <w:fldChar w:fldCharType="end"/>
            </w:r>
            <w:r>
              <w:rPr>
                <w:color w:val="auto"/>
                <w:sz w:val="24"/>
                <w:highlight w:val="none"/>
              </w:rPr>
              <w:t>类标准</w:t>
            </w:r>
            <w:r>
              <w:rPr>
                <w:rFonts w:hint="eastAsia"/>
                <w:color w:val="auto"/>
                <w:sz w:val="24"/>
                <w:highlight w:val="none"/>
                <w:lang w:eastAsia="zh-CN"/>
              </w:rPr>
              <w:t>，</w:t>
            </w:r>
            <w:r>
              <w:rPr>
                <w:rFonts w:hint="eastAsia"/>
                <w:color w:val="auto"/>
                <w:sz w:val="24"/>
                <w:highlight w:val="none"/>
              </w:rPr>
              <w:t>项目所在区域地表水环境质量现状良好</w:t>
            </w:r>
            <w:r>
              <w:rPr>
                <w:rFonts w:hint="eastAsia"/>
                <w:color w:val="auto"/>
                <w:sz w:val="24"/>
                <w:highlight w:val="none"/>
                <w:lang w:eastAsia="zh-CN"/>
              </w:rPr>
              <w:t>。</w:t>
            </w:r>
          </w:p>
          <w:p w14:paraId="5F0F5831">
            <w:pPr>
              <w:pStyle w:val="62"/>
              <w:rPr>
                <w:color w:val="auto"/>
                <w:highlight w:val="none"/>
              </w:rPr>
            </w:pPr>
            <w:r>
              <w:rPr>
                <w:rFonts w:hint="eastAsia"/>
                <w:color w:val="auto"/>
                <w:highlight w:val="none"/>
                <w:lang w:val="en-US" w:eastAsia="zh-CN"/>
              </w:rPr>
              <w:t>3</w:t>
            </w:r>
            <w:r>
              <w:rPr>
                <w:rFonts w:hint="eastAsia"/>
                <w:color w:val="auto"/>
                <w:highlight w:val="none"/>
              </w:rPr>
              <w:t>、</w:t>
            </w:r>
            <w:r>
              <w:rPr>
                <w:color w:val="auto"/>
                <w:highlight w:val="none"/>
              </w:rPr>
              <w:t>声环境</w:t>
            </w:r>
          </w:p>
          <w:p w14:paraId="198D0A71">
            <w:pPr>
              <w:pStyle w:val="59"/>
              <w:ind w:firstLine="480"/>
              <w:rPr>
                <w:rFonts w:hint="eastAsia" w:eastAsia="宋体"/>
                <w:color w:val="auto"/>
                <w:sz w:val="24"/>
                <w:highlight w:val="none"/>
                <w:lang w:val="en-US" w:eastAsia="zh-CN"/>
              </w:rPr>
            </w:pPr>
            <w:r>
              <w:rPr>
                <w:rFonts w:hint="eastAsia" w:ascii="Times New Roman" w:hAnsi="Times New Roman" w:eastAsia="宋体" w:cs="Times New Roman"/>
                <w:color w:val="auto"/>
                <w:sz w:val="24"/>
                <w:highlight w:val="none"/>
              </w:rPr>
              <w:t>根据《建设项目环境影响报告表编制技术指南（污染影响类）》，本项目厂界50m范围内无声环境保护目标，无需进行声环境现状监测。</w:t>
            </w:r>
          </w:p>
          <w:p w14:paraId="57CC26C5">
            <w:pPr>
              <w:pStyle w:val="62"/>
              <w:rPr>
                <w:color w:val="auto"/>
                <w:highlight w:val="none"/>
              </w:rPr>
            </w:pPr>
            <w:r>
              <w:rPr>
                <w:rFonts w:hint="eastAsia"/>
                <w:color w:val="auto"/>
                <w:highlight w:val="none"/>
                <w:lang w:val="en-US" w:eastAsia="zh-CN"/>
              </w:rPr>
              <w:t>4</w:t>
            </w:r>
            <w:r>
              <w:rPr>
                <w:rFonts w:hint="eastAsia"/>
                <w:color w:val="auto"/>
                <w:highlight w:val="none"/>
              </w:rPr>
              <w:t>、</w:t>
            </w:r>
            <w:r>
              <w:rPr>
                <w:color w:val="auto"/>
                <w:highlight w:val="none"/>
              </w:rPr>
              <w:t>生态环境</w:t>
            </w:r>
          </w:p>
          <w:p w14:paraId="5B2BFB8E">
            <w:pPr>
              <w:pStyle w:val="59"/>
              <w:ind w:firstLine="480"/>
              <w:rPr>
                <w:rFonts w:hint="eastAsia"/>
                <w:color w:val="auto"/>
                <w:sz w:val="24"/>
                <w:highlight w:val="none"/>
              </w:rPr>
            </w:pPr>
            <w:r>
              <w:rPr>
                <w:rFonts w:hint="eastAsia"/>
                <w:color w:val="auto"/>
                <w:sz w:val="24"/>
                <w:highlight w:val="none"/>
              </w:rPr>
              <w:t>产业园区外建设项目新增用地且用地范围内含有生态环境保护目标时，应进行生态现状调查。</w:t>
            </w:r>
          </w:p>
          <w:p w14:paraId="1979EDA1">
            <w:pPr>
              <w:pStyle w:val="75"/>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eastAsia"/>
                <w:color w:val="auto"/>
                <w:sz w:val="24"/>
                <w:highlight w:val="none"/>
              </w:rPr>
            </w:pPr>
            <w:r>
              <w:rPr>
                <w:color w:val="auto"/>
                <w:sz w:val="24"/>
                <w:szCs w:val="24"/>
              </w:rPr>
              <w:t>本项目为租用</w:t>
            </w:r>
            <w:r>
              <w:rPr>
                <w:rFonts w:ascii="Times New Roman" w:hAnsi="Times New Roman" w:eastAsia="宋体" w:cs="Times New Roman"/>
                <w:b w:val="0"/>
                <w:color w:val="auto"/>
                <w:kern w:val="0"/>
                <w:sz w:val="24"/>
                <w:szCs w:val="32"/>
                <w:highlight w:val="none"/>
                <w:lang w:val="en-US" w:eastAsia="zh-CN" w:bidi="ar-SA"/>
              </w:rPr>
              <w:t>救兵木业和新材料产业园区</w:t>
            </w:r>
            <w:r>
              <w:rPr>
                <w:rFonts w:hint="eastAsia" w:ascii="Times New Roman" w:hAnsi="Times New Roman" w:eastAsia="宋体" w:cs="Times New Roman"/>
                <w:b w:val="0"/>
                <w:color w:val="auto"/>
                <w:kern w:val="0"/>
                <w:sz w:val="24"/>
                <w:szCs w:val="32"/>
                <w:highlight w:val="none"/>
                <w:lang w:val="en-US" w:eastAsia="zh-CN" w:bidi="ar-SA"/>
              </w:rPr>
              <w:t>空</w:t>
            </w:r>
            <w:r>
              <w:rPr>
                <w:rFonts w:ascii="Times New Roman" w:hAnsi="Times New Roman" w:eastAsia="宋体" w:cs="Times New Roman"/>
                <w:b w:val="0"/>
                <w:color w:val="auto"/>
                <w:kern w:val="0"/>
                <w:sz w:val="24"/>
                <w:szCs w:val="32"/>
                <w:highlight w:val="none"/>
                <w:lang w:val="en-US" w:eastAsia="zh-CN" w:bidi="ar-SA"/>
              </w:rPr>
              <w:t>厂房</w:t>
            </w:r>
            <w:r>
              <w:rPr>
                <w:color w:val="auto"/>
                <w:sz w:val="24"/>
                <w:szCs w:val="24"/>
              </w:rPr>
              <w:t>，现有</w:t>
            </w:r>
            <w:r>
              <w:rPr>
                <w:rFonts w:hint="eastAsia"/>
                <w:color w:val="auto"/>
                <w:sz w:val="24"/>
                <w:szCs w:val="24"/>
                <w:lang w:eastAsia="zh-CN"/>
              </w:rPr>
              <w:t>地块</w:t>
            </w:r>
            <w:r>
              <w:rPr>
                <w:color w:val="auto"/>
                <w:sz w:val="24"/>
                <w:szCs w:val="24"/>
              </w:rPr>
              <w:t>用地</w:t>
            </w:r>
            <w:r>
              <w:rPr>
                <w:color w:val="auto"/>
                <w:spacing w:val="-1"/>
                <w:sz w:val="24"/>
                <w:szCs w:val="24"/>
              </w:rPr>
              <w:t>为工业用地</w:t>
            </w:r>
            <w:r>
              <w:rPr>
                <w:rFonts w:hint="eastAsia"/>
                <w:color w:val="auto"/>
                <w:spacing w:val="-1"/>
                <w:sz w:val="24"/>
                <w:szCs w:val="24"/>
                <w:lang w:eastAsia="zh-CN"/>
              </w:rPr>
              <w:t>（见附件）</w:t>
            </w:r>
            <w:r>
              <w:rPr>
                <w:color w:val="auto"/>
                <w:spacing w:val="-1"/>
                <w:sz w:val="24"/>
                <w:szCs w:val="24"/>
              </w:rPr>
              <w:t>，</w:t>
            </w:r>
            <w:r>
              <w:rPr>
                <w:rFonts w:hint="eastAsia"/>
                <w:color w:val="auto"/>
                <w:spacing w:val="-1"/>
                <w:sz w:val="24"/>
                <w:szCs w:val="24"/>
                <w:lang w:eastAsia="zh-CN"/>
              </w:rPr>
              <w:t>且用地范围内无生态环境保护目标，因此无需进行生态现状调查</w:t>
            </w:r>
            <w:r>
              <w:rPr>
                <w:color w:val="auto"/>
                <w:spacing w:val="-1"/>
                <w:sz w:val="24"/>
                <w:szCs w:val="24"/>
              </w:rPr>
              <w:t>。</w:t>
            </w:r>
          </w:p>
          <w:p w14:paraId="5EAA9C9A">
            <w:pPr>
              <w:pStyle w:val="62"/>
              <w:keepNext w:val="0"/>
              <w:keepLines w:val="0"/>
              <w:pageBreakBefore w:val="0"/>
              <w:widowControl w:val="0"/>
              <w:kinsoku/>
              <w:wordWrap/>
              <w:overflowPunct/>
              <w:topLinePunct w:val="0"/>
              <w:autoSpaceDE/>
              <w:autoSpaceDN/>
              <w:bidi w:val="0"/>
              <w:adjustRightInd/>
              <w:snapToGrid/>
              <w:spacing w:line="360" w:lineRule="auto"/>
              <w:ind w:left="0"/>
              <w:textAlignment w:val="auto"/>
              <w:rPr>
                <w:color w:val="auto"/>
                <w:highlight w:val="none"/>
              </w:rPr>
            </w:pPr>
            <w:r>
              <w:rPr>
                <w:rFonts w:hint="eastAsia"/>
                <w:color w:val="auto"/>
                <w:sz w:val="24"/>
                <w:highlight w:val="none"/>
                <w:lang w:val="en-US" w:eastAsia="zh-CN"/>
              </w:rPr>
              <w:t>5</w:t>
            </w:r>
            <w:r>
              <w:rPr>
                <w:rFonts w:hint="eastAsia"/>
                <w:color w:val="auto"/>
                <w:highlight w:val="none"/>
              </w:rPr>
              <w:t>、</w:t>
            </w:r>
            <w:r>
              <w:rPr>
                <w:rFonts w:hint="eastAsia"/>
                <w:color w:val="auto"/>
                <w:highlight w:val="none"/>
                <w:lang w:eastAsia="zh-CN"/>
              </w:rPr>
              <w:t>电磁辐射</w:t>
            </w:r>
            <w:r>
              <w:rPr>
                <w:color w:val="auto"/>
                <w:highlight w:val="none"/>
              </w:rPr>
              <w:t>环境</w:t>
            </w:r>
          </w:p>
          <w:p w14:paraId="074A30B2">
            <w:pPr>
              <w:pStyle w:val="59"/>
              <w:keepNext w:val="0"/>
              <w:keepLines w:val="0"/>
              <w:pageBreakBefore w:val="0"/>
              <w:widowControl w:val="0"/>
              <w:kinsoku/>
              <w:wordWrap/>
              <w:overflowPunct/>
              <w:topLinePunct w:val="0"/>
              <w:autoSpaceDE/>
              <w:autoSpaceDN/>
              <w:bidi w:val="0"/>
              <w:adjustRightInd/>
              <w:snapToGrid/>
              <w:ind w:left="0" w:leftChars="0" w:firstLine="480" w:firstLineChars="200"/>
              <w:textAlignment w:val="auto"/>
              <w:rPr>
                <w:rFonts w:hint="eastAsia"/>
                <w:color w:val="auto"/>
                <w:sz w:val="24"/>
                <w:highlight w:val="none"/>
                <w:lang w:eastAsia="zh-CN"/>
              </w:rPr>
            </w:pPr>
            <w:r>
              <w:rPr>
                <w:rFonts w:hint="eastAsia"/>
                <w:color w:val="auto"/>
                <w:sz w:val="24"/>
                <w:highlight w:val="none"/>
              </w:rPr>
              <w:t>新建或改建、扩建广播电台、差转台、电视塔台、卫星地球上行站、雷达等电磁辐射类项目，应根据相关技术导则对项目电磁辐射现状开展监测与评价</w:t>
            </w:r>
            <w:r>
              <w:rPr>
                <w:rFonts w:hint="eastAsia"/>
                <w:color w:val="auto"/>
                <w:sz w:val="24"/>
                <w:highlight w:val="none"/>
                <w:lang w:eastAsia="zh-CN"/>
              </w:rPr>
              <w:t>。</w:t>
            </w:r>
          </w:p>
          <w:p w14:paraId="609AD99F">
            <w:pPr>
              <w:pStyle w:val="59"/>
              <w:keepNext w:val="0"/>
              <w:keepLines w:val="0"/>
              <w:pageBreakBefore w:val="0"/>
              <w:widowControl w:val="0"/>
              <w:kinsoku/>
              <w:wordWrap/>
              <w:overflowPunct/>
              <w:topLinePunct w:val="0"/>
              <w:autoSpaceDE/>
              <w:autoSpaceDN/>
              <w:bidi w:val="0"/>
              <w:adjustRightInd/>
              <w:snapToGrid/>
              <w:ind w:left="0" w:leftChars="0" w:firstLine="480" w:firstLineChars="200"/>
              <w:textAlignment w:val="auto"/>
              <w:rPr>
                <w:rFonts w:hint="eastAsia"/>
                <w:color w:val="auto"/>
                <w:sz w:val="24"/>
                <w:highlight w:val="none"/>
              </w:rPr>
            </w:pPr>
            <w:r>
              <w:rPr>
                <w:rFonts w:hint="eastAsia"/>
                <w:color w:val="auto"/>
                <w:sz w:val="24"/>
                <w:highlight w:val="none"/>
              </w:rPr>
              <w:t>本项目不涉及广播电台、差转台、电视塔台、卫星地球上行站、雷达等电磁辐射类项目。</w:t>
            </w:r>
          </w:p>
          <w:p w14:paraId="12B55E0B">
            <w:pPr>
              <w:pStyle w:val="62"/>
              <w:rPr>
                <w:color w:val="auto"/>
                <w:highlight w:val="none"/>
              </w:rPr>
            </w:pPr>
            <w:r>
              <w:rPr>
                <w:rFonts w:hint="eastAsia"/>
                <w:color w:val="auto"/>
                <w:sz w:val="24"/>
                <w:highlight w:val="none"/>
                <w:lang w:val="en-US" w:eastAsia="zh-CN"/>
              </w:rPr>
              <w:t>6</w:t>
            </w:r>
            <w:r>
              <w:rPr>
                <w:rFonts w:hint="eastAsia"/>
                <w:color w:val="auto"/>
                <w:highlight w:val="none"/>
              </w:rPr>
              <w:t>、</w:t>
            </w:r>
            <w:r>
              <w:rPr>
                <w:rFonts w:hint="eastAsia"/>
                <w:color w:val="auto"/>
                <w:highlight w:val="none"/>
                <w:lang w:eastAsia="zh-CN"/>
              </w:rPr>
              <w:t>地下水、土壤</w:t>
            </w:r>
            <w:r>
              <w:rPr>
                <w:color w:val="auto"/>
                <w:highlight w:val="none"/>
              </w:rPr>
              <w:t>环境</w:t>
            </w:r>
          </w:p>
          <w:p w14:paraId="3F05372B">
            <w:pPr>
              <w:pStyle w:val="59"/>
              <w:keepNext w:val="0"/>
              <w:keepLines w:val="0"/>
              <w:pageBreakBefore w:val="0"/>
              <w:widowControl w:val="0"/>
              <w:kinsoku/>
              <w:wordWrap/>
              <w:overflowPunct/>
              <w:topLinePunct w:val="0"/>
              <w:autoSpaceDE/>
              <w:autoSpaceDN/>
              <w:bidi w:val="0"/>
              <w:adjustRightInd/>
              <w:snapToGrid/>
              <w:ind w:left="0" w:leftChars="0" w:firstLine="480" w:firstLineChars="200"/>
              <w:textAlignment w:val="auto"/>
              <w:rPr>
                <w:rFonts w:hint="default" w:eastAsia="宋体"/>
                <w:color w:val="auto"/>
                <w:sz w:val="24"/>
                <w:highlight w:val="none"/>
                <w:lang w:val="en-US" w:eastAsia="zh-CN"/>
              </w:rPr>
            </w:pPr>
            <w:r>
              <w:rPr>
                <w:rFonts w:hint="default" w:eastAsia="宋体"/>
                <w:color w:val="auto"/>
                <w:sz w:val="24"/>
                <w:highlight w:val="none"/>
                <w:lang w:val="en-US" w:eastAsia="zh-CN"/>
              </w:rPr>
              <w:t>原则上不开展环境质量现状调查。建设项目存在土壤、地下水环境污染途径的，应结合污染源、保护目标分布情况开展现状调查以留作背景值。</w:t>
            </w:r>
          </w:p>
          <w:p w14:paraId="737DE9E4">
            <w:pPr>
              <w:pStyle w:val="59"/>
              <w:keepNext w:val="0"/>
              <w:keepLines w:val="0"/>
              <w:pageBreakBefore w:val="0"/>
              <w:widowControl w:val="0"/>
              <w:kinsoku/>
              <w:wordWrap/>
              <w:overflowPunct/>
              <w:topLinePunct w:val="0"/>
              <w:autoSpaceDE/>
              <w:autoSpaceDN/>
              <w:bidi w:val="0"/>
              <w:adjustRightInd/>
              <w:snapToGrid/>
              <w:ind w:left="0" w:leftChars="0" w:firstLine="480" w:firstLineChars="200"/>
              <w:textAlignment w:val="auto"/>
              <w:rPr>
                <w:rFonts w:hint="default" w:eastAsia="宋体"/>
                <w:color w:val="auto"/>
                <w:sz w:val="24"/>
                <w:highlight w:val="none"/>
                <w:lang w:val="en-US" w:eastAsia="zh-CN"/>
              </w:rPr>
            </w:pPr>
            <w:r>
              <w:rPr>
                <w:rFonts w:hint="default" w:eastAsia="宋体"/>
                <w:color w:val="auto"/>
                <w:sz w:val="24"/>
                <w:highlight w:val="none"/>
                <w:lang w:val="en-US" w:eastAsia="zh-CN"/>
              </w:rPr>
              <w:t>本项目为</w:t>
            </w:r>
            <w:r>
              <w:rPr>
                <w:rFonts w:hint="eastAsia" w:eastAsia="宋体"/>
                <w:color w:val="auto"/>
                <w:sz w:val="24"/>
                <w:highlight w:val="none"/>
                <w:lang w:val="en-US" w:eastAsia="zh-CN"/>
              </w:rPr>
              <w:t>木地</w:t>
            </w:r>
            <w:r>
              <w:rPr>
                <w:rFonts w:hint="default" w:eastAsia="宋体"/>
                <w:color w:val="auto"/>
                <w:sz w:val="24"/>
                <w:highlight w:val="none"/>
                <w:lang w:val="en-US" w:eastAsia="zh-CN"/>
              </w:rPr>
              <w:t>板</w:t>
            </w:r>
            <w:r>
              <w:rPr>
                <w:rFonts w:hint="eastAsia"/>
                <w:color w:val="auto"/>
                <w:sz w:val="24"/>
                <w:highlight w:val="none"/>
                <w:lang w:val="en-US" w:eastAsia="zh-CN"/>
              </w:rPr>
              <w:t>制造</w:t>
            </w:r>
            <w:r>
              <w:rPr>
                <w:rFonts w:hint="default" w:eastAsia="宋体"/>
                <w:color w:val="auto"/>
                <w:sz w:val="24"/>
                <w:highlight w:val="none"/>
                <w:lang w:val="en-US" w:eastAsia="zh-CN"/>
              </w:rPr>
              <w:t>项目</w:t>
            </w:r>
            <w:r>
              <w:rPr>
                <w:rFonts w:hint="default" w:eastAsia="宋体"/>
                <w:color w:val="auto"/>
                <w:sz w:val="24"/>
                <w:szCs w:val="24"/>
                <w:highlight w:val="none"/>
                <w:lang w:val="en-US" w:eastAsia="zh-CN"/>
              </w:rPr>
              <w:t>，</w:t>
            </w:r>
            <w:r>
              <w:rPr>
                <w:rFonts w:ascii="Times New Roman" w:hAnsi="Times New Roman" w:cs="Times New Roman"/>
                <w:color w:val="auto"/>
                <w:sz w:val="24"/>
                <w:szCs w:val="24"/>
              </w:rPr>
              <w:t>根据《环境影响评价技术导则</w:t>
            </w:r>
            <w:r>
              <w:rPr>
                <w:rFonts w:hint="eastAsia" w:ascii="Times New Roman" w:hAnsi="Times New Roman" w:cs="Times New Roman"/>
                <w:color w:val="auto"/>
                <w:sz w:val="24"/>
                <w:szCs w:val="24"/>
                <w:lang w:val="en-US" w:eastAsia="zh-CN"/>
              </w:rPr>
              <w:t xml:space="preserve"> </w:t>
            </w:r>
            <w:r>
              <w:rPr>
                <w:rFonts w:ascii="Times New Roman" w:hAnsi="Times New Roman" w:cs="Times New Roman"/>
                <w:color w:val="auto"/>
                <w:sz w:val="24"/>
                <w:szCs w:val="24"/>
              </w:rPr>
              <w:t>地下水环境》（HJ610-2016）附录A</w:t>
            </w:r>
            <w:r>
              <w:rPr>
                <w:rFonts w:hint="eastAsia" w:ascii="Times New Roman" w:hAnsi="Times New Roman" w:cs="Times New Roman"/>
                <w:color w:val="auto"/>
                <w:sz w:val="24"/>
                <w:szCs w:val="24"/>
                <w:lang w:eastAsia="zh-CN"/>
              </w:rPr>
              <w:t>，</w:t>
            </w:r>
            <w:r>
              <w:rPr>
                <w:rFonts w:hint="eastAsia" w:ascii="Times New Roman" w:hAnsi="Times New Roman" w:eastAsia="宋体" w:cs="Times New Roman"/>
                <w:color w:val="auto"/>
                <w:sz w:val="24"/>
                <w:highlight w:val="none"/>
                <w:lang w:val="en-US" w:eastAsia="zh-CN"/>
              </w:rPr>
              <w:t>本项目属</w:t>
            </w:r>
            <w:r>
              <w:rPr>
                <w:rFonts w:hint="eastAsia" w:ascii="Times New Roman" w:hAnsi="Times New Roman" w:eastAsia="宋体" w:cs="Times New Roman"/>
                <w:color w:val="auto"/>
                <w:sz w:val="24"/>
                <w:szCs w:val="24"/>
                <w:highlight w:val="none"/>
                <w:lang w:val="en-US" w:eastAsia="zh-CN"/>
              </w:rPr>
              <w:t>于</w:t>
            </w:r>
            <w:r>
              <w:rPr>
                <w:rFonts w:hint="eastAsia" w:ascii="Times New Roman" w:hAnsi="Times New Roman" w:eastAsia="宋体" w:cs="Times New Roman"/>
                <w:color w:val="auto"/>
                <w:sz w:val="24"/>
                <w:szCs w:val="24"/>
                <w:highlight w:val="none"/>
                <w:lang w:val="en-US" w:eastAsia="zh-CN"/>
              </w:rPr>
              <w:fldChar w:fldCharType="begin"/>
            </w:r>
            <w:r>
              <w:rPr>
                <w:rFonts w:hint="eastAsia" w:ascii="Times New Roman" w:hAnsi="Times New Roman" w:eastAsia="宋体" w:cs="Times New Roman"/>
                <w:color w:val="auto"/>
                <w:sz w:val="24"/>
                <w:szCs w:val="24"/>
                <w:highlight w:val="none"/>
                <w:lang w:val="en-US" w:eastAsia="zh-CN"/>
              </w:rPr>
              <w:instrText xml:space="preserve"> = 3 \* ROMAN \* MERGEFORMAT </w:instrText>
            </w:r>
            <w:r>
              <w:rPr>
                <w:rFonts w:hint="eastAsia" w:ascii="Times New Roman" w:hAnsi="Times New Roman" w:eastAsia="宋体" w:cs="Times New Roman"/>
                <w:color w:val="auto"/>
                <w:sz w:val="24"/>
                <w:szCs w:val="24"/>
                <w:highlight w:val="none"/>
                <w:lang w:val="en-US" w:eastAsia="zh-CN"/>
              </w:rPr>
              <w:fldChar w:fldCharType="separate"/>
            </w:r>
            <w:r>
              <w:rPr>
                <w:color w:val="auto"/>
                <w:sz w:val="24"/>
                <w:szCs w:val="24"/>
              </w:rPr>
              <w:t>III</w:t>
            </w:r>
            <w:r>
              <w:rPr>
                <w:rFonts w:hint="eastAsia" w:ascii="Times New Roman" w:hAnsi="Times New Roman" w:eastAsia="宋体" w:cs="Times New Roman"/>
                <w:color w:val="auto"/>
                <w:sz w:val="24"/>
                <w:szCs w:val="24"/>
                <w:highlight w:val="none"/>
                <w:lang w:val="en-US" w:eastAsia="zh-CN"/>
              </w:rPr>
              <w:fldChar w:fldCharType="end"/>
            </w:r>
            <w:r>
              <w:rPr>
                <w:rFonts w:hint="eastAsia" w:ascii="Times New Roman" w:hAnsi="Times New Roman" w:eastAsia="宋体" w:cs="Times New Roman"/>
                <w:color w:val="auto"/>
                <w:sz w:val="24"/>
                <w:highlight w:val="none"/>
                <w:lang w:val="en-US" w:eastAsia="zh-CN"/>
              </w:rPr>
              <w:t>类项目</w:t>
            </w: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highlight w:val="none"/>
                <w:lang w:val="en-US" w:eastAsia="zh-CN"/>
              </w:rPr>
              <w:t>《环境影响评价</w:t>
            </w:r>
            <w:r>
              <w:rPr>
                <w:rFonts w:hint="eastAsia" w:ascii="Times New Roman" w:hAnsi="Times New Roman" w:eastAsia="宋体" w:cs="Times New Roman"/>
                <w:color w:val="auto"/>
                <w:sz w:val="24"/>
                <w:highlight w:val="none"/>
                <w:lang w:val="en-US" w:eastAsia="zh-CN"/>
              </w:rPr>
              <w:t>技术导则 土壤环境（试行）》附录A，本项目属于Ⅳ类项目。企业采取符合要求的防渗措施后，不存在土壤、地下水环境污染途径，因此不开展地下水、土壤环境现状调查。</w:t>
            </w:r>
          </w:p>
        </w:tc>
      </w:tr>
      <w:tr w14:paraId="0DBC18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36" w:hRule="atLeast"/>
        </w:trPr>
        <w:tc>
          <w:tcPr>
            <w:tcW w:w="622" w:type="dxa"/>
            <w:noWrap w:val="0"/>
            <w:vAlign w:val="center"/>
          </w:tcPr>
          <w:p w14:paraId="75D0FB6E">
            <w:pPr>
              <w:adjustRightInd w:val="0"/>
              <w:snapToGrid w:val="0"/>
              <w:jc w:val="center"/>
              <w:rPr>
                <w:color w:val="auto"/>
                <w:kern w:val="0"/>
                <w:szCs w:val="21"/>
                <w:highlight w:val="none"/>
              </w:rPr>
            </w:pPr>
            <w:r>
              <w:rPr>
                <w:color w:val="auto"/>
                <w:kern w:val="0"/>
                <w:szCs w:val="21"/>
                <w:highlight w:val="none"/>
              </w:rPr>
              <w:t>环境</w:t>
            </w:r>
          </w:p>
          <w:p w14:paraId="7A1049DD">
            <w:pPr>
              <w:adjustRightInd w:val="0"/>
              <w:snapToGrid w:val="0"/>
              <w:jc w:val="center"/>
              <w:rPr>
                <w:color w:val="auto"/>
                <w:kern w:val="0"/>
                <w:szCs w:val="21"/>
                <w:highlight w:val="none"/>
              </w:rPr>
            </w:pPr>
            <w:r>
              <w:rPr>
                <w:color w:val="auto"/>
                <w:kern w:val="0"/>
                <w:szCs w:val="21"/>
                <w:highlight w:val="none"/>
              </w:rPr>
              <w:t>保护</w:t>
            </w:r>
          </w:p>
          <w:p w14:paraId="325BE201">
            <w:pPr>
              <w:adjustRightInd w:val="0"/>
              <w:snapToGrid w:val="0"/>
              <w:jc w:val="center"/>
              <w:rPr>
                <w:color w:val="auto"/>
                <w:kern w:val="0"/>
                <w:szCs w:val="21"/>
                <w:highlight w:val="none"/>
              </w:rPr>
            </w:pPr>
            <w:r>
              <w:rPr>
                <w:color w:val="auto"/>
                <w:kern w:val="0"/>
                <w:szCs w:val="21"/>
                <w:highlight w:val="none"/>
              </w:rPr>
              <w:t>目标</w:t>
            </w:r>
          </w:p>
        </w:tc>
        <w:tc>
          <w:tcPr>
            <w:tcW w:w="8439" w:type="dxa"/>
            <w:noWrap w:val="0"/>
            <w:vAlign w:val="center"/>
          </w:tcPr>
          <w:p w14:paraId="61203E5C">
            <w:pPr>
              <w:pStyle w:val="69"/>
              <w:rPr>
                <w:color w:val="auto"/>
                <w:highlight w:val="none"/>
              </w:rPr>
            </w:pPr>
            <w:r>
              <w:rPr>
                <w:rFonts w:hint="eastAsia"/>
                <w:color w:val="auto"/>
                <w:highlight w:val="none"/>
              </w:rPr>
              <w:t>二、</w:t>
            </w:r>
            <w:r>
              <w:rPr>
                <w:color w:val="auto"/>
                <w:highlight w:val="none"/>
              </w:rPr>
              <w:t>环境保护目标</w:t>
            </w:r>
          </w:p>
          <w:p w14:paraId="0F291A8F">
            <w:pPr>
              <w:adjustRightInd w:val="0"/>
              <w:snapToGrid w:val="0"/>
              <w:ind w:firstLine="480" w:firstLineChars="200"/>
              <w:jc w:val="both"/>
              <w:rPr>
                <w:color w:val="auto"/>
                <w:sz w:val="24"/>
                <w:highlight w:val="none"/>
              </w:rPr>
            </w:pPr>
            <w:r>
              <w:rPr>
                <w:color w:val="auto"/>
                <w:sz w:val="24"/>
                <w:highlight w:val="none"/>
              </w:rPr>
              <w:t>根据《建设项目环境影响报告表编制技术指南》（污染影响类）（试行）本项目环境保护目标具体情况如下：</w:t>
            </w:r>
          </w:p>
          <w:p w14:paraId="39EFC775">
            <w:pPr>
              <w:adjustRightInd w:val="0"/>
              <w:snapToGrid w:val="0"/>
              <w:ind w:firstLine="480" w:firstLineChars="200"/>
              <w:jc w:val="both"/>
              <w:rPr>
                <w:color w:val="auto"/>
                <w:sz w:val="24"/>
                <w:szCs w:val="24"/>
                <w:highlight w:val="none"/>
              </w:rPr>
            </w:pPr>
            <w:r>
              <w:rPr>
                <w:color w:val="auto"/>
                <w:sz w:val="24"/>
                <w:highlight w:val="none"/>
              </w:rPr>
              <w:t>1.大气环境</w:t>
            </w:r>
            <w:r>
              <w:rPr>
                <w:rFonts w:hint="eastAsia"/>
                <w:color w:val="auto"/>
                <w:sz w:val="24"/>
                <w:highlight w:val="none"/>
              </w:rPr>
              <w:t>：</w:t>
            </w:r>
            <w:r>
              <w:rPr>
                <w:color w:val="auto"/>
                <w:sz w:val="24"/>
                <w:highlight w:val="none"/>
              </w:rPr>
              <w:t>本项目厂界外500米范围</w:t>
            </w:r>
            <w:r>
              <w:rPr>
                <w:rFonts w:ascii="Times New Roman" w:hAnsi="Times New Roman" w:cs="Times New Roman"/>
                <w:color w:val="auto"/>
                <w:sz w:val="24"/>
                <w:szCs w:val="24"/>
              </w:rPr>
              <w:t>内</w:t>
            </w:r>
            <w:r>
              <w:rPr>
                <w:rFonts w:hint="eastAsia" w:ascii="Times New Roman" w:hAnsi="Times New Roman" w:cs="Times New Roman"/>
                <w:color w:val="auto"/>
                <w:sz w:val="24"/>
                <w:szCs w:val="24"/>
                <w:lang w:eastAsia="zh-CN"/>
              </w:rPr>
              <w:t>无环境空气保护目标</w:t>
            </w:r>
            <w:r>
              <w:rPr>
                <w:rFonts w:hint="eastAsia" w:ascii="Times New Roman" w:hAnsi="Times New Roman" w:eastAsia="宋体" w:cs="Times New Roman"/>
                <w:bCs/>
                <w:color w:val="auto"/>
                <w:sz w:val="24"/>
                <w:szCs w:val="24"/>
                <w:lang w:eastAsia="zh-CN"/>
              </w:rPr>
              <w:t>，本项目最近的居民区为距离约</w:t>
            </w:r>
            <w:r>
              <w:rPr>
                <w:rFonts w:hint="eastAsia" w:ascii="Times New Roman" w:hAnsi="Times New Roman" w:eastAsia="宋体" w:cs="Times New Roman"/>
                <w:bCs/>
                <w:color w:val="auto"/>
                <w:sz w:val="24"/>
                <w:szCs w:val="24"/>
                <w:lang w:val="en-US" w:eastAsia="zh-CN"/>
              </w:rPr>
              <w:t>918m的新堡村</w:t>
            </w:r>
            <w:r>
              <w:rPr>
                <w:rFonts w:hint="eastAsia" w:ascii="Times New Roman" w:hAnsi="Times New Roman" w:cs="Times New Roman"/>
                <w:color w:val="auto"/>
                <w:sz w:val="24"/>
                <w:szCs w:val="24"/>
                <w:lang w:eastAsia="zh-CN"/>
              </w:rPr>
              <w:t>。</w:t>
            </w:r>
          </w:p>
          <w:p w14:paraId="32D6F900">
            <w:pPr>
              <w:adjustRightInd w:val="0"/>
              <w:snapToGrid w:val="0"/>
              <w:ind w:firstLine="480" w:firstLineChars="200"/>
              <w:jc w:val="both"/>
              <w:rPr>
                <w:color w:val="auto"/>
                <w:sz w:val="24"/>
                <w:highlight w:val="none"/>
              </w:rPr>
            </w:pPr>
            <w:r>
              <w:rPr>
                <w:color w:val="auto"/>
                <w:sz w:val="24"/>
                <w:highlight w:val="none"/>
              </w:rPr>
              <w:t>2.</w:t>
            </w:r>
            <w:r>
              <w:rPr>
                <w:rFonts w:hint="eastAsia"/>
                <w:color w:val="auto"/>
                <w:sz w:val="24"/>
                <w:highlight w:val="none"/>
                <w:lang w:eastAsia="zh-CN"/>
              </w:rPr>
              <w:t>地表水</w:t>
            </w:r>
            <w:r>
              <w:rPr>
                <w:color w:val="auto"/>
                <w:sz w:val="24"/>
                <w:highlight w:val="none"/>
              </w:rPr>
              <w:t>环境</w:t>
            </w:r>
            <w:r>
              <w:rPr>
                <w:rFonts w:hint="eastAsia"/>
                <w:color w:val="auto"/>
                <w:sz w:val="24"/>
                <w:highlight w:val="none"/>
              </w:rPr>
              <w:t>：本项目地表水环境保护目标为</w:t>
            </w:r>
            <w:r>
              <w:rPr>
                <w:rFonts w:hint="eastAsia"/>
                <w:color w:val="auto"/>
                <w:sz w:val="24"/>
                <w:highlight w:val="none"/>
                <w:lang w:eastAsia="zh-CN"/>
              </w:rPr>
              <w:t>东洲</w:t>
            </w:r>
            <w:r>
              <w:rPr>
                <w:rFonts w:hint="eastAsia"/>
                <w:color w:val="auto"/>
                <w:sz w:val="24"/>
                <w:highlight w:val="none"/>
              </w:rPr>
              <w:t>河，</w:t>
            </w:r>
            <w:r>
              <w:rPr>
                <w:rFonts w:hint="eastAsia"/>
                <w:color w:val="auto"/>
                <w:sz w:val="24"/>
                <w:highlight w:val="none"/>
                <w:lang w:eastAsia="zh-CN"/>
              </w:rPr>
              <w:t>东洲</w:t>
            </w:r>
            <w:r>
              <w:rPr>
                <w:rFonts w:hint="eastAsia"/>
                <w:color w:val="auto"/>
                <w:sz w:val="24"/>
                <w:highlight w:val="none"/>
              </w:rPr>
              <w:t>河距离本项目约</w:t>
            </w:r>
            <w:r>
              <w:rPr>
                <w:rFonts w:hint="eastAsia"/>
                <w:color w:val="auto"/>
                <w:sz w:val="24"/>
                <w:highlight w:val="none"/>
                <w:lang w:val="en-US" w:eastAsia="zh-CN"/>
              </w:rPr>
              <w:t>42</w:t>
            </w:r>
            <w:r>
              <w:rPr>
                <w:rFonts w:hint="eastAsia"/>
                <w:color w:val="auto"/>
                <w:sz w:val="24"/>
                <w:highlight w:val="none"/>
              </w:rPr>
              <w:t>m</w:t>
            </w:r>
            <w:r>
              <w:rPr>
                <w:color w:val="auto"/>
                <w:sz w:val="24"/>
                <w:highlight w:val="none"/>
              </w:rPr>
              <w:t>。</w:t>
            </w:r>
          </w:p>
          <w:p w14:paraId="5DC1D9A5">
            <w:pPr>
              <w:adjustRightInd w:val="0"/>
              <w:snapToGrid w:val="0"/>
              <w:ind w:firstLine="480" w:firstLineChars="200"/>
              <w:jc w:val="both"/>
              <w:rPr>
                <w:color w:val="auto"/>
                <w:sz w:val="24"/>
                <w:highlight w:val="none"/>
              </w:rPr>
            </w:pPr>
            <w:r>
              <w:rPr>
                <w:rFonts w:hint="eastAsia"/>
                <w:color w:val="auto"/>
                <w:sz w:val="24"/>
                <w:highlight w:val="none"/>
                <w:lang w:val="en-US" w:eastAsia="zh-CN"/>
              </w:rPr>
              <w:t>3</w:t>
            </w:r>
            <w:r>
              <w:rPr>
                <w:color w:val="auto"/>
                <w:sz w:val="24"/>
                <w:highlight w:val="none"/>
              </w:rPr>
              <w:t>.声环境</w:t>
            </w:r>
            <w:r>
              <w:rPr>
                <w:rFonts w:hint="eastAsia"/>
                <w:color w:val="auto"/>
                <w:sz w:val="24"/>
                <w:highlight w:val="none"/>
              </w:rPr>
              <w:t>：</w:t>
            </w:r>
            <w:r>
              <w:rPr>
                <w:color w:val="auto"/>
                <w:sz w:val="24"/>
                <w:highlight w:val="none"/>
              </w:rPr>
              <w:t>本项目厂界外50米范围内</w:t>
            </w:r>
            <w:r>
              <w:rPr>
                <w:rFonts w:hint="eastAsia"/>
                <w:color w:val="auto"/>
                <w:sz w:val="24"/>
                <w:highlight w:val="none"/>
                <w:lang w:eastAsia="zh-CN"/>
              </w:rPr>
              <w:t>无</w:t>
            </w:r>
            <w:r>
              <w:rPr>
                <w:color w:val="auto"/>
                <w:sz w:val="24"/>
                <w:highlight w:val="none"/>
              </w:rPr>
              <w:t>声环境保护目标。</w:t>
            </w:r>
          </w:p>
          <w:p w14:paraId="4BAA61E4">
            <w:pPr>
              <w:adjustRightInd w:val="0"/>
              <w:snapToGrid w:val="0"/>
              <w:ind w:firstLine="480" w:firstLineChars="200"/>
              <w:jc w:val="both"/>
              <w:rPr>
                <w:color w:val="auto"/>
                <w:sz w:val="24"/>
                <w:highlight w:val="none"/>
              </w:rPr>
            </w:pPr>
            <w:r>
              <w:rPr>
                <w:rFonts w:hint="eastAsia"/>
                <w:color w:val="auto"/>
                <w:sz w:val="24"/>
                <w:highlight w:val="none"/>
                <w:lang w:val="en-US" w:eastAsia="zh-CN"/>
              </w:rPr>
              <w:t>4</w:t>
            </w:r>
            <w:r>
              <w:rPr>
                <w:color w:val="auto"/>
                <w:sz w:val="24"/>
                <w:highlight w:val="none"/>
              </w:rPr>
              <w:t>.地下水环境</w:t>
            </w:r>
            <w:r>
              <w:rPr>
                <w:rFonts w:hint="eastAsia"/>
                <w:color w:val="auto"/>
                <w:sz w:val="24"/>
                <w:highlight w:val="none"/>
              </w:rPr>
              <w:t>：</w:t>
            </w:r>
            <w:r>
              <w:rPr>
                <w:color w:val="auto"/>
                <w:sz w:val="24"/>
                <w:highlight w:val="none"/>
              </w:rPr>
              <w:t>本项目厂界外500米范围内无地下水集中式饮用水水源和热水、矿泉水、温泉等特殊地下水资源。</w:t>
            </w:r>
          </w:p>
          <w:p w14:paraId="548AC2A4">
            <w:pPr>
              <w:pStyle w:val="59"/>
              <w:ind w:firstLine="480"/>
              <w:rPr>
                <w:color w:val="auto"/>
                <w:sz w:val="24"/>
                <w:highlight w:val="none"/>
              </w:rPr>
            </w:pPr>
            <w:r>
              <w:rPr>
                <w:color w:val="auto"/>
                <w:sz w:val="24"/>
                <w:highlight w:val="none"/>
              </w:rPr>
              <w:t>本项目环境保护目标见下表，环境保护目标图见</w:t>
            </w:r>
            <w:r>
              <w:rPr>
                <w:rFonts w:hint="eastAsia"/>
                <w:color w:val="auto"/>
                <w:sz w:val="24"/>
                <w:highlight w:val="none"/>
              </w:rPr>
              <w:t>附</w:t>
            </w:r>
            <w:r>
              <w:rPr>
                <w:color w:val="auto"/>
                <w:sz w:val="24"/>
                <w:highlight w:val="none"/>
              </w:rPr>
              <w:t>图</w:t>
            </w:r>
            <w:r>
              <w:rPr>
                <w:rFonts w:hint="eastAsia"/>
                <w:color w:val="auto"/>
                <w:sz w:val="24"/>
                <w:highlight w:val="none"/>
                <w:lang w:val="en-US" w:eastAsia="zh-CN"/>
              </w:rPr>
              <w:t>3</w:t>
            </w:r>
            <w:r>
              <w:rPr>
                <w:color w:val="auto"/>
                <w:sz w:val="24"/>
                <w:highlight w:val="none"/>
              </w:rPr>
              <w:t>。</w:t>
            </w:r>
          </w:p>
          <w:p w14:paraId="642E89A7">
            <w:pPr>
              <w:pStyle w:val="68"/>
              <w:numPr>
                <w:ilvl w:val="0"/>
                <w:numId w:val="18"/>
              </w:numPr>
              <w:spacing w:line="360" w:lineRule="auto"/>
              <w:ind w:left="0" w:leftChars="0"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 xml:space="preserve">  本项目环境保护目标</w:t>
            </w:r>
          </w:p>
          <w:tbl>
            <w:tblPr>
              <w:tblStyle w:val="26"/>
              <w:tblW w:w="821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left w:w="108" w:type="dxa"/>
                <w:right w:w="108" w:type="dxa"/>
              </w:tblCellMar>
            </w:tblPr>
            <w:tblGrid>
              <w:gridCol w:w="660"/>
              <w:gridCol w:w="974"/>
              <w:gridCol w:w="804"/>
              <w:gridCol w:w="1214"/>
              <w:gridCol w:w="1109"/>
              <w:gridCol w:w="888"/>
              <w:gridCol w:w="632"/>
              <w:gridCol w:w="1932"/>
            </w:tblGrid>
            <w:tr w14:paraId="4AFD09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660" w:type="dxa"/>
                  <w:vMerge w:val="restart"/>
                  <w:noWrap w:val="0"/>
                  <w:vAlign w:val="center"/>
                </w:tcPr>
                <w:p w14:paraId="4985303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rPr>
                    <w:t>环境要素</w:t>
                  </w:r>
                </w:p>
              </w:tc>
              <w:tc>
                <w:tcPr>
                  <w:tcW w:w="974" w:type="dxa"/>
                  <w:vMerge w:val="restart"/>
                  <w:noWrap w:val="0"/>
                  <w:vAlign w:val="center"/>
                </w:tcPr>
                <w:p w14:paraId="60283E2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rPr>
                    <w:t>环境保护目标</w:t>
                  </w:r>
                </w:p>
              </w:tc>
              <w:tc>
                <w:tcPr>
                  <w:tcW w:w="804" w:type="dxa"/>
                  <w:vMerge w:val="restart"/>
                  <w:noWrap w:val="0"/>
                  <w:vAlign w:val="center"/>
                </w:tcPr>
                <w:p w14:paraId="21C395B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rPr>
                    <w:t>相对方位</w:t>
                  </w:r>
                </w:p>
              </w:tc>
              <w:tc>
                <w:tcPr>
                  <w:tcW w:w="2323" w:type="dxa"/>
                  <w:gridSpan w:val="2"/>
                  <w:noWrap w:val="0"/>
                  <w:vAlign w:val="top"/>
                </w:tcPr>
                <w:p w14:paraId="32FD7AE8">
                  <w:pPr>
                    <w:pStyle w:val="68"/>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rPr>
                    <w:t>相对坐标</w:t>
                  </w:r>
                </w:p>
              </w:tc>
              <w:tc>
                <w:tcPr>
                  <w:tcW w:w="888" w:type="dxa"/>
                  <w:vMerge w:val="restart"/>
                  <w:noWrap w:val="0"/>
                  <w:vAlign w:val="center"/>
                </w:tcPr>
                <w:p w14:paraId="6EAEAC3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rPr>
                    <w:t>与厂界最近距离（m）</w:t>
                  </w:r>
                </w:p>
              </w:tc>
              <w:tc>
                <w:tcPr>
                  <w:tcW w:w="632" w:type="dxa"/>
                  <w:vMerge w:val="restart"/>
                  <w:noWrap w:val="0"/>
                  <w:vAlign w:val="center"/>
                </w:tcPr>
                <w:p w14:paraId="526AEE1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rPr>
                    <w:t>人口</w:t>
                  </w:r>
                </w:p>
              </w:tc>
              <w:tc>
                <w:tcPr>
                  <w:tcW w:w="1932" w:type="dxa"/>
                  <w:vMerge w:val="restart"/>
                  <w:noWrap w:val="0"/>
                  <w:vAlign w:val="center"/>
                </w:tcPr>
                <w:p w14:paraId="398A266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rPr>
                    <w:t>功能区</w:t>
                  </w:r>
                </w:p>
              </w:tc>
            </w:tr>
            <w:tr w14:paraId="07C3C8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660" w:type="dxa"/>
                  <w:vMerge w:val="continue"/>
                  <w:noWrap w:val="0"/>
                  <w:vAlign w:val="top"/>
                </w:tcPr>
                <w:p w14:paraId="01903FCA">
                  <w:pPr>
                    <w:pStyle w:val="68"/>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974" w:type="dxa"/>
                  <w:vMerge w:val="continue"/>
                  <w:noWrap w:val="0"/>
                  <w:vAlign w:val="top"/>
                </w:tcPr>
                <w:p w14:paraId="6F285206">
                  <w:pPr>
                    <w:pStyle w:val="68"/>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804" w:type="dxa"/>
                  <w:vMerge w:val="continue"/>
                  <w:noWrap w:val="0"/>
                  <w:vAlign w:val="top"/>
                </w:tcPr>
                <w:p w14:paraId="5CB5C452">
                  <w:pPr>
                    <w:pStyle w:val="68"/>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1214" w:type="dxa"/>
                  <w:noWrap w:val="0"/>
                  <w:vAlign w:val="center"/>
                </w:tcPr>
                <w:p w14:paraId="6FB7F09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rPr>
                    <w:t>X（m）</w:t>
                  </w:r>
                </w:p>
              </w:tc>
              <w:tc>
                <w:tcPr>
                  <w:tcW w:w="1109" w:type="dxa"/>
                  <w:noWrap w:val="0"/>
                  <w:vAlign w:val="center"/>
                </w:tcPr>
                <w:p w14:paraId="1736636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rPr>
                    <w:t>Y（m）</w:t>
                  </w:r>
                </w:p>
              </w:tc>
              <w:tc>
                <w:tcPr>
                  <w:tcW w:w="888" w:type="dxa"/>
                  <w:vMerge w:val="continue"/>
                  <w:noWrap w:val="0"/>
                  <w:vAlign w:val="top"/>
                </w:tcPr>
                <w:p w14:paraId="4D61B25F">
                  <w:pPr>
                    <w:pStyle w:val="68"/>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632" w:type="dxa"/>
                  <w:vMerge w:val="continue"/>
                  <w:noWrap w:val="0"/>
                  <w:vAlign w:val="top"/>
                </w:tcPr>
                <w:p w14:paraId="02CDE6B5">
                  <w:pPr>
                    <w:pStyle w:val="68"/>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c>
                <w:tcPr>
                  <w:tcW w:w="1932" w:type="dxa"/>
                  <w:vMerge w:val="continue"/>
                  <w:noWrap w:val="0"/>
                  <w:vAlign w:val="top"/>
                </w:tcPr>
                <w:p w14:paraId="12BE7A9B">
                  <w:pPr>
                    <w:pStyle w:val="68"/>
                    <w:keepNext w:val="0"/>
                    <w:keepLines w:val="0"/>
                    <w:pageBreakBefore w:val="0"/>
                    <w:widowControl w:val="0"/>
                    <w:numPr>
                      <w:ilvl w:val="0"/>
                      <w:numId w:val="0"/>
                    </w:numPr>
                    <w:tabs>
                      <w:tab w:val="left" w:pos="0"/>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p>
              </w:tc>
            </w:tr>
            <w:tr w14:paraId="657F7B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660" w:type="dxa"/>
                  <w:noWrap w:val="0"/>
                  <w:vAlign w:val="center"/>
                </w:tcPr>
                <w:p w14:paraId="3C62027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rPr>
                    <w:t>地表水</w:t>
                  </w:r>
                </w:p>
              </w:tc>
              <w:tc>
                <w:tcPr>
                  <w:tcW w:w="974" w:type="dxa"/>
                  <w:noWrap w:val="0"/>
                  <w:vAlign w:val="center"/>
                </w:tcPr>
                <w:p w14:paraId="411E0CE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lang w:eastAsia="zh-CN"/>
                    </w:rPr>
                    <w:t>东洲</w:t>
                  </w:r>
                  <w:r>
                    <w:rPr>
                      <w:rFonts w:hint="default" w:ascii="Times New Roman" w:hAnsi="Times New Roman" w:eastAsia="宋体" w:cs="Times New Roman"/>
                      <w:b w:val="0"/>
                      <w:bCs w:val="0"/>
                      <w:color w:val="auto"/>
                      <w:sz w:val="21"/>
                      <w:szCs w:val="21"/>
                      <w:highlight w:val="none"/>
                    </w:rPr>
                    <w:t>河</w:t>
                  </w:r>
                </w:p>
              </w:tc>
              <w:tc>
                <w:tcPr>
                  <w:tcW w:w="804" w:type="dxa"/>
                  <w:noWrap w:val="0"/>
                  <w:vAlign w:val="center"/>
                </w:tcPr>
                <w:p w14:paraId="7AB5DDE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lang w:val="en-US" w:eastAsia="zh-CN"/>
                    </w:rPr>
                    <w:t>S</w:t>
                  </w:r>
                  <w:r>
                    <w:rPr>
                      <w:rFonts w:hint="eastAsia" w:ascii="Times New Roman" w:hAnsi="Times New Roman" w:eastAsia="宋体" w:cs="Times New Roman"/>
                      <w:b w:val="0"/>
                      <w:bCs w:val="0"/>
                      <w:color w:val="auto"/>
                      <w:sz w:val="21"/>
                      <w:szCs w:val="21"/>
                      <w:highlight w:val="none"/>
                      <w:lang w:val="en-US" w:eastAsia="zh-CN"/>
                    </w:rPr>
                    <w:t>W</w:t>
                  </w:r>
                </w:p>
              </w:tc>
              <w:tc>
                <w:tcPr>
                  <w:tcW w:w="1214" w:type="dxa"/>
                  <w:noWrap w:val="0"/>
                  <w:vAlign w:val="center"/>
                </w:tcPr>
                <w:p w14:paraId="3809A90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rPr>
                    <w:t>/</w:t>
                  </w:r>
                </w:p>
              </w:tc>
              <w:tc>
                <w:tcPr>
                  <w:tcW w:w="1109" w:type="dxa"/>
                  <w:noWrap w:val="0"/>
                  <w:vAlign w:val="center"/>
                </w:tcPr>
                <w:p w14:paraId="3919726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rPr>
                    <w:t>/</w:t>
                  </w:r>
                </w:p>
              </w:tc>
              <w:tc>
                <w:tcPr>
                  <w:tcW w:w="888" w:type="dxa"/>
                  <w:noWrap w:val="0"/>
                  <w:vAlign w:val="center"/>
                </w:tcPr>
                <w:p w14:paraId="252603F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lang w:val="en-US" w:eastAsia="zh-CN"/>
                    </w:rPr>
                    <w:t>4</w:t>
                  </w:r>
                  <w:r>
                    <w:rPr>
                      <w:rFonts w:hint="default" w:ascii="Times New Roman" w:hAnsi="Times New Roman" w:eastAsia="宋体" w:cs="Times New Roman"/>
                      <w:b w:val="0"/>
                      <w:bCs w:val="0"/>
                      <w:color w:val="auto"/>
                      <w:sz w:val="21"/>
                      <w:szCs w:val="21"/>
                      <w:highlight w:val="none"/>
                      <w:lang w:val="en-US" w:eastAsia="zh-CN"/>
                    </w:rPr>
                    <w:t>2</w:t>
                  </w:r>
                </w:p>
              </w:tc>
              <w:tc>
                <w:tcPr>
                  <w:tcW w:w="632" w:type="dxa"/>
                  <w:noWrap w:val="0"/>
                  <w:vAlign w:val="center"/>
                </w:tcPr>
                <w:p w14:paraId="5D3B347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rPr>
                    <w:t>/</w:t>
                  </w:r>
                </w:p>
              </w:tc>
              <w:tc>
                <w:tcPr>
                  <w:tcW w:w="1932" w:type="dxa"/>
                  <w:noWrap w:val="0"/>
                  <w:vAlign w:val="center"/>
                </w:tcPr>
                <w:p w14:paraId="381E4DA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rPr>
                    <w:t>《地表水环境质量标准》（GB3838-2002）中的</w:t>
                  </w:r>
                  <w:r>
                    <w:rPr>
                      <w:rFonts w:ascii="Times New Roman" w:hAnsi="Times New Roman" w:eastAsia="宋体" w:cs="Times New Roman"/>
                      <w:color w:val="auto"/>
                      <w:lang w:eastAsia="zh-CN"/>
                    </w:rPr>
                    <w:t>Ⅳ</w:t>
                  </w:r>
                  <w:r>
                    <w:rPr>
                      <w:rFonts w:hint="default" w:ascii="Times New Roman" w:hAnsi="Times New Roman" w:eastAsia="宋体" w:cs="Times New Roman"/>
                      <w:b w:val="0"/>
                      <w:bCs w:val="0"/>
                      <w:color w:val="auto"/>
                      <w:sz w:val="21"/>
                      <w:szCs w:val="21"/>
                      <w:highlight w:val="none"/>
                    </w:rPr>
                    <w:t>类标准</w:t>
                  </w:r>
                </w:p>
              </w:tc>
            </w:tr>
          </w:tbl>
          <w:p w14:paraId="5C849D24">
            <w:pPr>
              <w:pStyle w:val="59"/>
              <w:ind w:firstLine="0" w:firstLineChars="0"/>
              <w:rPr>
                <w:rFonts w:hint="default" w:eastAsia="宋体"/>
                <w:color w:val="auto"/>
                <w:sz w:val="24"/>
                <w:highlight w:val="none"/>
                <w:lang w:val="en-US" w:eastAsia="zh-CN"/>
              </w:rPr>
            </w:pPr>
          </w:p>
          <w:p w14:paraId="05EF8B44">
            <w:pPr>
              <w:pStyle w:val="59"/>
              <w:ind w:firstLine="0" w:firstLineChars="0"/>
              <w:rPr>
                <w:rFonts w:hint="default" w:eastAsia="宋体"/>
                <w:color w:val="auto"/>
                <w:sz w:val="24"/>
                <w:highlight w:val="none"/>
                <w:lang w:val="en-US" w:eastAsia="zh-CN"/>
              </w:rPr>
            </w:pPr>
          </w:p>
        </w:tc>
      </w:tr>
      <w:tr w14:paraId="3FAEB5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atLeast"/>
        </w:trPr>
        <w:tc>
          <w:tcPr>
            <w:tcW w:w="622" w:type="dxa"/>
            <w:noWrap w:val="0"/>
            <w:vAlign w:val="center"/>
          </w:tcPr>
          <w:p w14:paraId="371B91B9">
            <w:pPr>
              <w:adjustRightInd w:val="0"/>
              <w:snapToGrid w:val="0"/>
              <w:jc w:val="center"/>
              <w:rPr>
                <w:color w:val="auto"/>
                <w:kern w:val="0"/>
                <w:szCs w:val="21"/>
                <w:highlight w:val="none"/>
              </w:rPr>
            </w:pPr>
            <w:r>
              <w:rPr>
                <w:color w:val="auto"/>
                <w:kern w:val="0"/>
                <w:szCs w:val="21"/>
                <w:highlight w:val="none"/>
              </w:rPr>
              <w:t>污染</w:t>
            </w:r>
          </w:p>
          <w:p w14:paraId="75591747">
            <w:pPr>
              <w:adjustRightInd w:val="0"/>
              <w:snapToGrid w:val="0"/>
              <w:jc w:val="center"/>
              <w:rPr>
                <w:color w:val="auto"/>
                <w:kern w:val="0"/>
                <w:szCs w:val="21"/>
                <w:highlight w:val="none"/>
              </w:rPr>
            </w:pPr>
            <w:r>
              <w:rPr>
                <w:color w:val="auto"/>
                <w:kern w:val="0"/>
                <w:szCs w:val="21"/>
                <w:highlight w:val="none"/>
              </w:rPr>
              <w:t>物排</w:t>
            </w:r>
          </w:p>
          <w:p w14:paraId="2EAC2E68">
            <w:pPr>
              <w:adjustRightInd w:val="0"/>
              <w:snapToGrid w:val="0"/>
              <w:jc w:val="center"/>
              <w:rPr>
                <w:color w:val="auto"/>
                <w:kern w:val="0"/>
                <w:szCs w:val="21"/>
                <w:highlight w:val="none"/>
              </w:rPr>
            </w:pPr>
            <w:r>
              <w:rPr>
                <w:color w:val="auto"/>
                <w:kern w:val="0"/>
                <w:szCs w:val="21"/>
                <w:highlight w:val="none"/>
              </w:rPr>
              <w:t>放控</w:t>
            </w:r>
          </w:p>
          <w:p w14:paraId="37D91C1C">
            <w:pPr>
              <w:adjustRightInd w:val="0"/>
              <w:snapToGrid w:val="0"/>
              <w:jc w:val="center"/>
              <w:rPr>
                <w:color w:val="auto"/>
                <w:kern w:val="0"/>
                <w:szCs w:val="21"/>
                <w:highlight w:val="none"/>
              </w:rPr>
            </w:pPr>
            <w:r>
              <w:rPr>
                <w:color w:val="auto"/>
                <w:kern w:val="0"/>
                <w:szCs w:val="21"/>
                <w:highlight w:val="none"/>
              </w:rPr>
              <w:t>制标</w:t>
            </w:r>
          </w:p>
          <w:p w14:paraId="79D39578">
            <w:pPr>
              <w:adjustRightInd w:val="0"/>
              <w:snapToGrid w:val="0"/>
              <w:jc w:val="center"/>
              <w:rPr>
                <w:color w:val="auto"/>
                <w:kern w:val="0"/>
                <w:szCs w:val="21"/>
                <w:highlight w:val="none"/>
              </w:rPr>
            </w:pPr>
            <w:r>
              <w:rPr>
                <w:color w:val="auto"/>
                <w:kern w:val="0"/>
                <w:szCs w:val="21"/>
                <w:highlight w:val="none"/>
              </w:rPr>
              <w:t>准</w:t>
            </w:r>
          </w:p>
        </w:tc>
        <w:tc>
          <w:tcPr>
            <w:tcW w:w="8439" w:type="dxa"/>
            <w:noWrap w:val="0"/>
            <w:vAlign w:val="center"/>
          </w:tcPr>
          <w:p w14:paraId="016733A9">
            <w:pPr>
              <w:pStyle w:val="69"/>
              <w:rPr>
                <w:color w:val="auto"/>
                <w:highlight w:val="none"/>
              </w:rPr>
            </w:pPr>
            <w:r>
              <w:rPr>
                <w:rFonts w:hint="eastAsia"/>
                <w:color w:val="auto"/>
                <w:highlight w:val="none"/>
              </w:rPr>
              <w:t>三、</w:t>
            </w:r>
            <w:r>
              <w:rPr>
                <w:color w:val="auto"/>
                <w:highlight w:val="none"/>
              </w:rPr>
              <w:t>污染物排放控制标准</w:t>
            </w:r>
          </w:p>
          <w:p w14:paraId="3AD61229">
            <w:pPr>
              <w:pStyle w:val="62"/>
              <w:rPr>
                <w:rFonts w:hint="eastAsia"/>
                <w:color w:val="auto"/>
                <w:highlight w:val="none"/>
              </w:rPr>
            </w:pPr>
            <w:r>
              <w:rPr>
                <w:rFonts w:hint="eastAsia"/>
                <w:color w:val="auto"/>
                <w:highlight w:val="none"/>
              </w:rPr>
              <w:t>1、废气排放标准</w:t>
            </w:r>
          </w:p>
          <w:p w14:paraId="05C968DE">
            <w:pPr>
              <w:pStyle w:val="62"/>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b w:val="0"/>
                <w:bCs/>
                <w:color w:val="auto"/>
                <w:highlight w:val="none"/>
                <w:lang w:eastAsia="zh-CN"/>
              </w:rPr>
            </w:pPr>
            <w:r>
              <w:rPr>
                <w:rFonts w:hint="eastAsia"/>
                <w:b w:val="0"/>
                <w:bCs/>
                <w:color w:val="auto"/>
                <w:highlight w:val="none"/>
                <w:lang w:eastAsia="zh-CN"/>
              </w:rPr>
              <w:t>（</w:t>
            </w:r>
            <w:r>
              <w:rPr>
                <w:rFonts w:hint="eastAsia"/>
                <w:b w:val="0"/>
                <w:bCs/>
                <w:color w:val="auto"/>
                <w:highlight w:val="none"/>
                <w:lang w:val="en-US" w:eastAsia="zh-CN"/>
              </w:rPr>
              <w:t>1</w:t>
            </w:r>
            <w:r>
              <w:rPr>
                <w:rFonts w:hint="eastAsia"/>
                <w:b w:val="0"/>
                <w:bCs/>
                <w:color w:val="auto"/>
                <w:highlight w:val="none"/>
                <w:lang w:eastAsia="zh-CN"/>
              </w:rPr>
              <w:t>）施工期：</w:t>
            </w:r>
          </w:p>
          <w:p w14:paraId="4943B677">
            <w:pPr>
              <w:pStyle w:val="75"/>
              <w:keepNext w:val="0"/>
              <w:keepLines w:val="0"/>
              <w:pageBreakBefore w:val="0"/>
              <w:widowControl w:val="0"/>
              <w:tabs>
                <w:tab w:val="left" w:pos="0"/>
              </w:tabs>
              <w:kinsoku/>
              <w:wordWrap/>
              <w:overflowPunct/>
              <w:topLinePunct w:val="0"/>
              <w:autoSpaceDE/>
              <w:autoSpaceDN/>
              <w:bidi w:val="0"/>
              <w:adjustRightInd/>
              <w:snapToGrid/>
              <w:spacing w:line="360" w:lineRule="auto"/>
              <w:ind w:firstLine="480" w:firstLineChars="200"/>
              <w:jc w:val="both"/>
              <w:textAlignment w:val="auto"/>
              <w:rPr>
                <w:rFonts w:ascii="Times New Roman" w:hAnsi="Times New Roman" w:cs="Times New Roman"/>
                <w:color w:val="auto"/>
              </w:rPr>
            </w:pPr>
            <w:r>
              <w:rPr>
                <w:rFonts w:ascii="Times New Roman" w:hAnsi="Times New Roman" w:cs="Times New Roman"/>
                <w:color w:val="auto"/>
              </w:rPr>
              <w:t>施工扬尘执行辽宁省《施工及堆料场地扬尘排放标准》（DB21</w:t>
            </w:r>
            <w:r>
              <w:rPr>
                <w:rFonts w:hint="default" w:ascii="Times New Roman" w:hAnsi="Times New Roman" w:eastAsia="宋体" w:cs="Times New Roman"/>
                <w:bCs/>
                <w:color w:val="auto"/>
                <w:kern w:val="0"/>
                <w:highlight w:val="none"/>
                <w:lang w:eastAsia="zh-CN"/>
              </w:rPr>
              <w:t>/</w:t>
            </w:r>
            <w:r>
              <w:rPr>
                <w:rFonts w:ascii="Times New Roman" w:hAnsi="Times New Roman" w:cs="Times New Roman"/>
                <w:color w:val="auto"/>
              </w:rPr>
              <w:t>2642-2016）标准要求。</w:t>
            </w:r>
          </w:p>
          <w:p w14:paraId="258A9195">
            <w:pPr>
              <w:pStyle w:val="68"/>
              <w:numPr>
                <w:ilvl w:val="0"/>
                <w:numId w:val="18"/>
              </w:numPr>
              <w:spacing w:line="360" w:lineRule="auto"/>
              <w:ind w:left="0" w:leftChars="0"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 xml:space="preserve">  施工及堆料场地扬尘排放标准</w:t>
            </w:r>
          </w:p>
          <w:tbl>
            <w:tblPr>
              <w:tblStyle w:val="2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26"/>
              <w:gridCol w:w="2206"/>
              <w:gridCol w:w="3878"/>
            </w:tblGrid>
            <w:tr w14:paraId="4B9D01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95" w:type="pct"/>
                  <w:noWrap w:val="0"/>
                  <w:vAlign w:val="center"/>
                </w:tcPr>
                <w:p w14:paraId="4925880A">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ascii="Times New Roman" w:hAnsi="Times New Roman" w:eastAsia="宋体" w:cs="Times New Roman"/>
                      <w:color w:val="auto"/>
                      <w:lang w:eastAsia="zh-CN"/>
                    </w:rPr>
                  </w:pPr>
                  <w:r>
                    <w:rPr>
                      <w:rFonts w:ascii="Times New Roman" w:hAnsi="Times New Roman" w:eastAsia="宋体" w:cs="Times New Roman"/>
                      <w:color w:val="auto"/>
                      <w:lang w:eastAsia="zh-CN"/>
                    </w:rPr>
                    <w:t>监测项目</w:t>
                  </w:r>
                </w:p>
              </w:tc>
              <w:tc>
                <w:tcPr>
                  <w:tcW w:w="1343" w:type="pct"/>
                  <w:noWrap w:val="0"/>
                  <w:vAlign w:val="center"/>
                </w:tcPr>
                <w:p w14:paraId="6A6D9626">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ascii="Times New Roman" w:hAnsi="Times New Roman" w:eastAsia="宋体" w:cs="Times New Roman"/>
                      <w:color w:val="auto"/>
                      <w:lang w:eastAsia="zh-CN"/>
                    </w:rPr>
                  </w:pPr>
                  <w:r>
                    <w:rPr>
                      <w:rFonts w:ascii="Times New Roman" w:hAnsi="Times New Roman" w:eastAsia="宋体" w:cs="Times New Roman"/>
                      <w:color w:val="auto"/>
                      <w:lang w:eastAsia="zh-CN"/>
                    </w:rPr>
                    <w:t>区域</w:t>
                  </w:r>
                </w:p>
              </w:tc>
              <w:tc>
                <w:tcPr>
                  <w:tcW w:w="2361" w:type="pct"/>
                  <w:noWrap w:val="0"/>
                  <w:vAlign w:val="center"/>
                </w:tcPr>
                <w:p w14:paraId="6093E384">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ascii="Times New Roman" w:hAnsi="Times New Roman" w:eastAsia="宋体" w:cs="Times New Roman"/>
                      <w:color w:val="auto"/>
                      <w:lang w:eastAsia="zh-CN"/>
                    </w:rPr>
                  </w:pPr>
                  <w:r>
                    <w:rPr>
                      <w:rFonts w:ascii="Times New Roman" w:hAnsi="Times New Roman" w:eastAsia="宋体" w:cs="Times New Roman"/>
                      <w:color w:val="auto"/>
                      <w:lang w:eastAsia="zh-CN"/>
                    </w:rPr>
                    <w:t>浓度限值（连续5min平均浓度）</w:t>
                  </w:r>
                </w:p>
              </w:tc>
            </w:tr>
            <w:tr w14:paraId="2D6EE9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95" w:type="pct"/>
                  <w:noWrap w:val="0"/>
                  <w:vAlign w:val="center"/>
                </w:tcPr>
                <w:p w14:paraId="5396A650">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ascii="Times New Roman" w:hAnsi="Times New Roman" w:eastAsia="宋体" w:cs="Times New Roman"/>
                      <w:color w:val="auto"/>
                      <w:lang w:eastAsia="zh-CN"/>
                    </w:rPr>
                  </w:pPr>
                  <w:r>
                    <w:rPr>
                      <w:rFonts w:ascii="Times New Roman" w:hAnsi="Times New Roman" w:eastAsia="宋体" w:cs="Times New Roman"/>
                      <w:color w:val="auto"/>
                      <w:lang w:eastAsia="zh-CN"/>
                    </w:rPr>
                    <w:t>颗粒物（TSP）</w:t>
                  </w:r>
                </w:p>
              </w:tc>
              <w:tc>
                <w:tcPr>
                  <w:tcW w:w="1343" w:type="pct"/>
                  <w:noWrap w:val="0"/>
                  <w:vAlign w:val="center"/>
                </w:tcPr>
                <w:p w14:paraId="2A7606BF">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ascii="Times New Roman" w:hAnsi="Times New Roman" w:eastAsia="宋体" w:cs="Times New Roman"/>
                      <w:color w:val="auto"/>
                      <w:lang w:eastAsia="zh-CN"/>
                    </w:rPr>
                  </w:pPr>
                  <w:r>
                    <w:rPr>
                      <w:rFonts w:ascii="Times New Roman" w:hAnsi="Times New Roman" w:eastAsia="宋体" w:cs="Times New Roman"/>
                      <w:color w:val="auto"/>
                      <w:lang w:eastAsia="zh-CN"/>
                    </w:rPr>
                    <w:t>郊区及农村地区</w:t>
                  </w:r>
                </w:p>
              </w:tc>
              <w:tc>
                <w:tcPr>
                  <w:tcW w:w="2361" w:type="pct"/>
                  <w:noWrap w:val="0"/>
                  <w:vAlign w:val="center"/>
                </w:tcPr>
                <w:p w14:paraId="6210C4FD">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ascii="Times New Roman" w:hAnsi="Times New Roman" w:eastAsia="宋体" w:cs="Times New Roman"/>
                      <w:color w:val="auto"/>
                      <w:lang w:eastAsia="zh-CN"/>
                    </w:rPr>
                  </w:pPr>
                  <w:r>
                    <w:rPr>
                      <w:rFonts w:ascii="Times New Roman" w:hAnsi="Times New Roman" w:eastAsia="宋体" w:cs="Times New Roman"/>
                      <w:color w:val="auto"/>
                      <w:lang w:eastAsia="zh-CN"/>
                    </w:rPr>
                    <w:t>1.0mg/m</w:t>
                  </w:r>
                  <w:r>
                    <w:rPr>
                      <w:rFonts w:ascii="Times New Roman" w:hAnsi="Times New Roman" w:eastAsia="宋体" w:cs="Times New Roman"/>
                      <w:color w:val="auto"/>
                      <w:vertAlign w:val="superscript"/>
                      <w:lang w:eastAsia="zh-CN"/>
                    </w:rPr>
                    <w:t>3</w:t>
                  </w:r>
                </w:p>
              </w:tc>
            </w:tr>
          </w:tbl>
          <w:p w14:paraId="38359692">
            <w:pPr>
              <w:pStyle w:val="62"/>
              <w:ind w:firstLine="480" w:firstLineChars="200"/>
              <w:rPr>
                <w:rFonts w:hint="eastAsia"/>
                <w:b w:val="0"/>
                <w:bCs/>
                <w:color w:val="auto"/>
                <w:highlight w:val="none"/>
                <w:lang w:eastAsia="zh-CN"/>
              </w:rPr>
            </w:pPr>
          </w:p>
          <w:p w14:paraId="753EFCF4">
            <w:pPr>
              <w:pStyle w:val="62"/>
              <w:ind w:firstLine="480" w:firstLineChars="200"/>
              <w:rPr>
                <w:rFonts w:hint="eastAsia"/>
                <w:color w:val="auto"/>
                <w:kern w:val="0"/>
                <w:sz w:val="24"/>
                <w:highlight w:val="none"/>
                <w:lang w:bidi="ar"/>
              </w:rPr>
            </w:pPr>
            <w:r>
              <w:rPr>
                <w:rFonts w:hint="eastAsia"/>
                <w:b w:val="0"/>
                <w:bCs/>
                <w:color w:val="auto"/>
                <w:highlight w:val="none"/>
                <w:lang w:eastAsia="zh-CN"/>
              </w:rPr>
              <w:t>（</w:t>
            </w:r>
            <w:r>
              <w:rPr>
                <w:rFonts w:hint="eastAsia"/>
                <w:b w:val="0"/>
                <w:bCs/>
                <w:color w:val="auto"/>
                <w:highlight w:val="none"/>
                <w:lang w:val="en-US" w:eastAsia="zh-CN"/>
              </w:rPr>
              <w:t>2</w:t>
            </w:r>
            <w:r>
              <w:rPr>
                <w:rFonts w:hint="eastAsia"/>
                <w:b w:val="0"/>
                <w:bCs/>
                <w:color w:val="auto"/>
                <w:highlight w:val="none"/>
                <w:lang w:eastAsia="zh-CN"/>
              </w:rPr>
              <w:t>）</w:t>
            </w:r>
            <w:r>
              <w:rPr>
                <w:rFonts w:hint="eastAsia"/>
                <w:b w:val="0"/>
                <w:bCs/>
                <w:color w:val="auto"/>
                <w:highlight w:val="none"/>
              </w:rPr>
              <w:t>营运期</w:t>
            </w:r>
            <w:r>
              <w:rPr>
                <w:rFonts w:hint="eastAsia"/>
                <w:b w:val="0"/>
                <w:bCs/>
                <w:color w:val="auto"/>
                <w:highlight w:val="none"/>
                <w:lang w:eastAsia="zh-CN"/>
              </w:rPr>
              <w:t>：</w:t>
            </w:r>
          </w:p>
          <w:p w14:paraId="7BFDFFDD">
            <w:pPr>
              <w:pStyle w:val="59"/>
              <w:numPr>
                <w:ilvl w:val="0"/>
                <w:numId w:val="0"/>
              </w:numPr>
              <w:ind w:firstLine="480" w:firstLineChars="200"/>
              <w:rPr>
                <w:rFonts w:hint="default" w:ascii="Times New Roman" w:hAnsi="Times New Roman" w:cs="Times New Roman"/>
                <w:color w:val="auto"/>
                <w:sz w:val="24"/>
                <w:szCs w:val="24"/>
              </w:rPr>
            </w:pPr>
            <w:r>
              <w:rPr>
                <w:rFonts w:ascii="Times New Roman" w:hAnsi="Times New Roman" w:cs="Times New Roman"/>
                <w:color w:val="auto"/>
                <w:sz w:val="24"/>
                <w:szCs w:val="24"/>
              </w:rPr>
              <w:t>本项目</w:t>
            </w:r>
            <w:r>
              <w:rPr>
                <w:rFonts w:hint="eastAsia" w:ascii="Times New Roman" w:hAnsi="Times New Roman" w:cs="Times New Roman"/>
                <w:color w:val="auto"/>
                <w:sz w:val="24"/>
                <w:szCs w:val="24"/>
                <w:lang w:eastAsia="zh-CN"/>
              </w:rPr>
              <w:t>下料、梳齿指接、砂光、开槽等</w:t>
            </w:r>
            <w:r>
              <w:rPr>
                <w:rFonts w:ascii="Times New Roman" w:hAnsi="Times New Roman" w:cs="Times New Roman"/>
                <w:color w:val="auto"/>
                <w:sz w:val="24"/>
                <w:szCs w:val="24"/>
              </w:rPr>
              <w:t>工序产生的颗粒物执行《大气污染物综合排放标准》（GB16297-1996）表2新污染源大气污染物排放限值标准要求。</w:t>
            </w:r>
            <w:r>
              <w:rPr>
                <w:rFonts w:hint="eastAsia" w:ascii="Times New Roman" w:hAnsi="Times New Roman" w:cs="Times New Roman"/>
                <w:color w:val="auto"/>
                <w:sz w:val="24"/>
                <w:szCs w:val="24"/>
                <w:lang w:eastAsia="zh-CN"/>
              </w:rPr>
              <w:t>辊涂、紫外光固化工序</w:t>
            </w:r>
            <w:r>
              <w:rPr>
                <w:rFonts w:ascii="Times New Roman" w:hAnsi="Times New Roman" w:cs="Times New Roman"/>
                <w:color w:val="auto"/>
                <w:sz w:val="24"/>
                <w:szCs w:val="24"/>
              </w:rPr>
              <w:t>产生的</w:t>
            </w:r>
            <w:r>
              <w:rPr>
                <w:rFonts w:hint="eastAsia" w:ascii="Times New Roman" w:hAnsi="Times New Roman" w:cs="Times New Roman"/>
                <w:color w:val="auto"/>
                <w:sz w:val="24"/>
                <w:szCs w:val="24"/>
                <w:lang w:eastAsia="zh-CN"/>
              </w:rPr>
              <w:t>T</w:t>
            </w:r>
            <w:r>
              <w:rPr>
                <w:rFonts w:ascii="Times New Roman" w:hAnsi="Times New Roman" w:cs="Times New Roman"/>
                <w:color w:val="auto"/>
                <w:sz w:val="24"/>
                <w:szCs w:val="24"/>
              </w:rPr>
              <w:t>VOC</w:t>
            </w:r>
            <w:r>
              <w:rPr>
                <w:rFonts w:hint="eastAsia" w:ascii="Times New Roman" w:hAnsi="Times New Roman" w:cs="Times New Roman"/>
                <w:color w:val="auto"/>
                <w:sz w:val="24"/>
                <w:szCs w:val="24"/>
                <w:lang w:eastAsia="zh-CN"/>
              </w:rPr>
              <w:t>（以VOC</w:t>
            </w:r>
            <w:r>
              <w:rPr>
                <w:rFonts w:hint="eastAsia" w:ascii="Times New Roman" w:hAnsi="Times New Roman" w:cs="Times New Roman"/>
                <w:color w:val="auto"/>
                <w:sz w:val="24"/>
                <w:szCs w:val="24"/>
                <w:vertAlign w:val="subscript"/>
                <w:lang w:eastAsia="zh-CN"/>
              </w:rPr>
              <w:t>S</w:t>
            </w:r>
            <w:r>
              <w:rPr>
                <w:rFonts w:hint="eastAsia" w:ascii="Times New Roman" w:hAnsi="Times New Roman" w:cs="Times New Roman"/>
                <w:color w:val="auto"/>
                <w:sz w:val="24"/>
                <w:szCs w:val="24"/>
                <w:lang w:eastAsia="zh-CN"/>
              </w:rPr>
              <w:t>计）</w:t>
            </w:r>
            <w:r>
              <w:rPr>
                <w:rFonts w:ascii="Times New Roman" w:hAnsi="Times New Roman" w:cs="Times New Roman"/>
                <w:color w:val="auto"/>
                <w:sz w:val="24"/>
                <w:szCs w:val="24"/>
              </w:rPr>
              <w:t>执行《工业涂装工序挥发性有机物排放标准》（DB21/3160-2019）中</w:t>
            </w:r>
            <w:r>
              <w:rPr>
                <w:rFonts w:hint="eastAsia" w:ascii="Times New Roman" w:hAnsi="Times New Roman" w:cs="Times New Roman"/>
                <w:color w:val="auto"/>
                <w:sz w:val="24"/>
                <w:szCs w:val="24"/>
                <w:lang w:eastAsia="zh-CN"/>
              </w:rPr>
              <w:t>“涉及工业涂装工序的其他行业”</w:t>
            </w:r>
            <w:r>
              <w:rPr>
                <w:rFonts w:ascii="Times New Roman" w:hAnsi="Times New Roman" w:cs="Times New Roman"/>
                <w:color w:val="auto"/>
                <w:sz w:val="24"/>
                <w:szCs w:val="24"/>
              </w:rPr>
              <w:t>排放限值。</w:t>
            </w:r>
          </w:p>
          <w:p w14:paraId="18AD4DC7">
            <w:pPr>
              <w:pStyle w:val="68"/>
              <w:numPr>
                <w:ilvl w:val="0"/>
                <w:numId w:val="18"/>
              </w:numPr>
              <w:spacing w:line="360" w:lineRule="auto"/>
              <w:ind w:left="0" w:leftChars="0" w:firstLine="0" w:firstLineChars="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 xml:space="preserve">  废气排放标准</w:t>
            </w:r>
          </w:p>
          <w:tbl>
            <w:tblPr>
              <w:tblStyle w:val="2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4"/>
              <w:gridCol w:w="1195"/>
              <w:gridCol w:w="820"/>
              <w:gridCol w:w="961"/>
              <w:gridCol w:w="1195"/>
              <w:gridCol w:w="1489"/>
              <w:gridCol w:w="1686"/>
            </w:tblGrid>
            <w:tr w14:paraId="7CC6C6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 w:hRule="atLeast"/>
                <w:jc w:val="center"/>
              </w:trPr>
              <w:tc>
                <w:tcPr>
                  <w:tcW w:w="526" w:type="pct"/>
                  <w:vMerge w:val="restart"/>
                  <w:tcBorders>
                    <w:tl2br w:val="nil"/>
                    <w:tr2bl w:val="nil"/>
                  </w:tcBorders>
                  <w:noWrap w:val="0"/>
                  <w:vAlign w:val="center"/>
                </w:tcPr>
                <w:p w14:paraId="2D53F133">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ascii="Times New Roman" w:hAnsi="Times New Roman" w:eastAsia="宋体" w:cs="Times New Roman"/>
                      <w:color w:val="auto"/>
                    </w:rPr>
                  </w:pPr>
                  <w:r>
                    <w:rPr>
                      <w:rFonts w:ascii="Times New Roman" w:hAnsi="Times New Roman" w:eastAsia="宋体" w:cs="Times New Roman"/>
                      <w:color w:val="auto"/>
                      <w:lang w:eastAsia="zh-CN"/>
                    </w:rPr>
                    <w:t>污染物</w:t>
                  </w:r>
                </w:p>
              </w:tc>
              <w:tc>
                <w:tcPr>
                  <w:tcW w:w="727" w:type="pct"/>
                  <w:vMerge w:val="restart"/>
                  <w:tcBorders>
                    <w:tl2br w:val="nil"/>
                    <w:tr2bl w:val="nil"/>
                  </w:tcBorders>
                  <w:noWrap w:val="0"/>
                  <w:vAlign w:val="center"/>
                </w:tcPr>
                <w:p w14:paraId="5F83B153">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ascii="Times New Roman" w:hAnsi="Times New Roman" w:eastAsia="宋体" w:cs="Times New Roman"/>
                      <w:color w:val="auto"/>
                    </w:rPr>
                  </w:pPr>
                  <w:r>
                    <w:rPr>
                      <w:rFonts w:ascii="Times New Roman" w:hAnsi="Times New Roman" w:eastAsia="宋体" w:cs="Times New Roman"/>
                      <w:color w:val="auto"/>
                      <w:lang w:eastAsia="zh-CN"/>
                    </w:rPr>
                    <w:t>最高允许排放浓度（mg/m</w:t>
                  </w:r>
                  <w:r>
                    <w:rPr>
                      <w:rFonts w:ascii="Times New Roman" w:hAnsi="Times New Roman" w:eastAsia="宋体" w:cs="Times New Roman"/>
                      <w:color w:val="auto"/>
                      <w:vertAlign w:val="superscript"/>
                      <w:lang w:eastAsia="zh-CN"/>
                    </w:rPr>
                    <w:t>3</w:t>
                  </w:r>
                  <w:r>
                    <w:rPr>
                      <w:rFonts w:ascii="Times New Roman" w:hAnsi="Times New Roman" w:eastAsia="宋体" w:cs="Times New Roman"/>
                      <w:color w:val="auto"/>
                      <w:lang w:eastAsia="zh-CN"/>
                    </w:rPr>
                    <w:t>）</w:t>
                  </w:r>
                </w:p>
              </w:tc>
              <w:tc>
                <w:tcPr>
                  <w:tcW w:w="1084" w:type="pct"/>
                  <w:gridSpan w:val="2"/>
                  <w:tcBorders>
                    <w:tl2br w:val="nil"/>
                    <w:tr2bl w:val="nil"/>
                  </w:tcBorders>
                  <w:noWrap w:val="0"/>
                  <w:vAlign w:val="center"/>
                </w:tcPr>
                <w:p w14:paraId="29A6C2E7">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ascii="Times New Roman" w:hAnsi="Times New Roman" w:eastAsia="宋体" w:cs="Times New Roman"/>
                      <w:color w:val="auto"/>
                      <w:lang w:eastAsia="zh-CN"/>
                    </w:rPr>
                  </w:pPr>
                  <w:r>
                    <w:rPr>
                      <w:rFonts w:ascii="Times New Roman" w:hAnsi="Times New Roman" w:eastAsia="宋体" w:cs="Times New Roman"/>
                      <w:color w:val="auto"/>
                      <w:lang w:eastAsia="zh-CN"/>
                    </w:rPr>
                    <w:t>有组织最高允许排放速率</w:t>
                  </w:r>
                </w:p>
              </w:tc>
              <w:tc>
                <w:tcPr>
                  <w:tcW w:w="727" w:type="pct"/>
                  <w:vMerge w:val="restart"/>
                  <w:tcBorders>
                    <w:tl2br w:val="nil"/>
                    <w:tr2bl w:val="nil"/>
                  </w:tcBorders>
                  <w:noWrap w:val="0"/>
                  <w:vAlign w:val="center"/>
                </w:tcPr>
                <w:p w14:paraId="07FAFA18">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ascii="Times New Roman" w:hAnsi="Times New Roman" w:eastAsia="宋体" w:cs="Times New Roman"/>
                      <w:color w:val="auto"/>
                      <w:lang w:eastAsia="zh-CN"/>
                    </w:rPr>
                  </w:pPr>
                  <w:r>
                    <w:rPr>
                      <w:rFonts w:ascii="Times New Roman" w:hAnsi="Times New Roman" w:eastAsia="宋体" w:cs="Times New Roman"/>
                      <w:color w:val="auto"/>
                      <w:lang w:eastAsia="zh-CN"/>
                    </w:rPr>
                    <w:t>车间外无组织排放监控浓度限值</w:t>
                  </w:r>
                </w:p>
                <w:p w14:paraId="4BADD584">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ascii="Times New Roman" w:hAnsi="Times New Roman" w:eastAsia="宋体" w:cs="Times New Roman"/>
                      <w:color w:val="auto"/>
                    </w:rPr>
                  </w:pPr>
                  <w:r>
                    <w:rPr>
                      <w:rFonts w:ascii="Times New Roman" w:hAnsi="Times New Roman" w:eastAsia="宋体" w:cs="Times New Roman"/>
                      <w:color w:val="auto"/>
                      <w:lang w:eastAsia="zh-CN"/>
                    </w:rPr>
                    <w:t>（mg/m</w:t>
                  </w:r>
                  <w:r>
                    <w:rPr>
                      <w:rFonts w:ascii="Times New Roman" w:hAnsi="Times New Roman" w:eastAsia="宋体" w:cs="Times New Roman"/>
                      <w:color w:val="auto"/>
                      <w:vertAlign w:val="superscript"/>
                      <w:lang w:eastAsia="zh-CN"/>
                    </w:rPr>
                    <w:t>3</w:t>
                  </w:r>
                  <w:r>
                    <w:rPr>
                      <w:rFonts w:ascii="Times New Roman" w:hAnsi="Times New Roman" w:eastAsia="宋体" w:cs="Times New Roman"/>
                      <w:color w:val="auto"/>
                      <w:lang w:eastAsia="zh-CN"/>
                    </w:rPr>
                    <w:t>）</w:t>
                  </w:r>
                </w:p>
              </w:tc>
              <w:tc>
                <w:tcPr>
                  <w:tcW w:w="906" w:type="pct"/>
                  <w:vMerge w:val="restart"/>
                  <w:tcBorders>
                    <w:tl2br w:val="nil"/>
                    <w:tr2bl w:val="nil"/>
                  </w:tcBorders>
                  <w:noWrap w:val="0"/>
                  <w:vAlign w:val="center"/>
                </w:tcPr>
                <w:p w14:paraId="66C2D3B5">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ascii="Times New Roman" w:hAnsi="Times New Roman" w:eastAsia="宋体" w:cs="Times New Roman"/>
                      <w:color w:val="auto"/>
                    </w:rPr>
                  </w:pPr>
                  <w:r>
                    <w:rPr>
                      <w:rFonts w:ascii="Times New Roman" w:hAnsi="Times New Roman" w:eastAsia="宋体" w:cs="Times New Roman"/>
                      <w:color w:val="auto"/>
                      <w:lang w:eastAsia="zh-CN"/>
                    </w:rPr>
                    <w:t>厂界无组织排放监控浓度限值</w:t>
                  </w:r>
                  <w:r>
                    <w:rPr>
                      <w:rFonts w:hint="eastAsia" w:ascii="Times New Roman" w:hAnsi="Times New Roman" w:eastAsia="宋体" w:cs="Times New Roman"/>
                      <w:color w:val="auto"/>
                      <w:lang w:eastAsia="zh-CN"/>
                    </w:rPr>
                    <w:t>（</w:t>
                  </w:r>
                  <w:r>
                    <w:rPr>
                      <w:rFonts w:ascii="Times New Roman" w:hAnsi="Times New Roman" w:eastAsia="宋体" w:cs="Times New Roman"/>
                      <w:color w:val="auto"/>
                      <w:lang w:eastAsia="zh-CN"/>
                    </w:rPr>
                    <w:t>mg/m</w:t>
                  </w:r>
                  <w:r>
                    <w:rPr>
                      <w:rFonts w:ascii="Times New Roman" w:hAnsi="Times New Roman" w:eastAsia="宋体" w:cs="Times New Roman"/>
                      <w:color w:val="auto"/>
                      <w:vertAlign w:val="superscript"/>
                      <w:lang w:eastAsia="zh-CN"/>
                    </w:rPr>
                    <w:t>3</w:t>
                  </w:r>
                  <w:r>
                    <w:rPr>
                      <w:rFonts w:hint="eastAsia" w:ascii="Times New Roman" w:hAnsi="Times New Roman" w:eastAsia="宋体" w:cs="Times New Roman"/>
                      <w:color w:val="auto"/>
                      <w:lang w:eastAsia="zh-CN"/>
                    </w:rPr>
                    <w:t>）</w:t>
                  </w:r>
                </w:p>
              </w:tc>
              <w:tc>
                <w:tcPr>
                  <w:tcW w:w="1026" w:type="pct"/>
                  <w:vMerge w:val="restart"/>
                  <w:tcBorders>
                    <w:tl2br w:val="nil"/>
                    <w:tr2bl w:val="nil"/>
                  </w:tcBorders>
                  <w:noWrap w:val="0"/>
                  <w:vAlign w:val="center"/>
                </w:tcPr>
                <w:p w14:paraId="5BF3C80D">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ascii="Times New Roman" w:hAnsi="Times New Roman" w:eastAsia="宋体" w:cs="Times New Roman"/>
                      <w:color w:val="auto"/>
                    </w:rPr>
                  </w:pPr>
                  <w:r>
                    <w:rPr>
                      <w:rFonts w:ascii="Times New Roman" w:hAnsi="Times New Roman" w:eastAsia="宋体" w:cs="Times New Roman"/>
                      <w:color w:val="auto"/>
                      <w:lang w:eastAsia="zh-CN"/>
                    </w:rPr>
                    <w:t>执行标准</w:t>
                  </w:r>
                </w:p>
              </w:tc>
            </w:tr>
            <w:tr w14:paraId="5BD480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 w:hRule="atLeast"/>
                <w:jc w:val="center"/>
              </w:trPr>
              <w:tc>
                <w:tcPr>
                  <w:tcW w:w="526" w:type="pct"/>
                  <w:vMerge w:val="continue"/>
                  <w:tcBorders>
                    <w:tl2br w:val="nil"/>
                    <w:tr2bl w:val="nil"/>
                  </w:tcBorders>
                  <w:noWrap w:val="0"/>
                  <w:vAlign w:val="center"/>
                </w:tcPr>
                <w:p w14:paraId="04B7677E">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color w:val="auto"/>
                    </w:rPr>
                  </w:pPr>
                </w:p>
              </w:tc>
              <w:tc>
                <w:tcPr>
                  <w:tcW w:w="727" w:type="pct"/>
                  <w:vMerge w:val="continue"/>
                  <w:tcBorders>
                    <w:tl2br w:val="nil"/>
                    <w:tr2bl w:val="nil"/>
                  </w:tcBorders>
                  <w:noWrap w:val="0"/>
                  <w:vAlign w:val="center"/>
                </w:tcPr>
                <w:p w14:paraId="1056D15C">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color w:val="auto"/>
                    </w:rPr>
                  </w:pPr>
                </w:p>
              </w:tc>
              <w:tc>
                <w:tcPr>
                  <w:tcW w:w="499" w:type="pct"/>
                  <w:tcBorders>
                    <w:tl2br w:val="nil"/>
                    <w:tr2bl w:val="nil"/>
                  </w:tcBorders>
                  <w:noWrap w:val="0"/>
                  <w:vAlign w:val="center"/>
                </w:tcPr>
                <w:p w14:paraId="6029A098">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ascii="Times New Roman" w:hAnsi="Times New Roman" w:eastAsia="宋体" w:cs="Times New Roman"/>
                      <w:color w:val="auto"/>
                      <w:lang w:eastAsia="zh-CN"/>
                    </w:rPr>
                  </w:pPr>
                  <w:r>
                    <w:rPr>
                      <w:rFonts w:ascii="Times New Roman" w:hAnsi="Times New Roman" w:eastAsia="宋体" w:cs="Times New Roman"/>
                      <w:color w:val="auto"/>
                      <w:lang w:eastAsia="zh-CN"/>
                    </w:rPr>
                    <w:t>排气筒高度</w:t>
                  </w:r>
                </w:p>
              </w:tc>
              <w:tc>
                <w:tcPr>
                  <w:tcW w:w="585" w:type="pct"/>
                  <w:tcBorders>
                    <w:tl2br w:val="nil"/>
                    <w:tr2bl w:val="nil"/>
                  </w:tcBorders>
                  <w:noWrap w:val="0"/>
                  <w:vAlign w:val="center"/>
                </w:tcPr>
                <w:p w14:paraId="18056283">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ascii="Times New Roman" w:hAnsi="Times New Roman" w:eastAsia="宋体" w:cs="Times New Roman"/>
                      <w:color w:val="auto"/>
                      <w:lang w:eastAsia="zh-CN"/>
                    </w:rPr>
                  </w:pPr>
                  <w:r>
                    <w:rPr>
                      <w:rFonts w:ascii="Times New Roman" w:hAnsi="Times New Roman" w:eastAsia="宋体" w:cs="Times New Roman"/>
                      <w:color w:val="auto"/>
                      <w:lang w:eastAsia="zh-CN"/>
                    </w:rPr>
                    <w:t>排放</w:t>
                  </w:r>
                </w:p>
                <w:p w14:paraId="2C4CF232">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ascii="Times New Roman" w:hAnsi="Times New Roman" w:eastAsia="宋体" w:cs="Times New Roman"/>
                      <w:color w:val="auto"/>
                      <w:lang w:eastAsia="zh-CN"/>
                    </w:rPr>
                  </w:pPr>
                  <w:r>
                    <w:rPr>
                      <w:rFonts w:ascii="Times New Roman" w:hAnsi="Times New Roman" w:eastAsia="宋体" w:cs="Times New Roman"/>
                      <w:color w:val="auto"/>
                      <w:lang w:eastAsia="zh-CN"/>
                    </w:rPr>
                    <w:t>速率</w:t>
                  </w:r>
                </w:p>
              </w:tc>
              <w:tc>
                <w:tcPr>
                  <w:tcW w:w="727" w:type="pct"/>
                  <w:vMerge w:val="continue"/>
                  <w:tcBorders>
                    <w:tl2br w:val="nil"/>
                    <w:tr2bl w:val="nil"/>
                  </w:tcBorders>
                  <w:noWrap w:val="0"/>
                  <w:vAlign w:val="center"/>
                </w:tcPr>
                <w:p w14:paraId="56D545F7">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ascii="Times New Roman" w:hAnsi="Times New Roman" w:eastAsia="宋体" w:cs="Times New Roman"/>
                      <w:color w:val="auto"/>
                      <w:lang w:eastAsia="zh-CN"/>
                    </w:rPr>
                  </w:pPr>
                </w:p>
              </w:tc>
              <w:tc>
                <w:tcPr>
                  <w:tcW w:w="906" w:type="pct"/>
                  <w:vMerge w:val="continue"/>
                  <w:tcBorders>
                    <w:tl2br w:val="nil"/>
                    <w:tr2bl w:val="nil"/>
                  </w:tcBorders>
                  <w:noWrap w:val="0"/>
                  <w:vAlign w:val="center"/>
                </w:tcPr>
                <w:p w14:paraId="62EE0B7E">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ascii="Times New Roman" w:hAnsi="Times New Roman" w:eastAsia="宋体" w:cs="Times New Roman"/>
                      <w:color w:val="auto"/>
                      <w:lang w:eastAsia="zh-CN"/>
                    </w:rPr>
                  </w:pPr>
                </w:p>
              </w:tc>
              <w:tc>
                <w:tcPr>
                  <w:tcW w:w="1026" w:type="pct"/>
                  <w:vMerge w:val="continue"/>
                  <w:tcBorders>
                    <w:tl2br w:val="nil"/>
                    <w:tr2bl w:val="nil"/>
                  </w:tcBorders>
                  <w:noWrap w:val="0"/>
                  <w:vAlign w:val="center"/>
                </w:tcPr>
                <w:p w14:paraId="181B30BA">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ascii="Times New Roman" w:hAnsi="Times New Roman" w:eastAsia="宋体" w:cs="Times New Roman"/>
                      <w:color w:val="auto"/>
                      <w:lang w:eastAsia="zh-CN"/>
                    </w:rPr>
                  </w:pPr>
                </w:p>
              </w:tc>
            </w:tr>
            <w:tr w14:paraId="1CA7E4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26" w:type="pct"/>
                  <w:tcBorders>
                    <w:tl2br w:val="nil"/>
                    <w:tr2bl w:val="nil"/>
                  </w:tcBorders>
                  <w:noWrap w:val="0"/>
                  <w:vAlign w:val="center"/>
                </w:tcPr>
                <w:p w14:paraId="1042F1B4">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ascii="Times New Roman" w:hAnsi="Times New Roman" w:eastAsia="宋体" w:cs="Times New Roman"/>
                      <w:color w:val="auto"/>
                    </w:rPr>
                  </w:pPr>
                  <w:r>
                    <w:rPr>
                      <w:rFonts w:ascii="Times New Roman" w:hAnsi="Times New Roman" w:eastAsia="宋体" w:cs="Times New Roman"/>
                      <w:color w:val="auto"/>
                      <w:lang w:eastAsia="zh-CN"/>
                    </w:rPr>
                    <w:t>颗粒物</w:t>
                  </w:r>
                </w:p>
              </w:tc>
              <w:tc>
                <w:tcPr>
                  <w:tcW w:w="727" w:type="pct"/>
                  <w:tcBorders>
                    <w:tl2br w:val="nil"/>
                    <w:tr2bl w:val="nil"/>
                  </w:tcBorders>
                  <w:noWrap w:val="0"/>
                  <w:vAlign w:val="center"/>
                </w:tcPr>
                <w:p w14:paraId="4C29B33F">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ascii="Times New Roman" w:hAnsi="Times New Roman" w:eastAsia="宋体" w:cs="Times New Roman"/>
                      <w:color w:val="auto"/>
                    </w:rPr>
                  </w:pPr>
                  <w:r>
                    <w:rPr>
                      <w:rFonts w:ascii="Times New Roman" w:hAnsi="Times New Roman" w:eastAsia="宋体" w:cs="Times New Roman"/>
                      <w:color w:val="auto"/>
                      <w:lang w:eastAsia="zh-CN"/>
                    </w:rPr>
                    <w:t>120</w:t>
                  </w:r>
                </w:p>
              </w:tc>
              <w:tc>
                <w:tcPr>
                  <w:tcW w:w="499" w:type="pct"/>
                  <w:tcBorders>
                    <w:tl2br w:val="nil"/>
                    <w:tr2bl w:val="nil"/>
                  </w:tcBorders>
                  <w:noWrap w:val="0"/>
                  <w:vAlign w:val="center"/>
                </w:tcPr>
                <w:p w14:paraId="7A9DA3B5">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ascii="Times New Roman" w:hAnsi="Times New Roman" w:eastAsia="宋体" w:cs="Times New Roman"/>
                      <w:color w:val="auto"/>
                    </w:rPr>
                  </w:pPr>
                  <w:r>
                    <w:rPr>
                      <w:rFonts w:ascii="Times New Roman" w:hAnsi="Times New Roman" w:eastAsia="宋体" w:cs="Times New Roman"/>
                      <w:color w:val="auto"/>
                      <w:lang w:eastAsia="zh-CN"/>
                    </w:rPr>
                    <w:t>15m</w:t>
                  </w:r>
                </w:p>
              </w:tc>
              <w:tc>
                <w:tcPr>
                  <w:tcW w:w="585" w:type="pct"/>
                  <w:tcBorders>
                    <w:tl2br w:val="nil"/>
                    <w:tr2bl w:val="nil"/>
                  </w:tcBorders>
                  <w:noWrap w:val="0"/>
                  <w:vAlign w:val="center"/>
                </w:tcPr>
                <w:p w14:paraId="49891E98">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ascii="Times New Roman" w:hAnsi="Times New Roman" w:eastAsia="宋体" w:cs="Times New Roman"/>
                      <w:color w:val="auto"/>
                    </w:rPr>
                  </w:pPr>
                  <w:r>
                    <w:rPr>
                      <w:rFonts w:ascii="Times New Roman" w:hAnsi="Times New Roman" w:eastAsia="宋体" w:cs="Times New Roman"/>
                      <w:color w:val="auto"/>
                      <w:lang w:eastAsia="zh-CN"/>
                    </w:rPr>
                    <w:t>3.5kg/h</w:t>
                  </w:r>
                </w:p>
              </w:tc>
              <w:tc>
                <w:tcPr>
                  <w:tcW w:w="727" w:type="pct"/>
                  <w:tcBorders>
                    <w:tl2br w:val="nil"/>
                    <w:tr2bl w:val="nil"/>
                  </w:tcBorders>
                  <w:noWrap w:val="0"/>
                  <w:vAlign w:val="center"/>
                </w:tcPr>
                <w:p w14:paraId="3524B39C">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ascii="Times New Roman" w:hAnsi="Times New Roman" w:eastAsia="宋体" w:cs="Times New Roman"/>
                      <w:color w:val="auto"/>
                    </w:rPr>
                  </w:pPr>
                  <w:r>
                    <w:rPr>
                      <w:rFonts w:ascii="Times New Roman" w:hAnsi="Times New Roman" w:eastAsia="宋体" w:cs="Times New Roman"/>
                      <w:color w:val="auto"/>
                      <w:lang w:eastAsia="zh-CN"/>
                    </w:rPr>
                    <w:t>/</w:t>
                  </w:r>
                </w:p>
              </w:tc>
              <w:tc>
                <w:tcPr>
                  <w:tcW w:w="906" w:type="pct"/>
                  <w:tcBorders>
                    <w:tl2br w:val="nil"/>
                    <w:tr2bl w:val="nil"/>
                  </w:tcBorders>
                  <w:noWrap w:val="0"/>
                  <w:vAlign w:val="center"/>
                </w:tcPr>
                <w:p w14:paraId="6AA22A25">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lang w:val="en-US"/>
                    </w:rPr>
                  </w:pPr>
                  <w:r>
                    <w:rPr>
                      <w:rFonts w:ascii="Times New Roman" w:hAnsi="Times New Roman" w:eastAsia="宋体" w:cs="Times New Roman"/>
                      <w:color w:val="auto"/>
                      <w:lang w:eastAsia="zh-CN"/>
                    </w:rPr>
                    <w:t>1</w:t>
                  </w:r>
                  <w:r>
                    <w:rPr>
                      <w:rFonts w:hint="eastAsia" w:ascii="Times New Roman" w:hAnsi="Times New Roman" w:eastAsia="宋体" w:cs="Times New Roman"/>
                      <w:color w:val="auto"/>
                      <w:lang w:val="en-US" w:eastAsia="zh-CN"/>
                    </w:rPr>
                    <w:t>.0</w:t>
                  </w:r>
                </w:p>
              </w:tc>
              <w:tc>
                <w:tcPr>
                  <w:tcW w:w="1026" w:type="pct"/>
                  <w:tcBorders>
                    <w:tl2br w:val="nil"/>
                    <w:tr2bl w:val="nil"/>
                  </w:tcBorders>
                  <w:noWrap w:val="0"/>
                  <w:vAlign w:val="center"/>
                </w:tcPr>
                <w:p w14:paraId="22B83ADE">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ascii="Times New Roman" w:hAnsi="Times New Roman" w:eastAsia="宋体" w:cs="Times New Roman"/>
                      <w:color w:val="auto"/>
                    </w:rPr>
                  </w:pPr>
                  <w:r>
                    <w:rPr>
                      <w:rFonts w:ascii="Times New Roman" w:hAnsi="Times New Roman" w:eastAsia="宋体" w:cs="Times New Roman"/>
                      <w:color w:val="auto"/>
                      <w:lang w:eastAsia="zh-CN"/>
                    </w:rPr>
                    <w:t>GB16297-1996</w:t>
                  </w:r>
                </w:p>
              </w:tc>
            </w:tr>
            <w:tr w14:paraId="6274D7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26" w:type="pct"/>
                  <w:tcBorders>
                    <w:tl2br w:val="nil"/>
                    <w:tr2bl w:val="nil"/>
                  </w:tcBorders>
                  <w:noWrap w:val="0"/>
                  <w:vAlign w:val="center"/>
                </w:tcPr>
                <w:p w14:paraId="52FE5024">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ascii="Times New Roman" w:hAnsi="Times New Roman" w:eastAsia="宋体" w:cs="Times New Roman"/>
                      <w:color w:val="auto"/>
                    </w:rPr>
                  </w:pPr>
                  <w:r>
                    <w:rPr>
                      <w:rFonts w:ascii="Times New Roman" w:hAnsi="Times New Roman" w:eastAsia="宋体" w:cs="Times New Roman"/>
                      <w:color w:val="auto"/>
                      <w:lang w:eastAsia="zh-CN"/>
                    </w:rPr>
                    <w:t>TVOC</w:t>
                  </w:r>
                </w:p>
              </w:tc>
              <w:tc>
                <w:tcPr>
                  <w:tcW w:w="727" w:type="pct"/>
                  <w:tcBorders>
                    <w:tl2br w:val="nil"/>
                    <w:tr2bl w:val="nil"/>
                  </w:tcBorders>
                  <w:noWrap w:val="0"/>
                  <w:vAlign w:val="center"/>
                </w:tcPr>
                <w:p w14:paraId="10AE0070">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lang w:val="en-US"/>
                    </w:rPr>
                  </w:pPr>
                  <w:r>
                    <w:rPr>
                      <w:rFonts w:hint="eastAsia" w:ascii="Times New Roman" w:hAnsi="Times New Roman" w:eastAsia="宋体" w:cs="Times New Roman"/>
                      <w:color w:val="auto"/>
                      <w:lang w:val="en-US" w:eastAsia="zh-CN"/>
                    </w:rPr>
                    <w:t>70</w:t>
                  </w:r>
                </w:p>
              </w:tc>
              <w:tc>
                <w:tcPr>
                  <w:tcW w:w="499" w:type="pct"/>
                  <w:tcBorders>
                    <w:tl2br w:val="nil"/>
                    <w:tr2bl w:val="nil"/>
                  </w:tcBorders>
                  <w:noWrap w:val="0"/>
                  <w:vAlign w:val="center"/>
                </w:tcPr>
                <w:p w14:paraId="7DD883B5">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ascii="Times New Roman" w:hAnsi="Times New Roman" w:eastAsia="宋体" w:cs="Times New Roman"/>
                      <w:color w:val="auto"/>
                    </w:rPr>
                  </w:pPr>
                  <w:r>
                    <w:rPr>
                      <w:rFonts w:ascii="Times New Roman" w:hAnsi="Times New Roman" w:eastAsia="宋体" w:cs="Times New Roman"/>
                      <w:color w:val="auto"/>
                      <w:lang w:eastAsia="zh-CN"/>
                    </w:rPr>
                    <w:t>15m</w:t>
                  </w:r>
                </w:p>
              </w:tc>
              <w:tc>
                <w:tcPr>
                  <w:tcW w:w="585" w:type="pct"/>
                  <w:tcBorders>
                    <w:tl2br w:val="nil"/>
                    <w:tr2bl w:val="nil"/>
                  </w:tcBorders>
                  <w:noWrap w:val="0"/>
                  <w:vAlign w:val="center"/>
                </w:tcPr>
                <w:p w14:paraId="004B88A7">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ascii="Times New Roman" w:hAnsi="Times New Roman" w:eastAsia="宋体" w:cs="Times New Roman"/>
                      <w:color w:val="auto"/>
                    </w:rPr>
                  </w:pPr>
                  <w:r>
                    <w:rPr>
                      <w:rFonts w:ascii="Times New Roman" w:hAnsi="Times New Roman" w:eastAsia="宋体" w:cs="Times New Roman"/>
                      <w:color w:val="auto"/>
                      <w:lang w:eastAsia="zh-CN"/>
                    </w:rPr>
                    <w:t>3.6kg/h</w:t>
                  </w:r>
                </w:p>
              </w:tc>
              <w:tc>
                <w:tcPr>
                  <w:tcW w:w="727" w:type="pct"/>
                  <w:tcBorders>
                    <w:tl2br w:val="nil"/>
                    <w:tr2bl w:val="nil"/>
                  </w:tcBorders>
                  <w:noWrap w:val="0"/>
                  <w:vAlign w:val="center"/>
                </w:tcPr>
                <w:p w14:paraId="0AB8E9CD">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ascii="Times New Roman" w:hAnsi="Times New Roman" w:eastAsia="宋体" w:cs="Times New Roman"/>
                      <w:color w:val="auto"/>
                    </w:rPr>
                  </w:pPr>
                  <w:r>
                    <w:rPr>
                      <w:rFonts w:ascii="Times New Roman" w:hAnsi="Times New Roman" w:eastAsia="宋体" w:cs="Times New Roman"/>
                      <w:color w:val="auto"/>
                      <w:lang w:eastAsia="zh-CN"/>
                    </w:rPr>
                    <w:t>/</w:t>
                  </w:r>
                </w:p>
              </w:tc>
              <w:tc>
                <w:tcPr>
                  <w:tcW w:w="906" w:type="pct"/>
                  <w:tcBorders>
                    <w:tl2br w:val="nil"/>
                    <w:tr2bl w:val="nil"/>
                  </w:tcBorders>
                  <w:noWrap w:val="0"/>
                  <w:vAlign w:val="center"/>
                </w:tcPr>
                <w:p w14:paraId="1E981FE9">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ascii="Times New Roman" w:hAnsi="Times New Roman" w:eastAsia="宋体" w:cs="Times New Roman"/>
                      <w:color w:val="auto"/>
                    </w:rPr>
                  </w:pPr>
                  <w:r>
                    <w:rPr>
                      <w:rFonts w:ascii="Times New Roman" w:hAnsi="Times New Roman" w:eastAsia="宋体" w:cs="Times New Roman"/>
                      <w:color w:val="auto"/>
                      <w:lang w:eastAsia="zh-CN"/>
                    </w:rPr>
                    <w:t>/</w:t>
                  </w:r>
                </w:p>
              </w:tc>
              <w:tc>
                <w:tcPr>
                  <w:tcW w:w="1026" w:type="pct"/>
                  <w:vMerge w:val="restart"/>
                  <w:tcBorders>
                    <w:tl2br w:val="nil"/>
                    <w:tr2bl w:val="nil"/>
                  </w:tcBorders>
                  <w:noWrap w:val="0"/>
                  <w:vAlign w:val="center"/>
                </w:tcPr>
                <w:p w14:paraId="549096D6">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ascii="Times New Roman" w:hAnsi="Times New Roman" w:eastAsia="宋体" w:cs="Times New Roman"/>
                      <w:color w:val="auto"/>
                    </w:rPr>
                  </w:pPr>
                  <w:r>
                    <w:rPr>
                      <w:rFonts w:ascii="Times New Roman" w:hAnsi="Times New Roman" w:eastAsia="宋体" w:cs="Times New Roman"/>
                      <w:color w:val="auto"/>
                      <w:lang w:eastAsia="zh-CN"/>
                    </w:rPr>
                    <w:t>DB21/3160-2019</w:t>
                  </w:r>
                </w:p>
              </w:tc>
            </w:tr>
            <w:tr w14:paraId="3279CA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26" w:type="pct"/>
                  <w:tcBorders>
                    <w:tl2br w:val="nil"/>
                    <w:tr2bl w:val="nil"/>
                  </w:tcBorders>
                  <w:noWrap w:val="0"/>
                  <w:vAlign w:val="center"/>
                </w:tcPr>
                <w:p w14:paraId="75FF9C3F">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NMHC</w:t>
                  </w:r>
                </w:p>
              </w:tc>
              <w:tc>
                <w:tcPr>
                  <w:tcW w:w="727" w:type="pct"/>
                  <w:tcBorders>
                    <w:tl2br w:val="nil"/>
                    <w:tr2bl w:val="nil"/>
                  </w:tcBorders>
                  <w:noWrap w:val="0"/>
                  <w:vAlign w:val="center"/>
                </w:tcPr>
                <w:p w14:paraId="70335B40">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60</w:t>
                  </w:r>
                </w:p>
              </w:tc>
              <w:tc>
                <w:tcPr>
                  <w:tcW w:w="499" w:type="pct"/>
                  <w:tcBorders>
                    <w:tl2br w:val="nil"/>
                    <w:tr2bl w:val="nil"/>
                  </w:tcBorders>
                  <w:noWrap w:val="0"/>
                  <w:vAlign w:val="center"/>
                </w:tcPr>
                <w:p w14:paraId="0E6D9EF0">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ascii="Times New Roman" w:hAnsi="Times New Roman" w:eastAsia="宋体" w:cs="Times New Roman"/>
                      <w:color w:val="auto"/>
                      <w:lang w:eastAsia="zh-CN"/>
                    </w:rPr>
                  </w:pPr>
                  <w:r>
                    <w:rPr>
                      <w:rFonts w:ascii="Times New Roman" w:hAnsi="Times New Roman" w:eastAsia="宋体" w:cs="Times New Roman"/>
                      <w:color w:val="auto"/>
                      <w:lang w:eastAsia="zh-CN"/>
                    </w:rPr>
                    <w:t>15m</w:t>
                  </w:r>
                </w:p>
              </w:tc>
              <w:tc>
                <w:tcPr>
                  <w:tcW w:w="585" w:type="pct"/>
                  <w:tcBorders>
                    <w:tl2br w:val="nil"/>
                    <w:tr2bl w:val="nil"/>
                  </w:tcBorders>
                  <w:noWrap w:val="0"/>
                  <w:vAlign w:val="center"/>
                </w:tcPr>
                <w:p w14:paraId="45ADD156">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ascii="Times New Roman" w:hAnsi="Times New Roman" w:eastAsia="宋体" w:cs="Times New Roman"/>
                      <w:color w:val="auto"/>
                      <w:lang w:eastAsia="zh-CN"/>
                    </w:rPr>
                  </w:pPr>
                  <w:r>
                    <w:rPr>
                      <w:rFonts w:hint="eastAsia" w:ascii="Times New Roman" w:hAnsi="Times New Roman" w:eastAsia="宋体" w:cs="Times New Roman"/>
                      <w:color w:val="auto"/>
                      <w:lang w:val="en-US" w:eastAsia="zh-CN"/>
                    </w:rPr>
                    <w:t>2.7</w:t>
                  </w:r>
                  <w:r>
                    <w:rPr>
                      <w:rFonts w:ascii="Times New Roman" w:hAnsi="Times New Roman" w:eastAsia="宋体" w:cs="Times New Roman"/>
                      <w:color w:val="auto"/>
                      <w:lang w:eastAsia="zh-CN"/>
                    </w:rPr>
                    <w:t>kg/h</w:t>
                  </w:r>
                </w:p>
              </w:tc>
              <w:tc>
                <w:tcPr>
                  <w:tcW w:w="727" w:type="pct"/>
                  <w:tcBorders>
                    <w:tl2br w:val="nil"/>
                    <w:tr2bl w:val="nil"/>
                  </w:tcBorders>
                  <w:noWrap w:val="0"/>
                  <w:vAlign w:val="center"/>
                </w:tcPr>
                <w:p w14:paraId="4CB7B377">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ascii="Times New Roman" w:hAnsi="Times New Roman" w:eastAsia="宋体" w:cs="Times New Roman"/>
                      <w:color w:val="auto"/>
                      <w:lang w:eastAsia="zh-CN"/>
                    </w:rPr>
                  </w:pPr>
                  <w:r>
                    <w:rPr>
                      <w:rFonts w:ascii="Times New Roman" w:hAnsi="Times New Roman" w:eastAsia="宋体" w:cs="Times New Roman"/>
                      <w:color w:val="auto"/>
                      <w:lang w:eastAsia="zh-CN"/>
                    </w:rPr>
                    <w:t>/</w:t>
                  </w:r>
                </w:p>
              </w:tc>
              <w:tc>
                <w:tcPr>
                  <w:tcW w:w="906" w:type="pct"/>
                  <w:tcBorders>
                    <w:tl2br w:val="nil"/>
                    <w:tr2bl w:val="nil"/>
                  </w:tcBorders>
                  <w:noWrap w:val="0"/>
                  <w:vAlign w:val="center"/>
                </w:tcPr>
                <w:p w14:paraId="538D11DF">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2.0</w:t>
                  </w:r>
                </w:p>
              </w:tc>
              <w:tc>
                <w:tcPr>
                  <w:tcW w:w="1026" w:type="pct"/>
                  <w:vMerge w:val="continue"/>
                  <w:tcBorders>
                    <w:tl2br w:val="nil"/>
                    <w:tr2bl w:val="nil"/>
                  </w:tcBorders>
                  <w:noWrap w:val="0"/>
                  <w:vAlign w:val="center"/>
                </w:tcPr>
                <w:p w14:paraId="29C008F4">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ascii="Times New Roman" w:hAnsi="Times New Roman" w:eastAsia="宋体" w:cs="Times New Roman"/>
                      <w:color w:val="auto"/>
                      <w:lang w:eastAsia="zh-CN"/>
                    </w:rPr>
                  </w:pPr>
                </w:p>
              </w:tc>
            </w:tr>
          </w:tbl>
          <w:p w14:paraId="37C6DF2B">
            <w:pPr>
              <w:pStyle w:val="59"/>
              <w:spacing w:line="240" w:lineRule="auto"/>
              <w:ind w:left="0" w:leftChars="0" w:firstLine="0" w:firstLineChars="0"/>
              <w:rPr>
                <w:rFonts w:hint="default" w:eastAsia="宋体"/>
                <w:color w:val="auto"/>
                <w:highlight w:val="none"/>
                <w:lang w:val="en-US" w:eastAsia="zh-CN"/>
              </w:rPr>
            </w:pPr>
            <w:r>
              <w:rPr>
                <w:rFonts w:hint="eastAsia"/>
                <w:color w:val="auto"/>
                <w:highlight w:val="none"/>
                <w:lang w:eastAsia="zh-CN"/>
              </w:rPr>
              <w:t>注：根据检测报告，本项目使用的</w:t>
            </w:r>
            <w:r>
              <w:rPr>
                <w:rFonts w:hint="eastAsia"/>
                <w:color w:val="auto"/>
                <w:highlight w:val="none"/>
                <w:lang w:val="en-US" w:eastAsia="zh-CN"/>
              </w:rPr>
              <w:t>UV底漆及UV面漆中检测出VOCs含量，其余检测项目如游离甲醛、总铅、可溶性重金属、乙二醇醚及醚酯总和、苯、甲苯与二甲苯、多环芳烃总和、甲醇、氯代烃总和等均低于检出限而未检出。</w:t>
            </w:r>
          </w:p>
          <w:p w14:paraId="7F969EAE">
            <w:pPr>
              <w:pStyle w:val="59"/>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color w:val="auto"/>
                <w:sz w:val="24"/>
                <w:szCs w:val="24"/>
                <w:highlight w:val="none"/>
                <w:lang w:eastAsia="zh-CN"/>
              </w:rPr>
            </w:pPr>
          </w:p>
          <w:p w14:paraId="4FB6ED6E">
            <w:pPr>
              <w:pStyle w:val="59"/>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b w:val="0"/>
                <w:bCs w:val="0"/>
                <w:color w:val="auto"/>
                <w:sz w:val="24"/>
                <w:szCs w:val="24"/>
                <w:highlight w:val="none"/>
                <w:lang w:val="en-US" w:eastAsia="zh-CN"/>
              </w:rPr>
            </w:pPr>
            <w:r>
              <w:rPr>
                <w:rFonts w:hint="eastAsia"/>
                <w:color w:val="auto"/>
                <w:sz w:val="24"/>
                <w:szCs w:val="24"/>
                <w:highlight w:val="none"/>
                <w:lang w:eastAsia="zh-CN"/>
              </w:rPr>
              <w:t>车间外非甲烷总烃执行</w:t>
            </w:r>
            <w:r>
              <w:rPr>
                <w:rFonts w:ascii="Times New Roman" w:hAnsi="Times New Roman" w:cs="Times New Roman"/>
                <w:color w:val="auto"/>
                <w:sz w:val="24"/>
                <w:szCs w:val="24"/>
              </w:rPr>
              <w:t>《工业涂装工序挥发性有机物排放标准》（DB21/3160-2019）中</w:t>
            </w:r>
            <w:r>
              <w:rPr>
                <w:rFonts w:hint="eastAsia" w:ascii="Times New Roman" w:hAnsi="Times New Roman" w:cs="Times New Roman"/>
                <w:color w:val="auto"/>
                <w:sz w:val="24"/>
                <w:szCs w:val="24"/>
                <w:lang w:eastAsia="zh-CN"/>
              </w:rPr>
              <w:t>表</w:t>
            </w:r>
            <w:r>
              <w:rPr>
                <w:rFonts w:hint="eastAsia" w:ascii="Times New Roman" w:hAnsi="Times New Roman" w:cs="Times New Roman"/>
                <w:color w:val="auto"/>
                <w:sz w:val="24"/>
                <w:szCs w:val="24"/>
                <w:lang w:val="en-US" w:eastAsia="zh-CN"/>
              </w:rPr>
              <w:t>3</w:t>
            </w:r>
            <w:r>
              <w:rPr>
                <w:rFonts w:hint="eastAsia" w:ascii="Times New Roman" w:hAnsi="Times New Roman" w:eastAsia="宋体" w:cs="Times New Roman"/>
                <w:b w:val="0"/>
                <w:bCs w:val="0"/>
                <w:color w:val="auto"/>
                <w:sz w:val="24"/>
                <w:szCs w:val="24"/>
                <w:highlight w:val="none"/>
                <w:lang w:val="en-US" w:eastAsia="zh-CN"/>
              </w:rPr>
              <w:t>排放标准。</w:t>
            </w:r>
          </w:p>
          <w:p w14:paraId="526D99B8">
            <w:pPr>
              <w:pStyle w:val="68"/>
              <w:numPr>
                <w:ilvl w:val="0"/>
                <w:numId w:val="18"/>
              </w:numPr>
              <w:spacing w:line="360" w:lineRule="auto"/>
              <w:ind w:left="0" w:leftChars="0" w:firstLine="0" w:firstLineChars="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  无组织废气排放标准  单位：mg/m</w:t>
            </w:r>
            <w:r>
              <w:rPr>
                <w:rFonts w:hint="eastAsia" w:ascii="Times New Roman" w:hAnsi="Times New Roman" w:eastAsia="宋体" w:cs="Times New Roman"/>
                <w:color w:val="auto"/>
                <w:highlight w:val="none"/>
                <w:vertAlign w:val="superscript"/>
                <w:lang w:val="en-US" w:eastAsia="zh-CN"/>
              </w:rPr>
              <w:t>3</w:t>
            </w:r>
          </w:p>
          <w:tbl>
            <w:tblPr>
              <w:tblStyle w:val="26"/>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left w:w="108" w:type="dxa"/>
                <w:right w:w="108" w:type="dxa"/>
              </w:tblCellMar>
            </w:tblPr>
            <w:tblGrid>
              <w:gridCol w:w="2736"/>
              <w:gridCol w:w="2737"/>
              <w:gridCol w:w="2737"/>
            </w:tblGrid>
            <w:tr w14:paraId="78A6CC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rPr>
                <w:trHeight w:val="382" w:hRule="atLeast"/>
              </w:trPr>
              <w:tc>
                <w:tcPr>
                  <w:tcW w:w="1666" w:type="pct"/>
                  <w:noWrap w:val="0"/>
                  <w:vAlign w:val="center"/>
                </w:tcPr>
                <w:p w14:paraId="654C37AD">
                  <w:pPr>
                    <w:pStyle w:val="59"/>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污染物项目</w:t>
                  </w:r>
                </w:p>
              </w:tc>
              <w:tc>
                <w:tcPr>
                  <w:tcW w:w="1666" w:type="pct"/>
                  <w:noWrap w:val="0"/>
                  <w:vAlign w:val="center"/>
                </w:tcPr>
                <w:p w14:paraId="47A54951">
                  <w:pPr>
                    <w:pStyle w:val="59"/>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排放限值</w:t>
                  </w:r>
                </w:p>
              </w:tc>
              <w:tc>
                <w:tcPr>
                  <w:tcW w:w="1666" w:type="pct"/>
                  <w:noWrap w:val="0"/>
                  <w:vAlign w:val="center"/>
                </w:tcPr>
                <w:p w14:paraId="1AE0D5DD">
                  <w:pPr>
                    <w:pStyle w:val="59"/>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监控位置</w:t>
                  </w:r>
                </w:p>
              </w:tc>
            </w:tr>
            <w:tr w14:paraId="2CCD27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rPr>
                <w:trHeight w:val="392" w:hRule="atLeast"/>
              </w:trPr>
              <w:tc>
                <w:tcPr>
                  <w:tcW w:w="1666" w:type="pct"/>
                  <w:noWrap w:val="0"/>
                  <w:vAlign w:val="center"/>
                </w:tcPr>
                <w:p w14:paraId="7D1A5B8B">
                  <w:pPr>
                    <w:pStyle w:val="59"/>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NMHC</w:t>
                  </w:r>
                </w:p>
              </w:tc>
              <w:tc>
                <w:tcPr>
                  <w:tcW w:w="1666" w:type="pct"/>
                  <w:noWrap w:val="0"/>
                  <w:vAlign w:val="center"/>
                </w:tcPr>
                <w:p w14:paraId="2D36FD18">
                  <w:pPr>
                    <w:pStyle w:val="59"/>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4.0</w:t>
                  </w:r>
                </w:p>
              </w:tc>
              <w:tc>
                <w:tcPr>
                  <w:tcW w:w="1666" w:type="pct"/>
                  <w:noWrap w:val="0"/>
                  <w:vAlign w:val="center"/>
                </w:tcPr>
                <w:p w14:paraId="3FB9A4D7">
                  <w:pPr>
                    <w:pStyle w:val="59"/>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color w:val="auto"/>
                      <w:sz w:val="21"/>
                      <w:szCs w:val="21"/>
                      <w:lang w:eastAsia="zh-CN"/>
                    </w:rPr>
                    <w:t>车间外或设施外</w:t>
                  </w:r>
                </w:p>
              </w:tc>
            </w:tr>
          </w:tbl>
          <w:p w14:paraId="62DCC97C">
            <w:pPr>
              <w:pStyle w:val="59"/>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b w:val="0"/>
                <w:bCs w:val="0"/>
                <w:color w:val="auto"/>
                <w:sz w:val="24"/>
                <w:szCs w:val="24"/>
                <w:highlight w:val="none"/>
                <w:lang w:val="en-US" w:eastAsia="zh-CN"/>
              </w:rPr>
            </w:pPr>
          </w:p>
          <w:p w14:paraId="66B49A27">
            <w:pPr>
              <w:pStyle w:val="62"/>
              <w:rPr>
                <w:rFonts w:hint="eastAsia" w:ascii="Times New Roman" w:hAnsi="Times New Roman" w:eastAsia="宋体" w:cs="Times New Roman"/>
                <w:color w:val="auto"/>
                <w:highlight w:val="none"/>
              </w:rPr>
            </w:pPr>
            <w:r>
              <w:rPr>
                <w:rFonts w:hint="eastAsia" w:ascii="Times New Roman" w:hAnsi="Times New Roman" w:eastAsia="宋体" w:cs="Times New Roman"/>
                <w:color w:val="auto"/>
                <w:highlight w:val="none"/>
              </w:rPr>
              <w:t>2、废水排放标准</w:t>
            </w:r>
          </w:p>
          <w:p w14:paraId="116CDC7F">
            <w:pPr>
              <w:pStyle w:val="75"/>
              <w:spacing w:before="180" w:line="359" w:lineRule="auto"/>
              <w:ind w:left="105" w:right="97" w:firstLine="480"/>
              <w:jc w:val="both"/>
              <w:rPr>
                <w:rFonts w:ascii="Times New Roman" w:hAnsi="Times New Roman" w:cs="Times New Roman"/>
                <w:color w:val="auto"/>
              </w:rPr>
            </w:pPr>
            <w:r>
              <w:rPr>
                <w:rFonts w:ascii="Times New Roman" w:hAnsi="Times New Roman" w:cs="Times New Roman"/>
                <w:color w:val="auto"/>
              </w:rPr>
              <w:t>本项目运营后产生的生活污水排入</w:t>
            </w:r>
            <w:r>
              <w:rPr>
                <w:rFonts w:hint="eastAsia" w:ascii="Times New Roman" w:hAnsi="Times New Roman" w:cs="Times New Roman"/>
                <w:color w:val="auto"/>
                <w:lang w:eastAsia="zh-CN"/>
              </w:rPr>
              <w:t>抚顺县救兵镇污水处理厂</w:t>
            </w:r>
            <w:r>
              <w:rPr>
                <w:rFonts w:ascii="Times New Roman" w:hAnsi="Times New Roman" w:cs="Times New Roman"/>
                <w:color w:val="auto"/>
              </w:rPr>
              <w:t>。</w:t>
            </w:r>
            <w:r>
              <w:rPr>
                <w:rFonts w:ascii="Times New Roman" w:hAnsi="Times New Roman" w:cs="Times New Roman"/>
                <w:color w:val="auto"/>
                <w:lang w:eastAsia="zh-CN"/>
              </w:rPr>
              <w:t>生活污水</w:t>
            </w:r>
            <w:r>
              <w:rPr>
                <w:rFonts w:hint="eastAsia" w:ascii="Times New Roman" w:hAnsi="Times New Roman" w:cs="Times New Roman"/>
                <w:color w:val="auto"/>
                <w:lang w:eastAsia="zh-CN"/>
              </w:rPr>
              <w:t>中</w:t>
            </w:r>
            <w:r>
              <w:rPr>
                <w:rFonts w:ascii="Times New Roman" w:hAnsi="Times New Roman" w:cs="Times New Roman"/>
                <w:color w:val="auto"/>
                <w:lang w:eastAsia="zh-CN"/>
              </w:rPr>
              <w:t>CODcr、BOD</w:t>
            </w:r>
            <w:r>
              <w:rPr>
                <w:rFonts w:ascii="Times New Roman" w:hAnsi="Times New Roman" w:cs="Times New Roman"/>
                <w:color w:val="auto"/>
                <w:vertAlign w:val="subscript"/>
                <w:lang w:eastAsia="zh-CN"/>
              </w:rPr>
              <w:t>5</w:t>
            </w:r>
            <w:r>
              <w:rPr>
                <w:rFonts w:ascii="Times New Roman" w:hAnsi="Times New Roman" w:cs="Times New Roman"/>
                <w:color w:val="auto"/>
                <w:lang w:eastAsia="zh-CN"/>
              </w:rPr>
              <w:t>、悬浮物、氨氮</w:t>
            </w:r>
            <w:r>
              <w:rPr>
                <w:rFonts w:hint="eastAsia" w:ascii="Times New Roman" w:hAnsi="Times New Roman" w:cs="Times New Roman"/>
                <w:color w:val="auto"/>
                <w:lang w:eastAsia="zh-CN"/>
              </w:rPr>
              <w:t>、磷酸盐</w:t>
            </w:r>
            <w:r>
              <w:rPr>
                <w:rFonts w:ascii="Times New Roman" w:hAnsi="Times New Roman" w:cs="Times New Roman"/>
                <w:color w:val="auto"/>
                <w:lang w:eastAsia="zh-CN"/>
              </w:rPr>
              <w:t>等污染物排放标准执行《辽宁省污水综合排放标准》（DB21/1627-2008）表2排入城镇污水处理厂的水污染物最高允许排放浓度；pH排放标准执行《污水综合排放标准》（GB8978-1996）。排放限值见下表。</w:t>
            </w:r>
          </w:p>
          <w:p w14:paraId="2DCA8C36">
            <w:pPr>
              <w:pStyle w:val="68"/>
              <w:numPr>
                <w:ilvl w:val="0"/>
                <w:numId w:val="18"/>
              </w:numPr>
              <w:spacing w:line="360" w:lineRule="auto"/>
              <w:ind w:left="0" w:leftChars="0" w:firstLine="0" w:firstLineChars="0"/>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  水污染物最高允许排放浓度  单位：mg/L</w:t>
            </w:r>
          </w:p>
          <w:tbl>
            <w:tblPr>
              <w:tblStyle w:val="2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04"/>
              <w:gridCol w:w="1015"/>
              <w:gridCol w:w="1015"/>
              <w:gridCol w:w="1015"/>
              <w:gridCol w:w="1015"/>
              <w:gridCol w:w="1015"/>
              <w:gridCol w:w="1015"/>
              <w:gridCol w:w="1016"/>
            </w:tblGrid>
            <w:tr w14:paraId="38FCB8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2" w:type="pct"/>
                  <w:tcBorders>
                    <w:tl2br w:val="nil"/>
                    <w:tr2bl w:val="nil"/>
                  </w:tcBorders>
                  <w:noWrap w:val="0"/>
                  <w:vAlign w:val="center"/>
                </w:tcPr>
                <w:p w14:paraId="5DE66D3A">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ascii="Times New Roman" w:hAnsi="Times New Roman" w:eastAsia="宋体" w:cs="Times New Roman"/>
                      <w:color w:val="auto"/>
                    </w:rPr>
                  </w:pPr>
                  <w:r>
                    <w:rPr>
                      <w:rFonts w:ascii="Times New Roman" w:hAnsi="Times New Roman" w:eastAsia="宋体" w:cs="Times New Roman"/>
                      <w:color w:val="auto"/>
                      <w:lang w:eastAsia="zh-CN"/>
                    </w:rPr>
                    <w:t>项目</w:t>
                  </w:r>
                </w:p>
              </w:tc>
              <w:tc>
                <w:tcPr>
                  <w:tcW w:w="618" w:type="pct"/>
                  <w:tcBorders>
                    <w:tl2br w:val="nil"/>
                    <w:tr2bl w:val="nil"/>
                  </w:tcBorders>
                  <w:noWrap w:val="0"/>
                  <w:vAlign w:val="center"/>
                </w:tcPr>
                <w:p w14:paraId="334E839F">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ascii="Times New Roman" w:hAnsi="Times New Roman" w:eastAsia="宋体" w:cs="Times New Roman"/>
                      <w:color w:val="auto"/>
                    </w:rPr>
                  </w:pPr>
                  <w:r>
                    <w:rPr>
                      <w:rFonts w:ascii="Times New Roman" w:hAnsi="Times New Roman" w:eastAsia="宋体" w:cs="Times New Roman"/>
                      <w:color w:val="auto"/>
                      <w:lang w:eastAsia="zh-CN"/>
                    </w:rPr>
                    <w:t>pH</w:t>
                  </w:r>
                </w:p>
              </w:tc>
              <w:tc>
                <w:tcPr>
                  <w:tcW w:w="618" w:type="pct"/>
                  <w:tcBorders>
                    <w:tl2br w:val="nil"/>
                    <w:tr2bl w:val="nil"/>
                  </w:tcBorders>
                  <w:noWrap w:val="0"/>
                  <w:vAlign w:val="center"/>
                </w:tcPr>
                <w:p w14:paraId="21AD7F2B">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ascii="Times New Roman" w:hAnsi="Times New Roman" w:eastAsia="宋体" w:cs="Times New Roman"/>
                      <w:color w:val="auto"/>
                    </w:rPr>
                  </w:pPr>
                  <w:r>
                    <w:rPr>
                      <w:rFonts w:hint="eastAsia" w:ascii="Times New Roman" w:hAnsi="Times New Roman" w:eastAsia="宋体" w:cs="Times New Roman"/>
                      <w:color w:val="auto"/>
                      <w:lang w:eastAsia="zh-CN"/>
                    </w:rPr>
                    <w:t>磷酸盐</w:t>
                  </w:r>
                </w:p>
              </w:tc>
              <w:tc>
                <w:tcPr>
                  <w:tcW w:w="618" w:type="pct"/>
                  <w:tcBorders>
                    <w:tl2br w:val="nil"/>
                    <w:tr2bl w:val="nil"/>
                  </w:tcBorders>
                  <w:noWrap w:val="0"/>
                  <w:vAlign w:val="center"/>
                </w:tcPr>
                <w:p w14:paraId="7AE836C6">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ascii="Times New Roman" w:hAnsi="Times New Roman" w:eastAsia="宋体" w:cs="Times New Roman"/>
                      <w:color w:val="auto"/>
                    </w:rPr>
                  </w:pPr>
                  <w:r>
                    <w:rPr>
                      <w:rFonts w:ascii="Times New Roman" w:hAnsi="Times New Roman" w:eastAsia="宋体" w:cs="Times New Roman"/>
                      <w:color w:val="auto"/>
                      <w:lang w:eastAsia="zh-CN"/>
                    </w:rPr>
                    <w:t>总氮</w:t>
                  </w:r>
                </w:p>
              </w:tc>
              <w:tc>
                <w:tcPr>
                  <w:tcW w:w="618" w:type="pct"/>
                  <w:tcBorders>
                    <w:tl2br w:val="nil"/>
                    <w:tr2bl w:val="nil"/>
                  </w:tcBorders>
                  <w:noWrap w:val="0"/>
                  <w:vAlign w:val="center"/>
                </w:tcPr>
                <w:p w14:paraId="6CC37159">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ascii="Times New Roman" w:hAnsi="Times New Roman" w:eastAsia="宋体" w:cs="Times New Roman"/>
                      <w:color w:val="auto"/>
                    </w:rPr>
                  </w:pPr>
                  <w:r>
                    <w:rPr>
                      <w:rFonts w:ascii="Times New Roman" w:hAnsi="Times New Roman" w:eastAsia="宋体" w:cs="Times New Roman"/>
                      <w:color w:val="auto"/>
                      <w:lang w:eastAsia="zh-CN"/>
                    </w:rPr>
                    <w:t>COD</w:t>
                  </w:r>
                  <w:r>
                    <w:rPr>
                      <w:rFonts w:ascii="Times New Roman" w:hAnsi="Times New Roman" w:eastAsia="宋体" w:cs="Times New Roman"/>
                      <w:color w:val="auto"/>
                      <w:vertAlign w:val="subscript"/>
                      <w:lang w:eastAsia="zh-CN"/>
                    </w:rPr>
                    <w:t>cr</w:t>
                  </w:r>
                </w:p>
              </w:tc>
              <w:tc>
                <w:tcPr>
                  <w:tcW w:w="618" w:type="pct"/>
                  <w:tcBorders>
                    <w:tl2br w:val="nil"/>
                    <w:tr2bl w:val="nil"/>
                  </w:tcBorders>
                  <w:noWrap w:val="0"/>
                  <w:vAlign w:val="center"/>
                </w:tcPr>
                <w:p w14:paraId="7C12C0E2">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ascii="Times New Roman" w:hAnsi="Times New Roman" w:eastAsia="宋体" w:cs="Times New Roman"/>
                      <w:color w:val="auto"/>
                    </w:rPr>
                  </w:pPr>
                  <w:r>
                    <w:rPr>
                      <w:rFonts w:ascii="Times New Roman" w:hAnsi="Times New Roman" w:eastAsia="宋体" w:cs="Times New Roman"/>
                      <w:color w:val="auto"/>
                      <w:lang w:eastAsia="zh-CN"/>
                    </w:rPr>
                    <w:t>BOD</w:t>
                  </w:r>
                  <w:r>
                    <w:rPr>
                      <w:rFonts w:hint="eastAsia" w:ascii="Times New Roman" w:hAnsi="Times New Roman" w:eastAsia="宋体" w:cs="Times New Roman"/>
                      <w:color w:val="auto"/>
                      <w:vertAlign w:val="subscript"/>
                      <w:lang w:eastAsia="zh-CN"/>
                    </w:rPr>
                    <w:t>5</w:t>
                  </w:r>
                </w:p>
              </w:tc>
              <w:tc>
                <w:tcPr>
                  <w:tcW w:w="618" w:type="pct"/>
                  <w:tcBorders>
                    <w:tl2br w:val="nil"/>
                    <w:tr2bl w:val="nil"/>
                  </w:tcBorders>
                  <w:noWrap w:val="0"/>
                  <w:vAlign w:val="center"/>
                </w:tcPr>
                <w:p w14:paraId="1511DDAD">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ascii="Times New Roman" w:hAnsi="Times New Roman" w:eastAsia="宋体" w:cs="Times New Roman"/>
                      <w:color w:val="auto"/>
                    </w:rPr>
                  </w:pPr>
                  <w:r>
                    <w:rPr>
                      <w:rFonts w:ascii="Times New Roman" w:hAnsi="Times New Roman" w:eastAsia="宋体" w:cs="Times New Roman"/>
                      <w:color w:val="auto"/>
                      <w:lang w:eastAsia="zh-CN"/>
                    </w:rPr>
                    <w:t>SS</w:t>
                  </w:r>
                </w:p>
              </w:tc>
              <w:tc>
                <w:tcPr>
                  <w:tcW w:w="618" w:type="pct"/>
                  <w:tcBorders>
                    <w:tl2br w:val="nil"/>
                    <w:tr2bl w:val="nil"/>
                  </w:tcBorders>
                  <w:noWrap w:val="0"/>
                  <w:vAlign w:val="center"/>
                </w:tcPr>
                <w:p w14:paraId="3DB28BA4">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ascii="Times New Roman" w:hAnsi="Times New Roman" w:eastAsia="宋体" w:cs="Times New Roman"/>
                      <w:color w:val="auto"/>
                    </w:rPr>
                  </w:pPr>
                  <w:r>
                    <w:rPr>
                      <w:rFonts w:ascii="Times New Roman" w:hAnsi="Times New Roman" w:eastAsia="宋体" w:cs="Times New Roman"/>
                      <w:color w:val="auto"/>
                      <w:lang w:eastAsia="zh-CN"/>
                    </w:rPr>
                    <w:t>氨氮</w:t>
                  </w:r>
                </w:p>
              </w:tc>
            </w:tr>
            <w:tr w14:paraId="788D77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2" w:type="pct"/>
                  <w:tcBorders>
                    <w:tl2br w:val="nil"/>
                    <w:tr2bl w:val="nil"/>
                  </w:tcBorders>
                  <w:noWrap w:val="0"/>
                  <w:vAlign w:val="center"/>
                </w:tcPr>
                <w:p w14:paraId="0FB343D0">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ascii="Times New Roman" w:hAnsi="Times New Roman" w:eastAsia="宋体" w:cs="Times New Roman"/>
                      <w:color w:val="auto"/>
                    </w:rPr>
                  </w:pPr>
                  <w:r>
                    <w:rPr>
                      <w:rFonts w:ascii="Times New Roman" w:hAnsi="Times New Roman" w:eastAsia="宋体" w:cs="Times New Roman"/>
                      <w:color w:val="auto"/>
                      <w:lang w:eastAsia="zh-CN"/>
                    </w:rPr>
                    <w:t>标准值</w:t>
                  </w:r>
                </w:p>
              </w:tc>
              <w:tc>
                <w:tcPr>
                  <w:tcW w:w="618" w:type="pct"/>
                  <w:tcBorders>
                    <w:tl2br w:val="nil"/>
                    <w:tr2bl w:val="nil"/>
                  </w:tcBorders>
                  <w:noWrap w:val="0"/>
                  <w:vAlign w:val="center"/>
                </w:tcPr>
                <w:p w14:paraId="5D4C7F47">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ascii="Times New Roman" w:hAnsi="Times New Roman" w:eastAsia="宋体" w:cs="Times New Roman"/>
                      <w:color w:val="auto"/>
                    </w:rPr>
                  </w:pPr>
                  <w:r>
                    <w:rPr>
                      <w:rFonts w:ascii="Times New Roman" w:hAnsi="Times New Roman" w:eastAsia="宋体" w:cs="Times New Roman"/>
                      <w:color w:val="auto"/>
                      <w:lang w:eastAsia="zh-CN"/>
                    </w:rPr>
                    <w:t>6-9</w:t>
                  </w:r>
                </w:p>
              </w:tc>
              <w:tc>
                <w:tcPr>
                  <w:tcW w:w="618" w:type="pct"/>
                  <w:tcBorders>
                    <w:tl2br w:val="nil"/>
                    <w:tr2bl w:val="nil"/>
                  </w:tcBorders>
                  <w:noWrap w:val="0"/>
                  <w:vAlign w:val="center"/>
                </w:tcPr>
                <w:p w14:paraId="639F23CE">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ascii="Times New Roman" w:hAnsi="Times New Roman" w:eastAsia="宋体" w:cs="Times New Roman"/>
                      <w:color w:val="auto"/>
                    </w:rPr>
                  </w:pPr>
                  <w:r>
                    <w:rPr>
                      <w:rFonts w:ascii="Times New Roman" w:hAnsi="Times New Roman" w:eastAsia="宋体" w:cs="Times New Roman"/>
                      <w:color w:val="auto"/>
                      <w:lang w:eastAsia="zh-CN"/>
                    </w:rPr>
                    <w:t>5</w:t>
                  </w:r>
                </w:p>
              </w:tc>
              <w:tc>
                <w:tcPr>
                  <w:tcW w:w="618" w:type="pct"/>
                  <w:tcBorders>
                    <w:tl2br w:val="nil"/>
                    <w:tr2bl w:val="nil"/>
                  </w:tcBorders>
                  <w:noWrap w:val="0"/>
                  <w:vAlign w:val="center"/>
                </w:tcPr>
                <w:p w14:paraId="3E1768D3">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ascii="Times New Roman" w:hAnsi="Times New Roman" w:eastAsia="宋体" w:cs="Times New Roman"/>
                      <w:color w:val="auto"/>
                    </w:rPr>
                  </w:pPr>
                  <w:r>
                    <w:rPr>
                      <w:rFonts w:ascii="Times New Roman" w:hAnsi="Times New Roman" w:eastAsia="宋体" w:cs="Times New Roman"/>
                      <w:color w:val="auto"/>
                      <w:lang w:eastAsia="zh-CN"/>
                    </w:rPr>
                    <w:t>50</w:t>
                  </w:r>
                </w:p>
              </w:tc>
              <w:tc>
                <w:tcPr>
                  <w:tcW w:w="618" w:type="pct"/>
                  <w:tcBorders>
                    <w:tl2br w:val="nil"/>
                    <w:tr2bl w:val="nil"/>
                  </w:tcBorders>
                  <w:noWrap w:val="0"/>
                  <w:vAlign w:val="center"/>
                </w:tcPr>
                <w:p w14:paraId="5D522842">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ascii="Times New Roman" w:hAnsi="Times New Roman" w:eastAsia="宋体" w:cs="Times New Roman"/>
                      <w:color w:val="auto"/>
                    </w:rPr>
                  </w:pPr>
                  <w:r>
                    <w:rPr>
                      <w:rFonts w:ascii="Times New Roman" w:hAnsi="Times New Roman" w:eastAsia="宋体" w:cs="Times New Roman"/>
                      <w:color w:val="auto"/>
                      <w:lang w:eastAsia="zh-CN"/>
                    </w:rPr>
                    <w:t>300</w:t>
                  </w:r>
                </w:p>
              </w:tc>
              <w:tc>
                <w:tcPr>
                  <w:tcW w:w="618" w:type="pct"/>
                  <w:tcBorders>
                    <w:tl2br w:val="nil"/>
                    <w:tr2bl w:val="nil"/>
                  </w:tcBorders>
                  <w:noWrap w:val="0"/>
                  <w:vAlign w:val="center"/>
                </w:tcPr>
                <w:p w14:paraId="0824CE1F">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ascii="Times New Roman" w:hAnsi="Times New Roman" w:eastAsia="宋体" w:cs="Times New Roman"/>
                      <w:color w:val="auto"/>
                    </w:rPr>
                  </w:pPr>
                  <w:r>
                    <w:rPr>
                      <w:rFonts w:ascii="Times New Roman" w:hAnsi="Times New Roman" w:eastAsia="宋体" w:cs="Times New Roman"/>
                      <w:color w:val="auto"/>
                      <w:lang w:eastAsia="zh-CN"/>
                    </w:rPr>
                    <w:t>250</w:t>
                  </w:r>
                </w:p>
              </w:tc>
              <w:tc>
                <w:tcPr>
                  <w:tcW w:w="618" w:type="pct"/>
                  <w:tcBorders>
                    <w:tl2br w:val="nil"/>
                    <w:tr2bl w:val="nil"/>
                  </w:tcBorders>
                  <w:noWrap w:val="0"/>
                  <w:vAlign w:val="center"/>
                </w:tcPr>
                <w:p w14:paraId="7F838D88">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ascii="Times New Roman" w:hAnsi="Times New Roman" w:eastAsia="宋体" w:cs="Times New Roman"/>
                      <w:color w:val="auto"/>
                    </w:rPr>
                  </w:pPr>
                  <w:r>
                    <w:rPr>
                      <w:rFonts w:ascii="Times New Roman" w:hAnsi="Times New Roman" w:eastAsia="宋体" w:cs="Times New Roman"/>
                      <w:color w:val="auto"/>
                      <w:lang w:eastAsia="zh-CN"/>
                    </w:rPr>
                    <w:t>300</w:t>
                  </w:r>
                </w:p>
              </w:tc>
              <w:tc>
                <w:tcPr>
                  <w:tcW w:w="618" w:type="pct"/>
                  <w:tcBorders>
                    <w:tl2br w:val="nil"/>
                    <w:tr2bl w:val="nil"/>
                  </w:tcBorders>
                  <w:noWrap w:val="0"/>
                  <w:vAlign w:val="center"/>
                </w:tcPr>
                <w:p w14:paraId="7479DEDA">
                  <w:pPr>
                    <w:keepNext w:val="0"/>
                    <w:keepLines w:val="0"/>
                    <w:pageBreakBefore w:val="0"/>
                    <w:widowControl w:val="0"/>
                    <w:kinsoku/>
                    <w:wordWrap/>
                    <w:overflowPunct/>
                    <w:topLinePunct w:val="0"/>
                    <w:autoSpaceDE/>
                    <w:autoSpaceDN/>
                    <w:bidi w:val="0"/>
                    <w:adjustRightInd/>
                    <w:snapToGrid/>
                    <w:spacing w:line="240" w:lineRule="auto"/>
                    <w:jc w:val="center"/>
                    <w:textAlignment w:val="center"/>
                    <w:rPr>
                      <w:rFonts w:ascii="Times New Roman" w:hAnsi="Times New Roman" w:eastAsia="宋体" w:cs="Times New Roman"/>
                      <w:color w:val="auto"/>
                    </w:rPr>
                  </w:pPr>
                  <w:r>
                    <w:rPr>
                      <w:rFonts w:ascii="Times New Roman" w:hAnsi="Times New Roman" w:eastAsia="宋体" w:cs="Times New Roman"/>
                      <w:color w:val="auto"/>
                      <w:lang w:eastAsia="zh-CN"/>
                    </w:rPr>
                    <w:t>30</w:t>
                  </w:r>
                </w:p>
              </w:tc>
            </w:tr>
          </w:tbl>
          <w:p w14:paraId="73B40EA2">
            <w:pPr>
              <w:pStyle w:val="62"/>
              <w:rPr>
                <w:rFonts w:hint="eastAsia"/>
                <w:color w:val="auto"/>
                <w:highlight w:val="none"/>
              </w:rPr>
            </w:pPr>
          </w:p>
          <w:p w14:paraId="7DBEA851">
            <w:pPr>
              <w:pStyle w:val="62"/>
              <w:rPr>
                <w:b w:val="0"/>
                <w:bCs/>
                <w:color w:val="auto"/>
                <w:highlight w:val="none"/>
              </w:rPr>
            </w:pPr>
            <w:r>
              <w:rPr>
                <w:rFonts w:hint="eastAsia"/>
                <w:color w:val="auto"/>
                <w:highlight w:val="none"/>
                <w:lang w:val="en-US" w:eastAsia="zh-CN"/>
              </w:rPr>
              <w:t>3</w:t>
            </w:r>
            <w:r>
              <w:rPr>
                <w:rFonts w:hint="eastAsia"/>
                <w:color w:val="auto"/>
                <w:highlight w:val="none"/>
              </w:rPr>
              <w:t>、</w:t>
            </w:r>
            <w:r>
              <w:rPr>
                <w:color w:val="auto"/>
                <w:highlight w:val="none"/>
              </w:rPr>
              <w:t>噪声</w:t>
            </w:r>
            <w:r>
              <w:rPr>
                <w:rFonts w:hint="eastAsia"/>
                <w:color w:val="auto"/>
                <w:highlight w:val="none"/>
              </w:rPr>
              <w:t>排放标准</w:t>
            </w:r>
          </w:p>
          <w:p w14:paraId="0EDE183C">
            <w:pPr>
              <w:pStyle w:val="59"/>
              <w:ind w:firstLine="482"/>
              <w:rPr>
                <w:rFonts w:hint="eastAsia"/>
                <w:b w:val="0"/>
                <w:bCs w:val="0"/>
                <w:color w:val="auto"/>
                <w:sz w:val="24"/>
                <w:highlight w:val="none"/>
                <w:lang w:eastAsia="zh-CN"/>
              </w:rPr>
            </w:pPr>
            <w:r>
              <w:rPr>
                <w:rFonts w:hint="eastAsia"/>
                <w:b w:val="0"/>
                <w:bCs w:val="0"/>
                <w:color w:val="auto"/>
                <w:sz w:val="24"/>
                <w:highlight w:val="none"/>
                <w:lang w:eastAsia="zh-CN"/>
              </w:rPr>
              <w:t>（</w:t>
            </w:r>
            <w:r>
              <w:rPr>
                <w:rFonts w:hint="eastAsia"/>
                <w:b w:val="0"/>
                <w:bCs w:val="0"/>
                <w:color w:val="auto"/>
                <w:sz w:val="24"/>
                <w:highlight w:val="none"/>
                <w:lang w:val="en-US" w:eastAsia="zh-CN"/>
              </w:rPr>
              <w:t>1</w:t>
            </w:r>
            <w:r>
              <w:rPr>
                <w:rFonts w:hint="eastAsia"/>
                <w:b w:val="0"/>
                <w:bCs w:val="0"/>
                <w:color w:val="auto"/>
                <w:sz w:val="24"/>
                <w:highlight w:val="none"/>
                <w:lang w:eastAsia="zh-CN"/>
              </w:rPr>
              <w:t>）施工期：</w:t>
            </w:r>
          </w:p>
          <w:p w14:paraId="16A42FFE">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本项目施工期噪声执行《</w:t>
            </w:r>
            <w:r>
              <w:rPr>
                <w:rFonts w:hint="default" w:ascii="Times New Roman" w:hAnsi="Times New Roman" w:cs="Times New Roman"/>
                <w:color w:val="auto"/>
                <w:sz w:val="24"/>
                <w:szCs w:val="24"/>
                <w:highlight w:val="none"/>
              </w:rPr>
              <w:t>建筑施工噪声排放标准</w:t>
            </w:r>
            <w:r>
              <w:rPr>
                <w:rFonts w:hint="default" w:ascii="Times New Roman" w:hAnsi="Times New Roman" w:eastAsia="宋体" w:cs="Times New Roman"/>
                <w:color w:val="auto"/>
                <w:sz w:val="24"/>
                <w:highlight w:val="none"/>
              </w:rPr>
              <w:t>》</w:t>
            </w:r>
            <w:r>
              <w:rPr>
                <w:rFonts w:hint="eastAsia"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GB12523-20</w:t>
            </w:r>
            <w:r>
              <w:rPr>
                <w:rFonts w:hint="eastAsia" w:ascii="Times New Roman" w:hAnsi="Times New Roman" w:eastAsia="宋体" w:cs="Times New Roman"/>
                <w:color w:val="auto"/>
                <w:sz w:val="24"/>
                <w:highlight w:val="none"/>
                <w:lang w:val="en-US" w:eastAsia="zh-CN"/>
              </w:rPr>
              <w:t>25</w:t>
            </w:r>
            <w:r>
              <w:rPr>
                <w:rFonts w:hint="eastAsia"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标准详见</w:t>
            </w:r>
            <w:r>
              <w:rPr>
                <w:rFonts w:hint="default" w:ascii="Times New Roman" w:hAnsi="Times New Roman" w:eastAsia="宋体" w:cs="Times New Roman"/>
                <w:color w:val="auto"/>
                <w:sz w:val="24"/>
                <w:highlight w:val="none"/>
                <w:lang w:eastAsia="zh-CN"/>
              </w:rPr>
              <w:t>下表。</w:t>
            </w:r>
          </w:p>
          <w:p w14:paraId="5ABBE689">
            <w:pPr>
              <w:pStyle w:val="68"/>
              <w:numPr>
                <w:ilvl w:val="0"/>
                <w:numId w:val="18"/>
              </w:numPr>
              <w:spacing w:line="360" w:lineRule="auto"/>
              <w:ind w:left="0" w:leftChars="0"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 xml:space="preserve">  </w:t>
            </w:r>
            <w:r>
              <w:rPr>
                <w:rFonts w:hint="eastAsia" w:ascii="Times New Roman" w:hAnsi="Times New Roman" w:eastAsia="宋体" w:cs="Times New Roman"/>
                <w:color w:val="auto"/>
                <w:highlight w:val="none"/>
                <w:lang w:val="en-US" w:eastAsia="zh-CN"/>
              </w:rPr>
              <w:t>建筑施工场界</w:t>
            </w:r>
            <w:r>
              <w:rPr>
                <w:rFonts w:hint="default" w:ascii="Times New Roman" w:hAnsi="Times New Roman" w:eastAsia="宋体" w:cs="Times New Roman"/>
                <w:color w:val="auto"/>
                <w:highlight w:val="none"/>
                <w:lang w:val="en-US" w:eastAsia="zh-CN"/>
              </w:rPr>
              <w:t>噪声排放</w:t>
            </w:r>
            <w:r>
              <w:rPr>
                <w:rFonts w:hint="eastAsia" w:ascii="Times New Roman" w:hAnsi="Times New Roman" w:eastAsia="宋体" w:cs="Times New Roman"/>
                <w:color w:val="auto"/>
                <w:highlight w:val="none"/>
                <w:lang w:val="en-US" w:eastAsia="zh-CN"/>
              </w:rPr>
              <w:t>限值</w:t>
            </w:r>
            <w:r>
              <w:rPr>
                <w:rFonts w:hint="default" w:ascii="Times New Roman" w:hAnsi="Times New Roman" w:eastAsia="宋体" w:cs="Times New Roman"/>
                <w:color w:val="auto"/>
                <w:highlight w:val="none"/>
                <w:lang w:val="en-US" w:eastAsia="zh-CN"/>
              </w:rPr>
              <w:t xml:space="preserve">  单位：dB(A)</w:t>
            </w:r>
          </w:p>
          <w:tbl>
            <w:tblPr>
              <w:tblStyle w:val="25"/>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05"/>
              <w:gridCol w:w="3443"/>
              <w:gridCol w:w="3163"/>
            </w:tblGrid>
            <w:tr w14:paraId="28FE41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7" w:type="pct"/>
                  <w:noWrap w:val="0"/>
                  <w:vAlign w:val="center"/>
                </w:tcPr>
                <w:p w14:paraId="7143275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类别</w:t>
                  </w:r>
                </w:p>
              </w:tc>
              <w:tc>
                <w:tcPr>
                  <w:tcW w:w="2096" w:type="pct"/>
                  <w:noWrap w:val="0"/>
                  <w:vAlign w:val="center"/>
                </w:tcPr>
                <w:p w14:paraId="218FB90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昼间</w:t>
                  </w:r>
                </w:p>
              </w:tc>
              <w:tc>
                <w:tcPr>
                  <w:tcW w:w="1925" w:type="pct"/>
                  <w:noWrap w:val="0"/>
                  <w:vAlign w:val="center"/>
                </w:tcPr>
                <w:p w14:paraId="08BB172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夜间</w:t>
                  </w:r>
                </w:p>
              </w:tc>
            </w:tr>
            <w:tr w14:paraId="542AB6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7" w:type="pct"/>
                  <w:noWrap w:val="0"/>
                  <w:vAlign w:val="center"/>
                </w:tcPr>
                <w:p w14:paraId="72F68C3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标准值</w:t>
                  </w:r>
                </w:p>
              </w:tc>
              <w:tc>
                <w:tcPr>
                  <w:tcW w:w="2096" w:type="pct"/>
                  <w:noWrap w:val="0"/>
                  <w:vAlign w:val="center"/>
                </w:tcPr>
                <w:p w14:paraId="36FBBDC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70</w:t>
                  </w:r>
                </w:p>
              </w:tc>
              <w:tc>
                <w:tcPr>
                  <w:tcW w:w="1925" w:type="pct"/>
                  <w:noWrap w:val="0"/>
                  <w:vAlign w:val="center"/>
                </w:tcPr>
                <w:p w14:paraId="5B55345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55</w:t>
                  </w:r>
                </w:p>
              </w:tc>
            </w:tr>
          </w:tbl>
          <w:p w14:paraId="06EDA329">
            <w:pPr>
              <w:pStyle w:val="59"/>
              <w:ind w:firstLine="482"/>
              <w:rPr>
                <w:rFonts w:hint="eastAsia"/>
                <w:b w:val="0"/>
                <w:bCs w:val="0"/>
                <w:color w:val="auto"/>
                <w:sz w:val="24"/>
                <w:highlight w:val="none"/>
                <w:lang w:eastAsia="zh-CN"/>
              </w:rPr>
            </w:pPr>
          </w:p>
          <w:p w14:paraId="18A1D452">
            <w:pPr>
              <w:pStyle w:val="59"/>
              <w:ind w:firstLine="482"/>
              <w:rPr>
                <w:rFonts w:hint="eastAsia" w:eastAsia="宋体"/>
                <w:b w:val="0"/>
                <w:bCs w:val="0"/>
                <w:color w:val="auto"/>
                <w:sz w:val="24"/>
                <w:highlight w:val="none"/>
                <w:lang w:eastAsia="zh-CN"/>
              </w:rPr>
            </w:pPr>
            <w:r>
              <w:rPr>
                <w:rFonts w:hint="eastAsia"/>
                <w:b w:val="0"/>
                <w:bCs w:val="0"/>
                <w:color w:val="auto"/>
                <w:sz w:val="24"/>
                <w:highlight w:val="none"/>
                <w:lang w:eastAsia="zh-CN"/>
              </w:rPr>
              <w:t>（</w:t>
            </w:r>
            <w:r>
              <w:rPr>
                <w:rFonts w:hint="eastAsia"/>
                <w:b w:val="0"/>
                <w:bCs w:val="0"/>
                <w:color w:val="auto"/>
                <w:sz w:val="24"/>
                <w:highlight w:val="none"/>
                <w:lang w:val="en-US" w:eastAsia="zh-CN"/>
              </w:rPr>
              <w:t>2</w:t>
            </w:r>
            <w:r>
              <w:rPr>
                <w:rFonts w:hint="eastAsia"/>
                <w:b w:val="0"/>
                <w:bCs w:val="0"/>
                <w:color w:val="auto"/>
                <w:sz w:val="24"/>
                <w:highlight w:val="none"/>
                <w:lang w:eastAsia="zh-CN"/>
              </w:rPr>
              <w:t>）</w:t>
            </w:r>
            <w:r>
              <w:rPr>
                <w:b w:val="0"/>
                <w:bCs w:val="0"/>
                <w:color w:val="auto"/>
                <w:sz w:val="24"/>
                <w:highlight w:val="none"/>
              </w:rPr>
              <w:t>营运期</w:t>
            </w:r>
            <w:r>
              <w:rPr>
                <w:rFonts w:hint="eastAsia"/>
                <w:b w:val="0"/>
                <w:bCs w:val="0"/>
                <w:color w:val="auto"/>
                <w:sz w:val="24"/>
                <w:highlight w:val="none"/>
                <w:lang w:eastAsia="zh-CN"/>
              </w:rPr>
              <w:t>：</w:t>
            </w:r>
          </w:p>
          <w:p w14:paraId="0FADF91B">
            <w:pPr>
              <w:pStyle w:val="59"/>
              <w:ind w:firstLine="480"/>
              <w:rPr>
                <w:bCs/>
                <w:color w:val="auto"/>
                <w:sz w:val="24"/>
                <w:highlight w:val="none"/>
              </w:rPr>
            </w:pPr>
            <w:r>
              <w:rPr>
                <w:bCs/>
                <w:color w:val="auto"/>
                <w:sz w:val="24"/>
                <w:highlight w:val="none"/>
              </w:rPr>
              <w:t>根据《抚顺市人民政府办公室关于印发抚顺市声环境功能区划分方案的通知》</w:t>
            </w:r>
            <w:r>
              <w:rPr>
                <w:rFonts w:hint="eastAsia"/>
                <w:bCs/>
                <w:color w:val="auto"/>
                <w:sz w:val="24"/>
                <w:highlight w:val="none"/>
              </w:rPr>
              <w:t>（</w:t>
            </w:r>
            <w:r>
              <w:rPr>
                <w:bCs/>
                <w:color w:val="auto"/>
                <w:sz w:val="24"/>
                <w:highlight w:val="none"/>
              </w:rPr>
              <w:t>抚顺市人民政府，抚政办发〔2022〕42号</w:t>
            </w:r>
            <w:r>
              <w:rPr>
                <w:rFonts w:hint="eastAsia"/>
                <w:bCs/>
                <w:color w:val="auto"/>
                <w:sz w:val="24"/>
                <w:highlight w:val="none"/>
              </w:rPr>
              <w:t>）</w:t>
            </w:r>
            <w:r>
              <w:rPr>
                <w:bCs/>
                <w:color w:val="auto"/>
                <w:sz w:val="24"/>
                <w:highlight w:val="none"/>
              </w:rPr>
              <w:t>，</w:t>
            </w:r>
            <w:r>
              <w:rPr>
                <w:rFonts w:hint="eastAsia"/>
                <w:color w:val="auto"/>
                <w:sz w:val="24"/>
                <w:highlight w:val="none"/>
                <w:lang w:eastAsia="zh-CN"/>
              </w:rPr>
              <w:t>本项目</w:t>
            </w:r>
            <w:r>
              <w:rPr>
                <w:rFonts w:hint="eastAsia"/>
                <w:color w:val="auto"/>
                <w:sz w:val="24"/>
                <w:highlight w:val="none"/>
              </w:rPr>
              <w:t>厂界噪声执行《工业企业厂界环境噪声排放标准》（GB12348-2008）的</w:t>
            </w:r>
            <w:r>
              <w:rPr>
                <w:rFonts w:hint="eastAsia"/>
                <w:color w:val="auto"/>
                <w:sz w:val="24"/>
                <w:highlight w:val="none"/>
                <w:lang w:val="en-US" w:eastAsia="zh-CN"/>
              </w:rPr>
              <w:t>3</w:t>
            </w:r>
            <w:r>
              <w:rPr>
                <w:rFonts w:hint="eastAsia"/>
                <w:color w:val="auto"/>
                <w:sz w:val="24"/>
                <w:highlight w:val="none"/>
              </w:rPr>
              <w:t>类标准要求</w:t>
            </w:r>
            <w:r>
              <w:rPr>
                <w:rFonts w:hint="eastAsia"/>
                <w:color w:val="auto"/>
                <w:spacing w:val="-1"/>
                <w:sz w:val="24"/>
                <w:highlight w:val="none"/>
              </w:rPr>
              <w:t>。</w:t>
            </w:r>
            <w:r>
              <w:rPr>
                <w:rFonts w:hint="eastAsia"/>
                <w:color w:val="auto"/>
                <w:spacing w:val="-1"/>
                <w:sz w:val="24"/>
                <w:highlight w:val="none"/>
                <w:lang w:eastAsia="zh-CN"/>
              </w:rPr>
              <w:t>详见</w:t>
            </w:r>
            <w:r>
              <w:rPr>
                <w:color w:val="auto"/>
                <w:sz w:val="24"/>
                <w:highlight w:val="none"/>
              </w:rPr>
              <w:t>下表。</w:t>
            </w:r>
          </w:p>
          <w:p w14:paraId="28BB9259">
            <w:pPr>
              <w:pStyle w:val="68"/>
              <w:numPr>
                <w:ilvl w:val="0"/>
                <w:numId w:val="18"/>
              </w:numPr>
              <w:spacing w:line="360" w:lineRule="auto"/>
              <w:ind w:left="0" w:leftChars="0" w:firstLine="0" w:firstLineChars="0"/>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  噪声排放标准  单位：dB（A）</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29"/>
              <w:gridCol w:w="3483"/>
              <w:gridCol w:w="1300"/>
              <w:gridCol w:w="1301"/>
            </w:tblGrid>
            <w:tr w14:paraId="718CDE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6" w:type="pct"/>
                  <w:noWrap w:val="0"/>
                  <w:vAlign w:val="center"/>
                </w:tcPr>
                <w:p w14:paraId="7CDF3E13">
                  <w:pPr>
                    <w:pStyle w:val="55"/>
                    <w:jc w:val="center"/>
                    <w:rPr>
                      <w:color w:val="auto"/>
                      <w:highlight w:val="none"/>
                    </w:rPr>
                  </w:pPr>
                  <w:r>
                    <w:rPr>
                      <w:color w:val="auto"/>
                      <w:highlight w:val="none"/>
                    </w:rPr>
                    <w:t>项目区域</w:t>
                  </w:r>
                </w:p>
              </w:tc>
              <w:tc>
                <w:tcPr>
                  <w:tcW w:w="2120" w:type="pct"/>
                  <w:noWrap w:val="0"/>
                  <w:vAlign w:val="center"/>
                </w:tcPr>
                <w:p w14:paraId="181600FE">
                  <w:pPr>
                    <w:pStyle w:val="55"/>
                    <w:jc w:val="center"/>
                    <w:rPr>
                      <w:color w:val="auto"/>
                      <w:highlight w:val="none"/>
                    </w:rPr>
                  </w:pPr>
                  <w:r>
                    <w:rPr>
                      <w:color w:val="auto"/>
                      <w:highlight w:val="none"/>
                    </w:rPr>
                    <w:t>执行标准</w:t>
                  </w:r>
                </w:p>
              </w:tc>
              <w:tc>
                <w:tcPr>
                  <w:tcW w:w="791" w:type="pct"/>
                  <w:noWrap w:val="0"/>
                  <w:vAlign w:val="center"/>
                </w:tcPr>
                <w:p w14:paraId="464D7157">
                  <w:pPr>
                    <w:pStyle w:val="55"/>
                    <w:jc w:val="center"/>
                    <w:rPr>
                      <w:color w:val="auto"/>
                      <w:highlight w:val="none"/>
                    </w:rPr>
                  </w:pPr>
                  <w:r>
                    <w:rPr>
                      <w:color w:val="auto"/>
                      <w:highlight w:val="none"/>
                    </w:rPr>
                    <w:t>昼间</w:t>
                  </w:r>
                </w:p>
              </w:tc>
              <w:tc>
                <w:tcPr>
                  <w:tcW w:w="792" w:type="pct"/>
                  <w:noWrap w:val="0"/>
                  <w:vAlign w:val="center"/>
                </w:tcPr>
                <w:p w14:paraId="34B43A83">
                  <w:pPr>
                    <w:pStyle w:val="55"/>
                    <w:jc w:val="center"/>
                    <w:rPr>
                      <w:color w:val="auto"/>
                      <w:highlight w:val="none"/>
                    </w:rPr>
                  </w:pPr>
                  <w:r>
                    <w:rPr>
                      <w:color w:val="auto"/>
                      <w:highlight w:val="none"/>
                    </w:rPr>
                    <w:t>夜间</w:t>
                  </w:r>
                </w:p>
              </w:tc>
            </w:tr>
            <w:tr w14:paraId="27E443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96" w:type="pct"/>
                  <w:noWrap w:val="0"/>
                  <w:vAlign w:val="center"/>
                </w:tcPr>
                <w:p w14:paraId="2F03E830">
                  <w:pPr>
                    <w:pStyle w:val="55"/>
                    <w:jc w:val="center"/>
                    <w:rPr>
                      <w:rFonts w:hint="eastAsia" w:eastAsia="宋体"/>
                      <w:color w:val="auto"/>
                      <w:highlight w:val="none"/>
                      <w:lang w:val="en-US" w:eastAsia="zh-CN"/>
                    </w:rPr>
                  </w:pPr>
                  <w:r>
                    <w:rPr>
                      <w:rFonts w:hint="eastAsia"/>
                      <w:color w:val="auto"/>
                      <w:highlight w:val="none"/>
                    </w:rPr>
                    <w:t>厂界东、南、西</w:t>
                  </w:r>
                  <w:r>
                    <w:rPr>
                      <w:rFonts w:hint="eastAsia"/>
                      <w:color w:val="auto"/>
                      <w:highlight w:val="none"/>
                      <w:lang w:eastAsia="zh-CN"/>
                    </w:rPr>
                    <w:t>、北</w:t>
                  </w:r>
                </w:p>
              </w:tc>
              <w:tc>
                <w:tcPr>
                  <w:tcW w:w="2120" w:type="pct"/>
                  <w:noWrap w:val="0"/>
                  <w:vAlign w:val="center"/>
                </w:tcPr>
                <w:p w14:paraId="3B058AAD">
                  <w:pPr>
                    <w:pStyle w:val="55"/>
                    <w:jc w:val="center"/>
                    <w:rPr>
                      <w:color w:val="auto"/>
                      <w:highlight w:val="none"/>
                    </w:rPr>
                  </w:pPr>
                  <w:r>
                    <w:rPr>
                      <w:bCs/>
                      <w:color w:val="auto"/>
                      <w:szCs w:val="21"/>
                      <w:highlight w:val="none"/>
                    </w:rPr>
                    <w:t>《工业企业厂界环境噪声排放标准》（GB12348-2008）</w:t>
                  </w:r>
                  <w:r>
                    <w:rPr>
                      <w:rFonts w:hint="eastAsia"/>
                      <w:color w:val="auto"/>
                      <w:szCs w:val="21"/>
                      <w:highlight w:val="none"/>
                      <w:lang w:val="en-US" w:eastAsia="zh-CN"/>
                    </w:rPr>
                    <w:t>3</w:t>
                  </w:r>
                  <w:r>
                    <w:rPr>
                      <w:bCs/>
                      <w:color w:val="auto"/>
                      <w:szCs w:val="21"/>
                      <w:highlight w:val="none"/>
                    </w:rPr>
                    <w:t>类</w:t>
                  </w:r>
                </w:p>
              </w:tc>
              <w:tc>
                <w:tcPr>
                  <w:tcW w:w="791" w:type="pct"/>
                  <w:noWrap w:val="0"/>
                  <w:vAlign w:val="center"/>
                </w:tcPr>
                <w:p w14:paraId="3F1EE4E3">
                  <w:pPr>
                    <w:pStyle w:val="55"/>
                    <w:jc w:val="center"/>
                    <w:rPr>
                      <w:rFonts w:hint="default" w:eastAsia="宋体"/>
                      <w:color w:val="auto"/>
                      <w:highlight w:val="none"/>
                      <w:lang w:val="en-US" w:eastAsia="zh-CN"/>
                    </w:rPr>
                  </w:pPr>
                  <w:r>
                    <w:rPr>
                      <w:color w:val="auto"/>
                      <w:highlight w:val="none"/>
                    </w:rPr>
                    <w:t>6</w:t>
                  </w:r>
                  <w:r>
                    <w:rPr>
                      <w:rFonts w:hint="eastAsia"/>
                      <w:color w:val="auto"/>
                      <w:highlight w:val="none"/>
                      <w:lang w:val="en-US" w:eastAsia="zh-CN"/>
                    </w:rPr>
                    <w:t>5</w:t>
                  </w:r>
                </w:p>
              </w:tc>
              <w:tc>
                <w:tcPr>
                  <w:tcW w:w="792" w:type="pct"/>
                  <w:noWrap w:val="0"/>
                  <w:vAlign w:val="center"/>
                </w:tcPr>
                <w:p w14:paraId="24281018">
                  <w:pPr>
                    <w:pStyle w:val="55"/>
                    <w:jc w:val="center"/>
                    <w:rPr>
                      <w:rFonts w:hint="eastAsia" w:eastAsia="宋体"/>
                      <w:color w:val="auto"/>
                      <w:highlight w:val="none"/>
                      <w:lang w:eastAsia="zh-CN"/>
                    </w:rPr>
                  </w:pPr>
                  <w:r>
                    <w:rPr>
                      <w:color w:val="auto"/>
                      <w:highlight w:val="none"/>
                    </w:rPr>
                    <w:t>5</w:t>
                  </w:r>
                  <w:r>
                    <w:rPr>
                      <w:rFonts w:hint="eastAsia"/>
                      <w:color w:val="auto"/>
                      <w:highlight w:val="none"/>
                      <w:lang w:val="en-US" w:eastAsia="zh-CN"/>
                    </w:rPr>
                    <w:t>5</w:t>
                  </w:r>
                </w:p>
              </w:tc>
            </w:tr>
          </w:tbl>
          <w:p w14:paraId="163F04CD">
            <w:pPr>
              <w:pStyle w:val="62"/>
              <w:rPr>
                <w:color w:val="auto"/>
                <w:highlight w:val="none"/>
              </w:rPr>
            </w:pPr>
          </w:p>
          <w:p w14:paraId="754E9538">
            <w:pPr>
              <w:pStyle w:val="62"/>
              <w:rPr>
                <w:color w:val="auto"/>
                <w:sz w:val="24"/>
                <w:highlight w:val="none"/>
              </w:rPr>
            </w:pPr>
            <w:r>
              <w:rPr>
                <w:rFonts w:hint="eastAsia"/>
                <w:color w:val="auto"/>
                <w:highlight w:val="none"/>
                <w:lang w:val="en-US" w:eastAsia="zh-CN"/>
              </w:rPr>
              <w:t>4</w:t>
            </w:r>
            <w:r>
              <w:rPr>
                <w:rFonts w:hint="eastAsia"/>
                <w:color w:val="auto"/>
                <w:highlight w:val="none"/>
              </w:rPr>
              <w:t>、固体废物</w:t>
            </w:r>
          </w:p>
          <w:p w14:paraId="6EEB8FC0">
            <w:pPr>
              <w:pStyle w:val="59"/>
              <w:ind w:firstLine="480"/>
              <w:rPr>
                <w:color w:val="auto"/>
                <w:kern w:val="0"/>
                <w:szCs w:val="21"/>
                <w:highlight w:val="none"/>
              </w:rPr>
            </w:pPr>
            <w:r>
              <w:rPr>
                <w:rFonts w:hint="eastAsia"/>
                <w:color w:val="auto"/>
                <w:sz w:val="24"/>
                <w:highlight w:val="none"/>
                <w:lang w:eastAsia="zh-CN"/>
              </w:rPr>
              <w:t>营运期</w:t>
            </w:r>
            <w:r>
              <w:rPr>
                <w:color w:val="auto"/>
                <w:sz w:val="24"/>
                <w:highlight w:val="none"/>
              </w:rPr>
              <w:t>一般工业固体废物</w:t>
            </w:r>
            <w:r>
              <w:rPr>
                <w:rFonts w:hint="eastAsia"/>
                <w:color w:val="auto"/>
                <w:sz w:val="24"/>
                <w:highlight w:val="none"/>
                <w:lang w:eastAsia="zh-CN"/>
              </w:rPr>
              <w:t>暂存</w:t>
            </w:r>
            <w:r>
              <w:rPr>
                <w:rFonts w:hint="eastAsia"/>
                <w:color w:val="auto"/>
                <w:sz w:val="24"/>
                <w:highlight w:val="none"/>
              </w:rPr>
              <w:t>执行</w:t>
            </w:r>
            <w:r>
              <w:rPr>
                <w:color w:val="auto"/>
                <w:sz w:val="24"/>
                <w:highlight w:val="none"/>
              </w:rPr>
              <w:t>《一般工业固体废物贮存和填埋污染控制标准》（GB18599-2020）</w:t>
            </w:r>
            <w:r>
              <w:rPr>
                <w:rFonts w:hint="eastAsia"/>
                <w:color w:val="auto"/>
                <w:sz w:val="24"/>
                <w:highlight w:val="none"/>
                <w:lang w:eastAsia="zh-CN"/>
              </w:rPr>
              <w:t>；</w:t>
            </w:r>
            <w:r>
              <w:rPr>
                <w:rFonts w:hint="eastAsia" w:ascii="Times New Roman" w:hAnsi="Times New Roman" w:eastAsia="宋体" w:cs="Times New Roman"/>
                <w:color w:val="auto"/>
                <w:sz w:val="24"/>
                <w:highlight w:val="none"/>
              </w:rPr>
              <w:t>危险废物暂存执行《危险废物贮存污染控制标准》（</w:t>
            </w:r>
            <w:r>
              <w:rPr>
                <w:rFonts w:ascii="Times New Roman" w:hAnsi="Times New Roman" w:eastAsia="宋体" w:cs="Times New Roman"/>
                <w:color w:val="auto"/>
                <w:sz w:val="24"/>
                <w:highlight w:val="none"/>
              </w:rPr>
              <w:t>GB 18597-2023</w:t>
            </w:r>
            <w:r>
              <w:rPr>
                <w:rFonts w:hint="eastAsia" w:ascii="Times New Roman" w:hAnsi="Times New Roman" w:eastAsia="宋体" w:cs="Times New Roman"/>
                <w:color w:val="auto"/>
                <w:sz w:val="24"/>
                <w:highlight w:val="none"/>
              </w:rPr>
              <w:t>）要求</w:t>
            </w:r>
            <w:r>
              <w:rPr>
                <w:rFonts w:hint="eastAsia"/>
                <w:color w:val="auto"/>
                <w:sz w:val="24"/>
              </w:rPr>
              <w:t>；</w:t>
            </w:r>
            <w:r>
              <w:rPr>
                <w:color w:val="auto"/>
                <w:sz w:val="24"/>
              </w:rPr>
              <w:t>生活垃圾执行中华人民共和国建设部令第157号《城市生活垃圾管理规定》</w:t>
            </w:r>
            <w:r>
              <w:rPr>
                <w:rFonts w:ascii="Times New Roman" w:hAnsi="Times New Roman" w:eastAsia="宋体" w:cs="Times New Roman"/>
                <w:color w:val="auto"/>
                <w:sz w:val="24"/>
                <w:highlight w:val="none"/>
              </w:rPr>
              <w:t>。</w:t>
            </w:r>
          </w:p>
        </w:tc>
      </w:tr>
      <w:tr w14:paraId="16277B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2" w:type="dxa"/>
            <w:noWrap w:val="0"/>
            <w:vAlign w:val="center"/>
          </w:tcPr>
          <w:p w14:paraId="40CF1379">
            <w:pPr>
              <w:adjustRightInd w:val="0"/>
              <w:snapToGrid w:val="0"/>
              <w:jc w:val="center"/>
              <w:rPr>
                <w:color w:val="auto"/>
                <w:kern w:val="0"/>
                <w:szCs w:val="21"/>
                <w:highlight w:val="none"/>
              </w:rPr>
            </w:pPr>
            <w:r>
              <w:rPr>
                <w:color w:val="auto"/>
                <w:kern w:val="0"/>
                <w:szCs w:val="21"/>
                <w:highlight w:val="none"/>
              </w:rPr>
              <w:t>总量</w:t>
            </w:r>
          </w:p>
          <w:p w14:paraId="7C1E6CB6">
            <w:pPr>
              <w:adjustRightInd w:val="0"/>
              <w:snapToGrid w:val="0"/>
              <w:jc w:val="center"/>
              <w:rPr>
                <w:color w:val="auto"/>
                <w:kern w:val="0"/>
                <w:szCs w:val="21"/>
                <w:highlight w:val="none"/>
              </w:rPr>
            </w:pPr>
            <w:r>
              <w:rPr>
                <w:color w:val="auto"/>
                <w:kern w:val="0"/>
                <w:szCs w:val="21"/>
                <w:highlight w:val="none"/>
              </w:rPr>
              <w:t>控制</w:t>
            </w:r>
          </w:p>
          <w:p w14:paraId="74CFFF8F">
            <w:pPr>
              <w:adjustRightInd w:val="0"/>
              <w:snapToGrid w:val="0"/>
              <w:jc w:val="center"/>
              <w:rPr>
                <w:color w:val="auto"/>
                <w:kern w:val="0"/>
                <w:szCs w:val="21"/>
                <w:highlight w:val="none"/>
              </w:rPr>
            </w:pPr>
            <w:r>
              <w:rPr>
                <w:color w:val="auto"/>
                <w:kern w:val="0"/>
                <w:szCs w:val="21"/>
                <w:highlight w:val="none"/>
              </w:rPr>
              <w:t>指标</w:t>
            </w:r>
          </w:p>
        </w:tc>
        <w:tc>
          <w:tcPr>
            <w:tcW w:w="8439" w:type="dxa"/>
            <w:noWrap w:val="0"/>
            <w:vAlign w:val="center"/>
          </w:tcPr>
          <w:p w14:paraId="7DF2A317">
            <w:pPr>
              <w:pStyle w:val="69"/>
              <w:rPr>
                <w:color w:val="auto"/>
                <w:highlight w:val="none"/>
              </w:rPr>
            </w:pPr>
            <w:r>
              <w:rPr>
                <w:rFonts w:hint="eastAsia"/>
                <w:color w:val="auto"/>
                <w:highlight w:val="none"/>
              </w:rPr>
              <w:t>四、</w:t>
            </w:r>
            <w:r>
              <w:rPr>
                <w:color w:val="auto"/>
                <w:highlight w:val="none"/>
              </w:rPr>
              <w:t>总量控制指标</w:t>
            </w:r>
          </w:p>
          <w:p w14:paraId="7BFA1AA6">
            <w:pPr>
              <w:pStyle w:val="59"/>
              <w:ind w:firstLine="480"/>
              <w:rPr>
                <w:rFonts w:hint="eastAsia"/>
                <w:color w:val="auto"/>
                <w:sz w:val="24"/>
                <w:highlight w:val="none"/>
                <w:vertAlign w:val="baseline"/>
                <w:lang w:val="en-US" w:eastAsia="zh-CN"/>
              </w:rPr>
            </w:pPr>
            <w:r>
              <w:rPr>
                <w:color w:val="auto"/>
                <w:sz w:val="24"/>
                <w:highlight w:val="none"/>
              </w:rPr>
              <w:t>根据国家环境保护部关于印发《建设项目主要污染物排放总量指标审核及管理暂行办法》的通知（环发</w:t>
            </w:r>
            <w:r>
              <w:rPr>
                <w:rFonts w:hint="eastAsia"/>
                <w:color w:val="auto"/>
                <w:sz w:val="24"/>
                <w:highlight w:val="none"/>
                <w:lang w:eastAsia="zh-CN"/>
              </w:rPr>
              <w:t>〔2014〕197号</w:t>
            </w:r>
            <w:r>
              <w:rPr>
                <w:color w:val="auto"/>
                <w:sz w:val="24"/>
                <w:highlight w:val="none"/>
              </w:rPr>
              <w:t>）</w:t>
            </w:r>
            <w:r>
              <w:rPr>
                <w:rFonts w:hint="eastAsia" w:ascii="Times New Roman" w:hAnsi="Times New Roman" w:eastAsia="宋体" w:cs="Times New Roman"/>
                <w:color w:val="auto"/>
                <w:sz w:val="24"/>
                <w:szCs w:val="24"/>
                <w:lang w:val="en-US" w:eastAsia="zh-CN"/>
              </w:rPr>
              <w:t>和</w:t>
            </w:r>
            <w:r>
              <w:rPr>
                <w:rFonts w:ascii="Times New Roman" w:hAnsi="Times New Roman" w:eastAsia="宋体" w:cs="Times New Roman"/>
                <w:color w:val="auto"/>
                <w:sz w:val="24"/>
                <w:szCs w:val="24"/>
                <w:lang w:val="en-US" w:eastAsia="zh-CN"/>
              </w:rPr>
              <w:t>《辽宁省环境保护厅关于贯彻执行环保部建设项目主要污染物排放总量指标审核及管理暂行办法的通知》（辽宁省环境保护厅，辽环发</w:t>
            </w:r>
            <w:r>
              <w:rPr>
                <w:rFonts w:hint="eastAsia" w:cs="Times New Roman"/>
                <w:color w:val="auto"/>
                <w:sz w:val="24"/>
                <w:szCs w:val="24"/>
                <w:lang w:val="en-US" w:eastAsia="zh-CN"/>
              </w:rPr>
              <w:t>〔2015〕17号</w:t>
            </w:r>
            <w:r>
              <w:rPr>
                <w:rFonts w:ascii="Times New Roman" w:hAnsi="Times New Roman" w:eastAsia="宋体" w:cs="Times New Roman"/>
                <w:color w:val="auto"/>
                <w:sz w:val="24"/>
                <w:szCs w:val="24"/>
                <w:lang w:val="en-US" w:eastAsia="zh-CN"/>
              </w:rPr>
              <w:t>）</w:t>
            </w:r>
            <w:r>
              <w:rPr>
                <w:rFonts w:hint="eastAsia" w:ascii="Times New Roman" w:hAnsi="Times New Roman" w:eastAsia="宋体" w:cs="Times New Roman"/>
                <w:color w:val="auto"/>
                <w:sz w:val="24"/>
                <w:szCs w:val="24"/>
                <w:lang w:val="en-US" w:eastAsia="zh-CN"/>
              </w:rPr>
              <w:t>的规定</w:t>
            </w:r>
            <w:r>
              <w:rPr>
                <w:rFonts w:ascii="Times New Roman" w:hAnsi="Times New Roman" w:eastAsia="宋体" w:cs="Times New Roman"/>
                <w:color w:val="auto"/>
                <w:sz w:val="24"/>
                <w:szCs w:val="24"/>
                <w:lang w:val="en-US" w:eastAsia="zh-CN"/>
              </w:rPr>
              <w:t>，</w:t>
            </w:r>
            <w:r>
              <w:rPr>
                <w:rFonts w:hint="eastAsia" w:ascii="Times New Roman" w:hAnsi="Times New Roman" w:eastAsia="宋体" w:cs="Times New Roman"/>
                <w:color w:val="auto"/>
                <w:sz w:val="24"/>
                <w:szCs w:val="24"/>
                <w:lang w:val="en-US" w:eastAsia="zh-CN"/>
              </w:rPr>
              <w:t>以及</w:t>
            </w:r>
            <w:r>
              <w:rPr>
                <w:color w:val="auto"/>
                <w:sz w:val="24"/>
                <w:highlight w:val="none"/>
              </w:rPr>
              <w:t>《辽宁省生态环境厅关于进一步加强建设项目主要污染物排放总量指标审核和管理的通知》辽环综函</w:t>
            </w:r>
            <w:r>
              <w:rPr>
                <w:rFonts w:hint="eastAsia"/>
                <w:color w:val="auto"/>
                <w:sz w:val="24"/>
                <w:highlight w:val="none"/>
                <w:lang w:eastAsia="zh-CN"/>
              </w:rPr>
              <w:t>〔2020〕380号</w:t>
            </w:r>
            <w:r>
              <w:rPr>
                <w:color w:val="auto"/>
                <w:sz w:val="24"/>
                <w:highlight w:val="none"/>
              </w:rPr>
              <w:t>，</w:t>
            </w:r>
            <w:r>
              <w:rPr>
                <w:rFonts w:hint="eastAsia"/>
                <w:color w:val="auto"/>
                <w:sz w:val="24"/>
                <w:highlight w:val="none"/>
                <w:lang w:eastAsia="zh-CN"/>
              </w:rPr>
              <w:t>并</w:t>
            </w:r>
            <w:r>
              <w:rPr>
                <w:rFonts w:ascii="Times New Roman" w:hAnsi="Times New Roman" w:eastAsia="宋体" w:cs="Times New Roman"/>
                <w:color w:val="auto"/>
                <w:sz w:val="24"/>
                <w:szCs w:val="24"/>
                <w:lang w:val="en-US" w:eastAsia="zh-CN"/>
              </w:rPr>
              <w:t>根据工程分析可知，</w:t>
            </w:r>
            <w:r>
              <w:rPr>
                <w:rFonts w:hint="eastAsia" w:ascii="Times New Roman" w:hAnsi="Times New Roman" w:eastAsia="宋体" w:cs="Times New Roman"/>
                <w:color w:val="auto"/>
                <w:sz w:val="24"/>
                <w:szCs w:val="24"/>
                <w:lang w:val="en-US" w:eastAsia="zh-CN"/>
              </w:rPr>
              <w:t>本项目废水仅生活污水</w:t>
            </w:r>
            <w:r>
              <w:rPr>
                <w:rFonts w:hint="eastAsia" w:ascii="Times New Roman" w:hAnsi="Times New Roman" w:eastAsia="宋体" w:cs="Times New Roman"/>
                <w:color w:val="auto"/>
                <w:sz w:val="24"/>
                <w:szCs w:val="24"/>
                <w:lang w:val="en-US" w:eastAsia="zh-CN"/>
              </w:rPr>
              <w:t>，生活污水排入抚顺县救兵镇污水处理厂。因此本</w:t>
            </w:r>
            <w:r>
              <w:rPr>
                <w:rFonts w:hint="eastAsia" w:ascii="Times New Roman" w:hAnsi="Times New Roman" w:eastAsia="宋体" w:cs="Times New Roman"/>
                <w:color w:val="auto"/>
                <w:sz w:val="24"/>
                <w:szCs w:val="24"/>
                <w:lang w:val="en-US" w:eastAsia="zh-CN"/>
              </w:rPr>
              <w:t>项目</w:t>
            </w:r>
            <w:r>
              <w:rPr>
                <w:color w:val="auto"/>
                <w:sz w:val="24"/>
                <w:highlight w:val="none"/>
              </w:rPr>
              <w:t>总量控制因子为</w:t>
            </w:r>
            <w:r>
              <w:rPr>
                <w:rFonts w:hint="eastAsia"/>
                <w:color w:val="auto"/>
                <w:sz w:val="24"/>
                <w:highlight w:val="none"/>
              </w:rPr>
              <w:t>废气</w:t>
            </w:r>
            <w:r>
              <w:rPr>
                <w:color w:val="auto"/>
                <w:sz w:val="24"/>
                <w:highlight w:val="none"/>
              </w:rPr>
              <w:t>：</w:t>
            </w:r>
            <w:r>
              <w:rPr>
                <w:rFonts w:hint="eastAsia"/>
                <w:color w:val="auto"/>
                <w:sz w:val="24"/>
                <w:highlight w:val="none"/>
                <w:vertAlign w:val="baseline"/>
                <w:lang w:val="en-US" w:eastAsia="zh-CN"/>
              </w:rPr>
              <w:t>VOCs。</w:t>
            </w:r>
          </w:p>
          <w:p w14:paraId="286B8DC8">
            <w:pPr>
              <w:pStyle w:val="59"/>
              <w:ind w:firstLine="480"/>
              <w:rPr>
                <w:rFonts w:ascii="Times New Roman" w:hAnsi="Times New Roman" w:eastAsia="宋体" w:cs="Times New Roman"/>
                <w:color w:val="auto"/>
                <w:sz w:val="24"/>
                <w:szCs w:val="24"/>
                <w:lang w:val="en-US" w:eastAsia="zh-CN"/>
              </w:rPr>
            </w:pPr>
            <w:r>
              <w:rPr>
                <w:rFonts w:ascii="Times New Roman" w:hAnsi="Times New Roman" w:eastAsia="宋体" w:cs="Times New Roman"/>
                <w:color w:val="auto"/>
                <w:sz w:val="24"/>
                <w:szCs w:val="24"/>
                <w:lang w:val="en-US" w:eastAsia="zh-CN"/>
              </w:rPr>
              <w:t>本项目</w:t>
            </w:r>
            <w:r>
              <w:rPr>
                <w:rFonts w:hint="eastAsia" w:ascii="Times New Roman" w:hAnsi="Times New Roman" w:eastAsia="宋体" w:cs="Times New Roman"/>
                <w:color w:val="auto"/>
                <w:sz w:val="24"/>
                <w:szCs w:val="24"/>
                <w:lang w:val="en-US" w:eastAsia="zh-CN"/>
              </w:rPr>
              <w:t>有组织</w:t>
            </w:r>
            <w:r>
              <w:rPr>
                <w:rFonts w:ascii="Times New Roman" w:hAnsi="Times New Roman" w:eastAsia="宋体" w:cs="Times New Roman"/>
                <w:color w:val="auto"/>
                <w:sz w:val="24"/>
                <w:szCs w:val="24"/>
                <w:lang w:val="en-US" w:eastAsia="zh-CN"/>
              </w:rPr>
              <w:t>挥发性有机物排放量为</w:t>
            </w:r>
            <w:r>
              <w:rPr>
                <w:rFonts w:hint="eastAsia" w:ascii="Times New Roman" w:hAnsi="Times New Roman" w:eastAsia="宋体" w:cs="Times New Roman"/>
                <w:color w:val="auto"/>
                <w:sz w:val="24"/>
                <w:szCs w:val="24"/>
                <w:lang w:val="en-US" w:eastAsia="zh-CN"/>
              </w:rPr>
              <w:t>0.26</w:t>
            </w:r>
            <w:r>
              <w:rPr>
                <w:rFonts w:ascii="Times New Roman" w:hAnsi="Times New Roman" w:eastAsia="宋体" w:cs="Times New Roman"/>
                <w:color w:val="auto"/>
                <w:sz w:val="24"/>
                <w:szCs w:val="24"/>
                <w:lang w:val="en-US" w:eastAsia="zh-CN"/>
              </w:rPr>
              <w:t>t/a</w:t>
            </w:r>
            <w:r>
              <w:rPr>
                <w:rFonts w:hint="eastAsia" w:ascii="Times New Roman" w:hAnsi="Times New Roman" w:eastAsia="宋体" w:cs="Times New Roman"/>
                <w:color w:val="auto"/>
                <w:sz w:val="24"/>
                <w:szCs w:val="24"/>
                <w:lang w:val="en-US" w:eastAsia="zh-CN"/>
              </w:rPr>
              <w:t>，无组织挥发性有机物排放量为0.136/a，</w:t>
            </w:r>
            <w:r>
              <w:rPr>
                <w:rFonts w:ascii="Times New Roman" w:hAnsi="Times New Roman" w:eastAsia="宋体" w:cs="Times New Roman"/>
                <w:color w:val="auto"/>
                <w:sz w:val="24"/>
                <w:szCs w:val="24"/>
                <w:lang w:val="en-US" w:eastAsia="zh-CN"/>
              </w:rPr>
              <w:t>综上所述，本项目总量指标为挥发性有机物0.</w:t>
            </w:r>
            <w:r>
              <w:rPr>
                <w:rFonts w:hint="eastAsia" w:ascii="Times New Roman" w:hAnsi="Times New Roman" w:eastAsia="宋体" w:cs="Times New Roman"/>
                <w:color w:val="auto"/>
                <w:sz w:val="24"/>
                <w:szCs w:val="24"/>
                <w:lang w:val="en-US" w:eastAsia="zh-CN"/>
              </w:rPr>
              <w:t>396</w:t>
            </w:r>
            <w:r>
              <w:rPr>
                <w:rFonts w:ascii="Times New Roman" w:hAnsi="Times New Roman" w:eastAsia="宋体" w:cs="Times New Roman"/>
                <w:color w:val="auto"/>
                <w:sz w:val="24"/>
                <w:szCs w:val="24"/>
                <w:lang w:val="en-US" w:eastAsia="zh-CN"/>
              </w:rPr>
              <w:t>t/a。</w:t>
            </w:r>
          </w:p>
          <w:p w14:paraId="36BAFD93">
            <w:pPr>
              <w:pStyle w:val="68"/>
              <w:numPr>
                <w:ilvl w:val="0"/>
                <w:numId w:val="18"/>
              </w:numPr>
              <w:spacing w:line="240" w:lineRule="auto"/>
              <w:ind w:left="0" w:leftChars="0" w:firstLine="0" w:firstLineChars="0"/>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  本项目总量指标及预测污染物年排放量（</w:t>
            </w:r>
            <w:r>
              <w:rPr>
                <w:rFonts w:hint="default" w:ascii="Times New Roman" w:hAnsi="Times New Roman" w:eastAsia="宋体" w:cs="Times New Roman"/>
                <w:color w:val="auto"/>
                <w:highlight w:val="none"/>
                <w:lang w:val="en-US" w:eastAsia="zh-CN"/>
              </w:rPr>
              <w:t>t/a</w:t>
            </w:r>
            <w:r>
              <w:rPr>
                <w:rFonts w:hint="eastAsia" w:ascii="Times New Roman" w:hAnsi="Times New Roman" w:eastAsia="宋体" w:cs="Times New Roman"/>
                <w:color w:val="auto"/>
                <w:highlight w:val="none"/>
                <w:lang w:val="en-US" w:eastAsia="zh-CN"/>
              </w:rPr>
              <w:t>）</w:t>
            </w:r>
          </w:p>
          <w:tbl>
            <w:tblPr>
              <w:tblStyle w:val="25"/>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82"/>
              <w:gridCol w:w="1865"/>
              <w:gridCol w:w="2613"/>
              <w:gridCol w:w="2060"/>
            </w:tblGrid>
            <w:tr w14:paraId="47644D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23" w:type="pct"/>
                  <w:tcBorders>
                    <w:top w:val="single" w:color="auto" w:sz="4" w:space="0"/>
                    <w:left w:val="single" w:color="auto" w:sz="4" w:space="0"/>
                    <w:tl2br w:val="nil"/>
                    <w:tr2bl w:val="nil"/>
                  </w:tcBorders>
                  <w:noWrap w:val="0"/>
                  <w:vAlign w:val="center"/>
                </w:tcPr>
                <w:p w14:paraId="54F1F260">
                  <w:pPr>
                    <w:keepNext w:val="0"/>
                    <w:keepLines w:val="0"/>
                    <w:pageBreakBefore w:val="0"/>
                    <w:widowControl w:val="0"/>
                    <w:kinsoku/>
                    <w:wordWrap/>
                    <w:overflowPunct/>
                    <w:topLinePunct w:val="0"/>
                    <w:autoSpaceDE/>
                    <w:autoSpaceDN/>
                    <w:bidi w:val="0"/>
                    <w:adjustRightInd w:val="0"/>
                    <w:snapToGrid w:val="0"/>
                    <w:spacing w:before="0" w:beforeLines="0" w:line="240" w:lineRule="auto"/>
                    <w:ind w:firstLine="0" w:firstLineChars="0"/>
                    <w:jc w:val="center"/>
                    <w:textAlignment w:val="auto"/>
                    <w:rPr>
                      <w:rFonts w:hint="eastAsia" w:eastAsia="宋体"/>
                      <w:color w:val="auto"/>
                      <w:sz w:val="21"/>
                      <w:szCs w:val="21"/>
                      <w:lang w:eastAsia="zh-CN"/>
                    </w:rPr>
                  </w:pPr>
                  <w:r>
                    <w:rPr>
                      <w:rFonts w:hint="eastAsia"/>
                      <w:color w:val="auto"/>
                      <w:sz w:val="21"/>
                      <w:szCs w:val="21"/>
                      <w:lang w:eastAsia="zh-CN"/>
                    </w:rPr>
                    <w:t>类别</w:t>
                  </w:r>
                </w:p>
              </w:tc>
              <w:tc>
                <w:tcPr>
                  <w:tcW w:w="1134" w:type="pct"/>
                  <w:tcBorders>
                    <w:top w:val="single" w:color="auto" w:sz="4" w:space="0"/>
                    <w:tl2br w:val="nil"/>
                    <w:tr2bl w:val="nil"/>
                  </w:tcBorders>
                  <w:noWrap w:val="0"/>
                  <w:vAlign w:val="center"/>
                </w:tcPr>
                <w:p w14:paraId="613EC898">
                  <w:pPr>
                    <w:keepNext w:val="0"/>
                    <w:keepLines w:val="0"/>
                    <w:pageBreakBefore w:val="0"/>
                    <w:widowControl w:val="0"/>
                    <w:kinsoku/>
                    <w:wordWrap/>
                    <w:overflowPunct/>
                    <w:topLinePunct w:val="0"/>
                    <w:autoSpaceDE/>
                    <w:autoSpaceDN/>
                    <w:bidi w:val="0"/>
                    <w:adjustRightInd w:val="0"/>
                    <w:snapToGrid w:val="0"/>
                    <w:spacing w:before="0" w:beforeLines="0" w:line="240" w:lineRule="auto"/>
                    <w:ind w:firstLine="0" w:firstLineChars="0"/>
                    <w:jc w:val="center"/>
                    <w:textAlignment w:val="auto"/>
                    <w:rPr>
                      <w:rFonts w:hint="eastAsia" w:eastAsia="宋体"/>
                      <w:color w:val="auto"/>
                      <w:sz w:val="21"/>
                      <w:szCs w:val="21"/>
                      <w:lang w:eastAsia="zh-CN"/>
                    </w:rPr>
                  </w:pPr>
                  <w:r>
                    <w:rPr>
                      <w:rFonts w:hint="eastAsia"/>
                      <w:color w:val="auto"/>
                      <w:sz w:val="21"/>
                      <w:szCs w:val="21"/>
                      <w:lang w:eastAsia="zh-CN"/>
                    </w:rPr>
                    <w:t>总量控制因子</w:t>
                  </w:r>
                </w:p>
              </w:tc>
              <w:tc>
                <w:tcPr>
                  <w:tcW w:w="1589" w:type="pct"/>
                  <w:tcBorders>
                    <w:top w:val="single" w:color="auto" w:sz="4" w:space="0"/>
                    <w:tl2br w:val="nil"/>
                    <w:tr2bl w:val="nil"/>
                  </w:tcBorders>
                  <w:noWrap w:val="0"/>
                  <w:vAlign w:val="center"/>
                </w:tcPr>
                <w:p w14:paraId="07A4083E">
                  <w:pPr>
                    <w:keepNext w:val="0"/>
                    <w:keepLines w:val="0"/>
                    <w:pageBreakBefore w:val="0"/>
                    <w:widowControl w:val="0"/>
                    <w:kinsoku/>
                    <w:wordWrap/>
                    <w:overflowPunct/>
                    <w:topLinePunct w:val="0"/>
                    <w:autoSpaceDE/>
                    <w:autoSpaceDN/>
                    <w:bidi w:val="0"/>
                    <w:adjustRightInd w:val="0"/>
                    <w:snapToGrid w:val="0"/>
                    <w:spacing w:before="0" w:beforeLines="0" w:line="240" w:lineRule="auto"/>
                    <w:ind w:firstLine="0" w:firstLineChars="0"/>
                    <w:jc w:val="center"/>
                    <w:textAlignment w:val="auto"/>
                    <w:rPr>
                      <w:rFonts w:hint="default"/>
                      <w:color w:val="auto"/>
                      <w:sz w:val="21"/>
                      <w:szCs w:val="21"/>
                    </w:rPr>
                  </w:pPr>
                  <w:r>
                    <w:rPr>
                      <w:rFonts w:hint="default"/>
                      <w:color w:val="auto"/>
                      <w:sz w:val="21"/>
                      <w:szCs w:val="21"/>
                    </w:rPr>
                    <w:t>预测污染物年排放量</w:t>
                  </w:r>
                </w:p>
              </w:tc>
              <w:tc>
                <w:tcPr>
                  <w:tcW w:w="1253" w:type="pct"/>
                  <w:tcBorders>
                    <w:top w:val="single" w:color="auto" w:sz="4" w:space="0"/>
                    <w:right w:val="single" w:color="auto" w:sz="4" w:space="0"/>
                    <w:tl2br w:val="nil"/>
                    <w:tr2bl w:val="nil"/>
                  </w:tcBorders>
                  <w:noWrap w:val="0"/>
                  <w:vAlign w:val="center"/>
                </w:tcPr>
                <w:p w14:paraId="4E46827D">
                  <w:pPr>
                    <w:keepNext w:val="0"/>
                    <w:keepLines w:val="0"/>
                    <w:pageBreakBefore w:val="0"/>
                    <w:widowControl w:val="0"/>
                    <w:kinsoku/>
                    <w:wordWrap/>
                    <w:overflowPunct/>
                    <w:topLinePunct w:val="0"/>
                    <w:autoSpaceDE/>
                    <w:autoSpaceDN/>
                    <w:bidi w:val="0"/>
                    <w:adjustRightInd w:val="0"/>
                    <w:snapToGrid w:val="0"/>
                    <w:spacing w:before="0" w:beforeLines="0" w:line="240" w:lineRule="auto"/>
                    <w:ind w:firstLine="0" w:firstLineChars="0"/>
                    <w:jc w:val="center"/>
                    <w:textAlignment w:val="auto"/>
                    <w:rPr>
                      <w:rFonts w:hint="default"/>
                      <w:color w:val="auto"/>
                      <w:sz w:val="21"/>
                      <w:szCs w:val="21"/>
                    </w:rPr>
                  </w:pPr>
                  <w:r>
                    <w:rPr>
                      <w:rFonts w:hint="default"/>
                      <w:color w:val="auto"/>
                      <w:sz w:val="21"/>
                      <w:szCs w:val="21"/>
                    </w:rPr>
                    <w:t>申请总量</w:t>
                  </w:r>
                </w:p>
              </w:tc>
            </w:tr>
            <w:tr w14:paraId="32C50B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23" w:type="pct"/>
                  <w:tcBorders>
                    <w:left w:val="single" w:color="auto" w:sz="4" w:space="0"/>
                    <w:tl2br w:val="nil"/>
                    <w:tr2bl w:val="nil"/>
                  </w:tcBorders>
                  <w:noWrap w:val="0"/>
                  <w:vAlign w:val="center"/>
                </w:tcPr>
                <w:p w14:paraId="44057684">
                  <w:pPr>
                    <w:keepNext w:val="0"/>
                    <w:keepLines w:val="0"/>
                    <w:pageBreakBefore w:val="0"/>
                    <w:kinsoku/>
                    <w:wordWrap/>
                    <w:overflowPunct/>
                    <w:topLinePunct w:val="0"/>
                    <w:autoSpaceDE/>
                    <w:autoSpaceDN/>
                    <w:bidi w:val="0"/>
                    <w:adjustRightInd w:val="0"/>
                    <w:snapToGrid w:val="0"/>
                    <w:spacing w:before="0" w:beforeLines="0" w:line="240" w:lineRule="auto"/>
                    <w:ind w:firstLine="0" w:firstLineChars="0"/>
                    <w:jc w:val="center"/>
                    <w:textAlignment w:val="auto"/>
                    <w:rPr>
                      <w:rFonts w:hint="eastAsia" w:ascii="Times New Roman" w:hAnsi="Times New Roman" w:eastAsia="宋体"/>
                      <w:color w:val="auto"/>
                      <w:kern w:val="2"/>
                      <w:sz w:val="21"/>
                      <w:szCs w:val="21"/>
                      <w:lang w:val="en-US" w:eastAsia="zh-CN" w:bidi="ar-SA"/>
                    </w:rPr>
                  </w:pPr>
                  <w:r>
                    <w:rPr>
                      <w:rFonts w:hint="eastAsia" w:ascii="Times New Roman" w:hAnsi="Times New Roman" w:eastAsia="宋体"/>
                      <w:color w:val="auto"/>
                      <w:kern w:val="2"/>
                      <w:sz w:val="21"/>
                      <w:szCs w:val="21"/>
                      <w:lang w:val="en-US" w:eastAsia="zh-CN" w:bidi="ar-SA"/>
                    </w:rPr>
                    <w:t>废气</w:t>
                  </w:r>
                </w:p>
              </w:tc>
              <w:tc>
                <w:tcPr>
                  <w:tcW w:w="1134" w:type="pct"/>
                  <w:tcBorders>
                    <w:tl2br w:val="nil"/>
                    <w:tr2bl w:val="nil"/>
                  </w:tcBorders>
                  <w:noWrap w:val="0"/>
                  <w:vAlign w:val="center"/>
                </w:tcPr>
                <w:p w14:paraId="7C5B923F">
                  <w:pPr>
                    <w:keepNext w:val="0"/>
                    <w:keepLines w:val="0"/>
                    <w:pageBreakBefore w:val="0"/>
                    <w:widowControl w:val="0"/>
                    <w:kinsoku/>
                    <w:wordWrap/>
                    <w:overflowPunct/>
                    <w:topLinePunct w:val="0"/>
                    <w:autoSpaceDE/>
                    <w:autoSpaceDN/>
                    <w:bidi w:val="0"/>
                    <w:adjustRightInd w:val="0"/>
                    <w:snapToGrid w:val="0"/>
                    <w:spacing w:before="0" w:beforeLines="0" w:line="240" w:lineRule="auto"/>
                    <w:ind w:firstLine="0" w:firstLineChars="0"/>
                    <w:jc w:val="center"/>
                    <w:textAlignment w:val="auto"/>
                    <w:rPr>
                      <w:rFonts w:hint="default" w:ascii="Times New Roman" w:hAnsi="Times New Roman" w:eastAsia="宋体"/>
                      <w:color w:val="auto"/>
                      <w:kern w:val="2"/>
                      <w:sz w:val="21"/>
                      <w:szCs w:val="21"/>
                      <w:highlight w:val="yellow"/>
                      <w:lang w:val="en-US" w:eastAsia="zh-CN" w:bidi="ar-SA"/>
                    </w:rPr>
                  </w:pPr>
                  <w:r>
                    <w:rPr>
                      <w:rFonts w:hint="eastAsia" w:ascii="Times New Roman" w:hAnsi="Times New Roman" w:eastAsia="宋体" w:cs="Times New Roman"/>
                      <w:color w:val="auto"/>
                      <w:sz w:val="21"/>
                      <w:szCs w:val="21"/>
                      <w:lang w:val="en-US" w:eastAsia="zh-CN"/>
                    </w:rPr>
                    <w:t>VOCs</w:t>
                  </w:r>
                </w:p>
              </w:tc>
              <w:tc>
                <w:tcPr>
                  <w:tcW w:w="1589" w:type="pct"/>
                  <w:tcBorders>
                    <w:tl2br w:val="nil"/>
                    <w:tr2bl w:val="nil"/>
                  </w:tcBorders>
                  <w:noWrap w:val="0"/>
                  <w:vAlign w:val="center"/>
                </w:tcPr>
                <w:p w14:paraId="7553D26E">
                  <w:pPr>
                    <w:keepNext w:val="0"/>
                    <w:keepLines w:val="0"/>
                    <w:pageBreakBefore w:val="0"/>
                    <w:widowControl w:val="0"/>
                    <w:kinsoku/>
                    <w:wordWrap/>
                    <w:overflowPunct/>
                    <w:topLinePunct w:val="0"/>
                    <w:autoSpaceDE/>
                    <w:autoSpaceDN/>
                    <w:bidi w:val="0"/>
                    <w:adjustRightInd w:val="0"/>
                    <w:snapToGrid w:val="0"/>
                    <w:spacing w:before="0" w:beforeLines="0" w:line="240" w:lineRule="auto"/>
                    <w:ind w:firstLine="0" w:firstLineChars="0"/>
                    <w:jc w:val="center"/>
                    <w:textAlignment w:val="auto"/>
                    <w:rPr>
                      <w:rFonts w:hint="default" w:ascii="Times New Roman" w:hAnsi="Times New Roman" w:eastAsia="宋体"/>
                      <w:color w:val="auto"/>
                      <w:kern w:val="2"/>
                      <w:sz w:val="21"/>
                      <w:szCs w:val="21"/>
                      <w:highlight w:val="none"/>
                      <w:lang w:val="en-US" w:eastAsia="zh-CN" w:bidi="ar-SA"/>
                    </w:rPr>
                  </w:pPr>
                  <w:r>
                    <w:rPr>
                      <w:rFonts w:hint="eastAsia" w:ascii="Times New Roman" w:hAnsi="Times New Roman" w:eastAsia="宋体"/>
                      <w:color w:val="auto"/>
                      <w:kern w:val="2"/>
                      <w:sz w:val="21"/>
                      <w:szCs w:val="21"/>
                      <w:highlight w:val="none"/>
                      <w:lang w:val="en-US" w:eastAsia="zh-CN" w:bidi="ar-SA"/>
                    </w:rPr>
                    <w:t>0.396</w:t>
                  </w:r>
                </w:p>
              </w:tc>
              <w:tc>
                <w:tcPr>
                  <w:tcW w:w="1253" w:type="pct"/>
                  <w:tcBorders>
                    <w:right w:val="single" w:color="auto" w:sz="4" w:space="0"/>
                    <w:tl2br w:val="nil"/>
                    <w:tr2bl w:val="nil"/>
                  </w:tcBorders>
                  <w:noWrap w:val="0"/>
                  <w:vAlign w:val="center"/>
                </w:tcPr>
                <w:p w14:paraId="1A728E52">
                  <w:pPr>
                    <w:keepNext w:val="0"/>
                    <w:keepLines w:val="0"/>
                    <w:pageBreakBefore w:val="0"/>
                    <w:widowControl w:val="0"/>
                    <w:kinsoku/>
                    <w:wordWrap/>
                    <w:overflowPunct/>
                    <w:topLinePunct w:val="0"/>
                    <w:autoSpaceDE/>
                    <w:autoSpaceDN/>
                    <w:bidi w:val="0"/>
                    <w:adjustRightInd w:val="0"/>
                    <w:snapToGrid w:val="0"/>
                    <w:spacing w:before="0" w:beforeLines="0" w:line="240" w:lineRule="auto"/>
                    <w:ind w:firstLine="0" w:firstLineChars="0"/>
                    <w:jc w:val="center"/>
                    <w:textAlignment w:val="auto"/>
                    <w:rPr>
                      <w:rFonts w:hint="default" w:ascii="Times New Roman" w:hAnsi="Times New Roman" w:eastAsia="宋体"/>
                      <w:color w:val="auto"/>
                      <w:kern w:val="2"/>
                      <w:sz w:val="21"/>
                      <w:szCs w:val="21"/>
                      <w:highlight w:val="none"/>
                      <w:lang w:val="en-US" w:eastAsia="zh-CN" w:bidi="ar-SA"/>
                    </w:rPr>
                  </w:pPr>
                  <w:r>
                    <w:rPr>
                      <w:rFonts w:hint="eastAsia" w:ascii="Times New Roman" w:hAnsi="Times New Roman" w:eastAsia="宋体"/>
                      <w:color w:val="auto"/>
                      <w:kern w:val="2"/>
                      <w:sz w:val="21"/>
                      <w:szCs w:val="21"/>
                      <w:highlight w:val="none"/>
                      <w:lang w:val="en-US" w:eastAsia="zh-CN" w:bidi="ar-SA"/>
                    </w:rPr>
                    <w:t>0.396</w:t>
                  </w:r>
                </w:p>
              </w:tc>
            </w:tr>
          </w:tbl>
          <w:p w14:paraId="692C1BDA">
            <w:pPr>
              <w:pStyle w:val="59"/>
              <w:keepNext w:val="0"/>
              <w:keepLines w:val="0"/>
              <w:pageBreakBefore w:val="0"/>
              <w:widowControl w:val="0"/>
              <w:kinsoku/>
              <w:wordWrap/>
              <w:overflowPunct/>
              <w:topLinePunct w:val="0"/>
              <w:autoSpaceDE/>
              <w:autoSpaceDN/>
              <w:bidi w:val="0"/>
              <w:adjustRightInd/>
              <w:snapToGrid/>
              <w:ind w:left="0" w:leftChars="0" w:firstLine="480" w:firstLineChars="200"/>
              <w:textAlignment w:val="auto"/>
              <w:rPr>
                <w:color w:val="auto"/>
                <w:sz w:val="24"/>
                <w:szCs w:val="24"/>
                <w:highlight w:val="none"/>
              </w:rPr>
            </w:pPr>
          </w:p>
          <w:p w14:paraId="121DEB89">
            <w:pPr>
              <w:pStyle w:val="59"/>
              <w:ind w:firstLine="0" w:firstLineChars="0"/>
              <w:rPr>
                <w:color w:val="auto"/>
                <w:sz w:val="24"/>
                <w:highlight w:val="none"/>
              </w:rPr>
            </w:pPr>
          </w:p>
        </w:tc>
      </w:tr>
    </w:tbl>
    <w:p w14:paraId="394736C7">
      <w:pPr>
        <w:pStyle w:val="21"/>
        <w:jc w:val="both"/>
        <w:outlineLvl w:val="0"/>
        <w:rPr>
          <w:rFonts w:ascii="Times New Roman" w:hAnsi="Times New Roman" w:eastAsia="黑体"/>
          <w:snapToGrid w:val="0"/>
          <w:color w:val="auto"/>
          <w:sz w:val="30"/>
          <w:szCs w:val="30"/>
          <w:highlight w:val="none"/>
        </w:rPr>
        <w:sectPr>
          <w:pgSz w:w="11907" w:h="16840"/>
          <w:pgMar w:top="1701" w:right="1531" w:bottom="1701" w:left="1531" w:header="851" w:footer="1077" w:gutter="0"/>
          <w:pgNumType w:fmt="decimal"/>
          <w:cols w:space="720" w:num="1"/>
          <w:docGrid w:linePitch="312" w:charSpace="0"/>
        </w:sectPr>
      </w:pPr>
    </w:p>
    <w:p w14:paraId="069B19F2">
      <w:pPr>
        <w:pStyle w:val="21"/>
        <w:jc w:val="center"/>
        <w:outlineLvl w:val="0"/>
        <w:rPr>
          <w:rFonts w:ascii="Times New Roman" w:hAnsi="Times New Roman" w:eastAsia="黑体"/>
          <w:snapToGrid w:val="0"/>
          <w:color w:val="auto"/>
          <w:sz w:val="30"/>
          <w:szCs w:val="30"/>
          <w:highlight w:val="none"/>
        </w:rPr>
      </w:pPr>
      <w:r>
        <w:rPr>
          <w:rFonts w:ascii="Times New Roman" w:hAnsi="Times New Roman" w:eastAsia="黑体"/>
          <w:snapToGrid w:val="0"/>
          <w:color w:val="auto"/>
          <w:sz w:val="30"/>
          <w:szCs w:val="30"/>
          <w:highlight w:val="none"/>
        </w:rPr>
        <w:t>四、主要环境影响和保护措施</w:t>
      </w:r>
    </w:p>
    <w:tbl>
      <w:tblPr>
        <w:tblStyle w:val="25"/>
        <w:tblW w:w="8956"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266"/>
        <w:gridCol w:w="8690"/>
      </w:tblGrid>
      <w:tr w14:paraId="65BCB15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09" w:hRule="atLeast"/>
          <w:jc w:val="center"/>
        </w:trPr>
        <w:tc>
          <w:tcPr>
            <w:tcW w:w="266" w:type="dxa"/>
            <w:noWrap w:val="0"/>
            <w:tcMar>
              <w:left w:w="28" w:type="dxa"/>
              <w:right w:w="28" w:type="dxa"/>
            </w:tcMar>
            <w:vAlign w:val="center"/>
          </w:tcPr>
          <w:p w14:paraId="1E50AD30">
            <w:pPr>
              <w:pStyle w:val="21"/>
              <w:adjustRightInd w:val="0"/>
              <w:snapToGrid w:val="0"/>
              <w:spacing w:before="0" w:beforeAutospacing="0" w:after="0" w:afterAutospacing="0"/>
              <w:jc w:val="center"/>
              <w:rPr>
                <w:rFonts w:ascii="Times New Roman" w:hAnsi="Times New Roman"/>
                <w:color w:val="auto"/>
                <w:kern w:val="2"/>
                <w:sz w:val="21"/>
                <w:szCs w:val="21"/>
                <w:highlight w:val="none"/>
                <w:lang w:val="en-US" w:eastAsia="zh-CN"/>
              </w:rPr>
            </w:pPr>
            <w:r>
              <w:rPr>
                <w:rFonts w:ascii="Times New Roman" w:hAnsi="Times New Roman"/>
                <w:color w:val="auto"/>
                <w:kern w:val="2"/>
                <w:sz w:val="21"/>
                <w:szCs w:val="21"/>
                <w:highlight w:val="none"/>
                <w:lang w:val="en-US" w:eastAsia="zh-CN"/>
              </w:rPr>
              <w:t>施工</w:t>
            </w:r>
          </w:p>
          <w:p w14:paraId="00ED816E">
            <w:pPr>
              <w:pStyle w:val="21"/>
              <w:adjustRightInd w:val="0"/>
              <w:snapToGrid w:val="0"/>
              <w:spacing w:before="0" w:beforeAutospacing="0" w:after="0" w:afterAutospacing="0"/>
              <w:jc w:val="center"/>
              <w:rPr>
                <w:rFonts w:ascii="Times New Roman" w:hAnsi="Times New Roman"/>
                <w:color w:val="auto"/>
                <w:kern w:val="2"/>
                <w:sz w:val="21"/>
                <w:szCs w:val="21"/>
                <w:highlight w:val="none"/>
                <w:lang w:val="en-US" w:eastAsia="zh-CN"/>
              </w:rPr>
            </w:pPr>
            <w:r>
              <w:rPr>
                <w:rFonts w:ascii="Times New Roman" w:hAnsi="Times New Roman"/>
                <w:color w:val="auto"/>
                <w:kern w:val="2"/>
                <w:sz w:val="21"/>
                <w:szCs w:val="21"/>
                <w:highlight w:val="none"/>
                <w:lang w:val="en-US" w:eastAsia="zh-CN"/>
              </w:rPr>
              <w:t>期环</w:t>
            </w:r>
          </w:p>
          <w:p w14:paraId="18362F12">
            <w:pPr>
              <w:pStyle w:val="21"/>
              <w:adjustRightInd w:val="0"/>
              <w:snapToGrid w:val="0"/>
              <w:spacing w:before="0" w:beforeAutospacing="0" w:after="0" w:afterAutospacing="0"/>
              <w:jc w:val="center"/>
              <w:rPr>
                <w:rFonts w:ascii="Times New Roman" w:hAnsi="Times New Roman"/>
                <w:color w:val="auto"/>
                <w:kern w:val="2"/>
                <w:sz w:val="21"/>
                <w:szCs w:val="21"/>
                <w:highlight w:val="none"/>
                <w:lang w:val="en-US" w:eastAsia="zh-CN"/>
              </w:rPr>
            </w:pPr>
            <w:r>
              <w:rPr>
                <w:rFonts w:ascii="Times New Roman" w:hAnsi="Times New Roman"/>
                <w:color w:val="auto"/>
                <w:kern w:val="2"/>
                <w:sz w:val="21"/>
                <w:szCs w:val="21"/>
                <w:highlight w:val="none"/>
                <w:lang w:val="en-US" w:eastAsia="zh-CN"/>
              </w:rPr>
              <w:t>境保</w:t>
            </w:r>
          </w:p>
          <w:p w14:paraId="148C2B20">
            <w:pPr>
              <w:pStyle w:val="21"/>
              <w:adjustRightInd w:val="0"/>
              <w:snapToGrid w:val="0"/>
              <w:spacing w:before="0" w:beforeAutospacing="0" w:after="0" w:afterAutospacing="0"/>
              <w:jc w:val="center"/>
              <w:rPr>
                <w:rFonts w:ascii="Times New Roman" w:hAnsi="Times New Roman"/>
                <w:color w:val="auto"/>
                <w:kern w:val="2"/>
                <w:sz w:val="21"/>
                <w:szCs w:val="21"/>
                <w:highlight w:val="none"/>
                <w:lang w:val="en-US" w:eastAsia="zh-CN"/>
              </w:rPr>
            </w:pPr>
            <w:r>
              <w:rPr>
                <w:rFonts w:ascii="Times New Roman" w:hAnsi="Times New Roman"/>
                <w:color w:val="auto"/>
                <w:kern w:val="2"/>
                <w:sz w:val="21"/>
                <w:szCs w:val="21"/>
                <w:highlight w:val="none"/>
                <w:lang w:val="en-US" w:eastAsia="zh-CN"/>
              </w:rPr>
              <w:t>护措</w:t>
            </w:r>
          </w:p>
          <w:p w14:paraId="693F354D">
            <w:pPr>
              <w:pStyle w:val="21"/>
              <w:adjustRightInd w:val="0"/>
              <w:snapToGrid w:val="0"/>
              <w:spacing w:before="0" w:beforeAutospacing="0" w:after="0" w:afterAutospacing="0"/>
              <w:jc w:val="center"/>
              <w:rPr>
                <w:rFonts w:ascii="Times New Roman" w:hAnsi="Times New Roman"/>
                <w:bCs/>
                <w:color w:val="auto"/>
                <w:kern w:val="2"/>
                <w:sz w:val="21"/>
                <w:szCs w:val="21"/>
                <w:highlight w:val="none"/>
                <w:lang w:val="en-US" w:eastAsia="zh-CN"/>
              </w:rPr>
            </w:pPr>
            <w:r>
              <w:rPr>
                <w:rFonts w:ascii="Times New Roman" w:hAnsi="Times New Roman"/>
                <w:color w:val="auto"/>
                <w:kern w:val="2"/>
                <w:sz w:val="21"/>
                <w:szCs w:val="21"/>
                <w:highlight w:val="none"/>
                <w:lang w:val="en-US" w:eastAsia="zh-CN"/>
              </w:rPr>
              <w:t>施</w:t>
            </w:r>
          </w:p>
        </w:tc>
        <w:tc>
          <w:tcPr>
            <w:tcW w:w="8690" w:type="dxa"/>
            <w:noWrap w:val="0"/>
            <w:vAlign w:val="center"/>
          </w:tcPr>
          <w:p w14:paraId="19928D9D">
            <w:pPr>
              <w:pStyle w:val="59"/>
              <w:ind w:firstLine="480"/>
              <w:rPr>
                <w:rFonts w:hint="eastAsia" w:ascii="宋体" w:hAnsi="宋体" w:eastAsia="宋体" w:cs="宋体"/>
                <w:color w:val="auto"/>
                <w:kern w:val="0"/>
                <w:sz w:val="24"/>
                <w:szCs w:val="24"/>
                <w:highlight w:val="none"/>
                <w:lang w:val="en-US" w:eastAsia="zh-CN"/>
              </w:rPr>
            </w:pPr>
            <w:r>
              <w:rPr>
                <w:rFonts w:hint="eastAsia" w:ascii="宋体" w:hAnsi="宋体" w:eastAsia="宋体" w:cs="宋体"/>
                <w:color w:val="auto"/>
                <w:kern w:val="0"/>
                <w:sz w:val="24"/>
                <w:szCs w:val="24"/>
                <w:highlight w:val="none"/>
                <w:lang w:val="en-US" w:eastAsia="zh-CN"/>
              </w:rPr>
              <w:t>本项目</w:t>
            </w:r>
            <w:r>
              <w:rPr>
                <w:rFonts w:ascii="Times New Roman" w:hAnsi="Times New Roman" w:cs="Times New Roman"/>
                <w:color w:val="auto"/>
                <w:sz w:val="24"/>
                <w:szCs w:val="24"/>
              </w:rPr>
              <w:t>利用现有房屋建筑</w:t>
            </w:r>
            <w:r>
              <w:rPr>
                <w:rFonts w:hint="eastAsia" w:ascii="宋体" w:hAnsi="宋体" w:eastAsia="宋体" w:cs="宋体"/>
                <w:color w:val="auto"/>
                <w:kern w:val="0"/>
                <w:sz w:val="24"/>
                <w:szCs w:val="24"/>
                <w:highlight w:val="none"/>
                <w:lang w:val="en-US" w:eastAsia="zh-CN"/>
              </w:rPr>
              <w:t>，租用</w:t>
            </w:r>
            <w:r>
              <w:rPr>
                <w:rFonts w:ascii="Times New Roman" w:hAnsi="Times New Roman" w:eastAsia="宋体" w:cs="Times New Roman"/>
                <w:b w:val="0"/>
                <w:color w:val="auto"/>
                <w:kern w:val="0"/>
                <w:sz w:val="24"/>
                <w:szCs w:val="24"/>
                <w:highlight w:val="none"/>
                <w:lang w:val="en-US" w:eastAsia="zh-CN" w:bidi="ar-SA"/>
              </w:rPr>
              <w:t>救兵木业和新材料产业园区</w:t>
            </w:r>
            <w:r>
              <w:rPr>
                <w:rFonts w:hint="eastAsia" w:ascii="Times New Roman" w:hAnsi="Times New Roman" w:eastAsia="宋体" w:cs="Times New Roman"/>
                <w:b w:val="0"/>
                <w:color w:val="auto"/>
                <w:kern w:val="0"/>
                <w:sz w:val="24"/>
                <w:szCs w:val="24"/>
                <w:highlight w:val="none"/>
                <w:lang w:val="en-US" w:eastAsia="zh-CN" w:bidi="ar-SA"/>
              </w:rPr>
              <w:t>空</w:t>
            </w:r>
            <w:r>
              <w:rPr>
                <w:rFonts w:ascii="Times New Roman" w:hAnsi="Times New Roman" w:eastAsia="宋体" w:cs="Times New Roman"/>
                <w:b w:val="0"/>
                <w:color w:val="auto"/>
                <w:kern w:val="0"/>
                <w:sz w:val="24"/>
                <w:szCs w:val="24"/>
                <w:highlight w:val="none"/>
                <w:lang w:val="en-US" w:eastAsia="zh-CN" w:bidi="ar-SA"/>
              </w:rPr>
              <w:t>厂房</w:t>
            </w:r>
            <w:r>
              <w:rPr>
                <w:rFonts w:hint="eastAsia" w:ascii="Times New Roman" w:hAnsi="Times New Roman" w:eastAsia="宋体" w:cs="Times New Roman"/>
                <w:b w:val="0"/>
                <w:color w:val="auto"/>
                <w:kern w:val="0"/>
                <w:sz w:val="24"/>
                <w:szCs w:val="24"/>
                <w:highlight w:val="none"/>
                <w:lang w:val="en-US" w:eastAsia="zh-CN" w:bidi="ar-SA"/>
              </w:rPr>
              <w:t>，且项目设备安装基本已完成，施工期仅涉及挥发性有机物的环保设施</w:t>
            </w:r>
            <w:r>
              <w:rPr>
                <w:rFonts w:hint="eastAsia" w:ascii="Times New Roman" w:hAnsi="Times New Roman" w:eastAsia="宋体" w:cs="Times New Roman"/>
                <w:b w:val="0"/>
                <w:color w:val="auto"/>
                <w:kern w:val="0"/>
                <w:sz w:val="24"/>
                <w:szCs w:val="24"/>
                <w:highlight w:val="none"/>
                <w:lang w:val="en-US" w:eastAsia="zh-CN" w:bidi="ar-SA"/>
              </w:rPr>
              <w:t>/设备安装和建设</w:t>
            </w:r>
            <w:r>
              <w:rPr>
                <w:rFonts w:hint="eastAsia" w:ascii="Times New Roman" w:hAnsi="Times New Roman" w:eastAsia="宋体" w:cs="Times New Roman"/>
                <w:b w:val="0"/>
                <w:color w:val="auto"/>
                <w:kern w:val="0"/>
                <w:sz w:val="24"/>
                <w:szCs w:val="24"/>
                <w:highlight w:val="none"/>
                <w:lang w:val="en-US" w:eastAsia="zh-CN" w:bidi="ar-SA"/>
              </w:rPr>
              <w:t>，及危废贮存点的建设，</w:t>
            </w:r>
            <w:r>
              <w:rPr>
                <w:rFonts w:ascii="Times New Roman" w:hAnsi="Times New Roman" w:cs="Times New Roman"/>
                <w:color w:val="auto"/>
                <w:sz w:val="24"/>
                <w:szCs w:val="24"/>
              </w:rPr>
              <w:t>不涉及土建部分。会产生少量的废气、废水、固体废物及噪声。采取以下措施后对周边环境的影响较小。</w:t>
            </w:r>
          </w:p>
          <w:p w14:paraId="5E8E4A01">
            <w:pPr>
              <w:pStyle w:val="75"/>
              <w:keepNext w:val="0"/>
              <w:keepLines w:val="0"/>
              <w:pageBreakBefore w:val="0"/>
              <w:widowControl w:val="0"/>
              <w:kinsoku/>
              <w:wordWrap/>
              <w:overflowPunct/>
              <w:topLinePunct w:val="0"/>
              <w:autoSpaceDE/>
              <w:autoSpaceDN/>
              <w:bidi w:val="0"/>
              <w:adjustRightInd/>
              <w:snapToGrid/>
              <w:spacing w:line="360" w:lineRule="auto"/>
              <w:ind w:left="0"/>
              <w:textAlignment w:val="auto"/>
              <w:rPr>
                <w:rFonts w:hint="eastAsia" w:ascii="Times New Roman" w:hAnsi="Times New Roman" w:eastAsia="宋体" w:cs="Times New Roman"/>
                <w:color w:val="auto"/>
                <w:lang w:eastAsia="zh-CN"/>
              </w:rPr>
            </w:pPr>
            <w:r>
              <w:rPr>
                <w:rFonts w:ascii="Times New Roman" w:hAnsi="Times New Roman" w:cs="Times New Roman"/>
                <w:b/>
                <w:bCs/>
                <w:color w:val="auto"/>
              </w:rPr>
              <w:t>1、废气</w:t>
            </w:r>
            <w:r>
              <w:rPr>
                <w:rFonts w:hint="eastAsia" w:ascii="Times New Roman" w:hAnsi="Times New Roman" w:cs="Times New Roman"/>
                <w:b/>
                <w:bCs/>
                <w:color w:val="auto"/>
                <w:lang w:eastAsia="zh-CN"/>
              </w:rPr>
              <w:t>污染防治措施</w:t>
            </w:r>
          </w:p>
          <w:p w14:paraId="3B011030">
            <w:pPr>
              <w:pStyle w:val="94"/>
              <w:keepNext w:val="0"/>
              <w:keepLines w:val="0"/>
              <w:pageBreakBefore w:val="0"/>
              <w:widowControl w:val="0"/>
              <w:kinsoku/>
              <w:wordWrap/>
              <w:overflowPunct/>
              <w:topLinePunct w:val="0"/>
              <w:autoSpaceDE/>
              <w:autoSpaceDN/>
              <w:bidi w:val="0"/>
              <w:adjustRightInd/>
              <w:snapToGrid/>
              <w:spacing w:line="360" w:lineRule="auto"/>
              <w:ind w:left="0" w:firstLine="482"/>
              <w:textAlignment w:val="auto"/>
              <w:rPr>
                <w:rFonts w:hint="default" w:ascii="Times New Roman" w:hAnsi="Times New Roman" w:eastAsia="宋体" w:cs="Times New Roman"/>
                <w:b w:val="0"/>
                <w:bCs w:val="0"/>
                <w:color w:val="auto"/>
                <w:sz w:val="24"/>
                <w:szCs w:val="24"/>
              </w:rPr>
            </w:pPr>
            <w:r>
              <w:rPr>
                <w:rFonts w:hint="default" w:ascii="Times New Roman" w:hAnsi="Times New Roman" w:eastAsia="宋体" w:cs="Times New Roman"/>
                <w:b w:val="0"/>
                <w:bCs w:val="0"/>
                <w:color w:val="auto"/>
                <w:sz w:val="24"/>
                <w:szCs w:val="24"/>
              </w:rPr>
              <w:t>本项目不涉及土建施工，不运输易起尘物料，车辆运输产生的扬尘量较小，车辆尾气对环境空气有一定影响，选用合格的机械设备及车辆，并采取定期维护，减少尾气污染物排放。施工现场应严格落实</w:t>
            </w:r>
            <w:r>
              <w:rPr>
                <w:rFonts w:hint="eastAsia"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rPr>
              <w:t>六个百分百</w:t>
            </w:r>
            <w:r>
              <w:rPr>
                <w:rFonts w:hint="eastAsia" w:ascii="Times New Roman" w:hAnsi="Times New Roman" w:eastAsia="宋体" w:cs="Times New Roman"/>
                <w:b w:val="0"/>
                <w:bCs w:val="0"/>
                <w:color w:val="auto"/>
                <w:sz w:val="24"/>
                <w:szCs w:val="24"/>
                <w:lang w:eastAsia="zh-CN"/>
              </w:rPr>
              <w:t>”</w:t>
            </w:r>
            <w:r>
              <w:rPr>
                <w:rFonts w:hint="default" w:ascii="Times New Roman" w:hAnsi="Times New Roman" w:eastAsia="宋体" w:cs="Times New Roman"/>
                <w:b w:val="0"/>
                <w:bCs w:val="0"/>
                <w:color w:val="auto"/>
                <w:sz w:val="24"/>
                <w:szCs w:val="24"/>
              </w:rPr>
              <w:t>要求。具体包括：施工围挡100%标准；物料堆放100%覆盖；施工现场100%湿法作业；施工道路100%硬化；施工现场出入车辆100%冲洗；渣土运输车辆100%密闭运输。由于所用施工设备及车辆尾气排放是间歇排放，且施工结束后，尾气排放已消失，因此对周围环境空气质量影响不大。</w:t>
            </w:r>
          </w:p>
          <w:p w14:paraId="4445A175">
            <w:pPr>
              <w:pStyle w:val="75"/>
              <w:keepNext w:val="0"/>
              <w:keepLines w:val="0"/>
              <w:pageBreakBefore w:val="0"/>
              <w:widowControl w:val="0"/>
              <w:kinsoku/>
              <w:wordWrap/>
              <w:overflowPunct/>
              <w:topLinePunct w:val="0"/>
              <w:autoSpaceDE/>
              <w:autoSpaceDN/>
              <w:bidi w:val="0"/>
              <w:adjustRightInd/>
              <w:snapToGrid/>
              <w:spacing w:line="360" w:lineRule="auto"/>
              <w:ind w:left="0"/>
              <w:textAlignment w:val="auto"/>
              <w:rPr>
                <w:rFonts w:ascii="Times New Roman" w:hAnsi="Times New Roman" w:eastAsia="宋体" w:cs="Times New Roman"/>
                <w:b/>
                <w:bCs/>
                <w:color w:val="auto"/>
              </w:rPr>
            </w:pPr>
            <w:r>
              <w:rPr>
                <w:rFonts w:ascii="Times New Roman" w:hAnsi="Times New Roman" w:eastAsia="宋体" w:cs="Times New Roman"/>
                <w:b/>
                <w:bCs/>
                <w:color w:val="auto"/>
              </w:rPr>
              <w:t>2、废水</w:t>
            </w:r>
            <w:r>
              <w:rPr>
                <w:rFonts w:hint="eastAsia" w:ascii="Times New Roman" w:hAnsi="Times New Roman" w:eastAsia="宋体" w:cs="Times New Roman"/>
                <w:b/>
                <w:bCs/>
                <w:color w:val="auto"/>
                <w:lang w:eastAsia="zh-CN"/>
              </w:rPr>
              <w:t>污染防治措施</w:t>
            </w:r>
          </w:p>
          <w:p w14:paraId="3D7C4985">
            <w:pPr>
              <w:pStyle w:val="75"/>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ascii="Times New Roman" w:hAnsi="Times New Roman" w:cs="Times New Roman"/>
                <w:color w:val="auto"/>
              </w:rPr>
            </w:pPr>
            <w:r>
              <w:rPr>
                <w:rFonts w:ascii="Times New Roman" w:hAnsi="Times New Roman" w:cs="Times New Roman"/>
                <w:color w:val="auto"/>
              </w:rPr>
              <w:t>本项目施工期产生的废水主要为施工人员的生活污水</w:t>
            </w:r>
            <w:r>
              <w:rPr>
                <w:rFonts w:hint="eastAsia" w:ascii="Times New Roman" w:hAnsi="Times New Roman" w:cs="Times New Roman"/>
                <w:color w:val="auto"/>
                <w:lang w:eastAsia="zh-CN"/>
              </w:rPr>
              <w:t>。</w:t>
            </w:r>
            <w:r>
              <w:rPr>
                <w:rFonts w:ascii="Times New Roman" w:hAnsi="Times New Roman" w:cs="Times New Roman"/>
                <w:color w:val="auto"/>
              </w:rPr>
              <w:t>依托</w:t>
            </w:r>
            <w:r>
              <w:rPr>
                <w:rFonts w:ascii="Times New Roman" w:hAnsi="Times New Roman" w:cs="Times New Roman"/>
                <w:color w:val="auto"/>
                <w:lang w:eastAsia="zh-CN"/>
              </w:rPr>
              <w:t>现有卫生设施</w:t>
            </w:r>
            <w:r>
              <w:rPr>
                <w:rFonts w:ascii="Times New Roman" w:hAnsi="Times New Roman" w:cs="Times New Roman"/>
                <w:color w:val="auto"/>
              </w:rPr>
              <w:t>，</w:t>
            </w:r>
            <w:r>
              <w:rPr>
                <w:rFonts w:ascii="Times New Roman" w:hAnsi="Times New Roman" w:cs="Times New Roman"/>
                <w:color w:val="auto"/>
                <w:lang w:eastAsia="zh-CN"/>
              </w:rPr>
              <w:t>排入市政管网，</w:t>
            </w:r>
            <w:r>
              <w:rPr>
                <w:rFonts w:ascii="Times New Roman" w:hAnsi="Times New Roman" w:cs="Times New Roman"/>
                <w:color w:val="auto"/>
              </w:rPr>
              <w:t>不会对当地水环境产生明显不良影响。</w:t>
            </w:r>
          </w:p>
          <w:p w14:paraId="6FB6F4CB">
            <w:pPr>
              <w:pStyle w:val="75"/>
              <w:keepNext w:val="0"/>
              <w:keepLines w:val="0"/>
              <w:pageBreakBefore w:val="0"/>
              <w:widowControl w:val="0"/>
              <w:kinsoku/>
              <w:wordWrap/>
              <w:overflowPunct/>
              <w:topLinePunct w:val="0"/>
              <w:autoSpaceDE/>
              <w:autoSpaceDN/>
              <w:bidi w:val="0"/>
              <w:adjustRightInd/>
              <w:snapToGrid/>
              <w:spacing w:line="360" w:lineRule="auto"/>
              <w:ind w:left="0"/>
              <w:textAlignment w:val="auto"/>
              <w:rPr>
                <w:rFonts w:ascii="Times New Roman" w:hAnsi="Times New Roman" w:eastAsia="宋体" w:cs="Times New Roman"/>
                <w:b/>
                <w:bCs/>
                <w:color w:val="auto"/>
              </w:rPr>
            </w:pPr>
            <w:r>
              <w:rPr>
                <w:rFonts w:ascii="Times New Roman" w:hAnsi="Times New Roman" w:eastAsia="宋体" w:cs="Times New Roman"/>
                <w:b/>
                <w:bCs/>
                <w:color w:val="auto"/>
              </w:rPr>
              <w:t>3、噪声</w:t>
            </w:r>
            <w:r>
              <w:rPr>
                <w:rFonts w:hint="eastAsia" w:ascii="Times New Roman" w:hAnsi="Times New Roman" w:eastAsia="宋体" w:cs="Times New Roman"/>
                <w:b/>
                <w:bCs/>
                <w:color w:val="auto"/>
                <w:lang w:eastAsia="zh-CN"/>
              </w:rPr>
              <w:t>污染防治措施</w:t>
            </w:r>
          </w:p>
          <w:p w14:paraId="03B2778E">
            <w:pPr>
              <w:pStyle w:val="75"/>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both"/>
              <w:textAlignment w:val="auto"/>
              <w:rPr>
                <w:rFonts w:hint="default" w:ascii="Times New Roman" w:hAnsi="Times New Roman" w:eastAsia="宋体" w:cs="Times New Roman"/>
                <w:bCs/>
                <w:color w:val="auto"/>
                <w:sz w:val="24"/>
                <w:highlight w:val="none"/>
              </w:rPr>
            </w:pPr>
            <w:r>
              <w:rPr>
                <w:rFonts w:ascii="Times New Roman" w:hAnsi="Times New Roman" w:cs="Times New Roman"/>
                <w:color w:val="auto"/>
              </w:rPr>
              <w:t>施工场地噪声主要是</w:t>
            </w:r>
            <w:r>
              <w:rPr>
                <w:rFonts w:hint="eastAsia" w:ascii="Times New Roman" w:hAnsi="Times New Roman" w:cs="Times New Roman"/>
                <w:color w:val="auto"/>
                <w:lang w:eastAsia="zh-CN"/>
              </w:rPr>
              <w:t>各类</w:t>
            </w:r>
            <w:r>
              <w:rPr>
                <w:rFonts w:ascii="Times New Roman" w:hAnsi="Times New Roman" w:cs="Times New Roman"/>
                <w:color w:val="auto"/>
              </w:rPr>
              <w:t>施工机械设备噪声，物料</w:t>
            </w:r>
            <w:r>
              <w:rPr>
                <w:rFonts w:ascii="Times New Roman" w:hAnsi="Times New Roman" w:cs="Times New Roman"/>
                <w:color w:val="auto"/>
              </w:rPr>
              <w:t>运输</w:t>
            </w:r>
            <w:r>
              <w:rPr>
                <w:rFonts w:hint="eastAsia" w:ascii="Times New Roman" w:hAnsi="Times New Roman" w:cs="Times New Roman"/>
                <w:color w:val="auto"/>
                <w:lang w:eastAsia="zh-CN"/>
              </w:rPr>
              <w:t>及</w:t>
            </w:r>
            <w:r>
              <w:rPr>
                <w:rFonts w:ascii="Times New Roman" w:hAnsi="Times New Roman" w:cs="Times New Roman"/>
                <w:color w:val="auto"/>
              </w:rPr>
              <w:t>装卸碰撞噪声</w:t>
            </w:r>
            <w:r>
              <w:rPr>
                <w:rFonts w:hint="eastAsia" w:ascii="Times New Roman" w:hAnsi="Times New Roman" w:cs="Times New Roman"/>
                <w:color w:val="auto"/>
                <w:lang w:eastAsia="zh-CN"/>
              </w:rPr>
              <w:t>，以及</w:t>
            </w:r>
            <w:r>
              <w:rPr>
                <w:rFonts w:ascii="Times New Roman" w:hAnsi="Times New Roman" w:cs="Times New Roman"/>
                <w:color w:val="auto"/>
              </w:rPr>
              <w:t>施工人员的生活噪声</w:t>
            </w:r>
            <w:r>
              <w:rPr>
                <w:rFonts w:hint="eastAsia" w:ascii="Times New Roman" w:hAnsi="Times New Roman" w:cs="Times New Roman"/>
                <w:color w:val="auto"/>
                <w:lang w:eastAsia="zh-CN"/>
              </w:rPr>
              <w:t>。</w:t>
            </w:r>
            <w:r>
              <w:rPr>
                <w:rFonts w:ascii="Times New Roman" w:hAnsi="Times New Roman" w:cs="Times New Roman"/>
                <w:color w:val="auto"/>
              </w:rPr>
              <w:t>由于施工时，其噪声是由许多种不同种类的施工机械设备和运输车辆发出的，且一般设备的运作都是间歇性的。</w:t>
            </w:r>
            <w:r>
              <w:rPr>
                <w:rFonts w:hint="default" w:ascii="Times New Roman" w:hAnsi="Times New Roman" w:eastAsia="宋体" w:cs="Times New Roman"/>
                <w:bCs/>
                <w:color w:val="auto"/>
                <w:sz w:val="24"/>
                <w:highlight w:val="none"/>
              </w:rPr>
              <w:t>因此在施工期间，应严格按照国家相关要求，严禁夜间施工，合理安排施工工序，采用低噪声设备</w:t>
            </w:r>
            <w:r>
              <w:rPr>
                <w:rFonts w:hint="eastAsia" w:ascii="Times New Roman" w:hAnsi="Times New Roman" w:eastAsia="宋体" w:cs="Times New Roman"/>
                <w:bCs/>
                <w:color w:val="auto"/>
                <w:sz w:val="24"/>
                <w:highlight w:val="none"/>
                <w:lang w:eastAsia="zh-CN"/>
              </w:rPr>
              <w:t>等</w:t>
            </w:r>
            <w:r>
              <w:rPr>
                <w:rFonts w:hint="default" w:ascii="Times New Roman" w:hAnsi="Times New Roman" w:eastAsia="宋体" w:cs="Times New Roman"/>
                <w:bCs/>
                <w:color w:val="auto"/>
                <w:sz w:val="24"/>
                <w:highlight w:val="none"/>
              </w:rPr>
              <w:t>。在采取以上噪声防治措施，经距离衰减后，</w:t>
            </w:r>
            <w:r>
              <w:rPr>
                <w:rFonts w:hint="eastAsia" w:ascii="Times New Roman" w:hAnsi="Times New Roman" w:eastAsia="宋体" w:cs="Times New Roman"/>
                <w:bCs/>
                <w:color w:val="auto"/>
                <w:sz w:val="24"/>
                <w:highlight w:val="none"/>
                <w:lang w:eastAsia="zh-CN"/>
              </w:rPr>
              <w:t>厂</w:t>
            </w:r>
            <w:r>
              <w:rPr>
                <w:rFonts w:hint="default" w:ascii="Times New Roman" w:hAnsi="Times New Roman" w:eastAsia="宋体" w:cs="Times New Roman"/>
                <w:bCs/>
                <w:color w:val="auto"/>
                <w:sz w:val="24"/>
                <w:highlight w:val="none"/>
              </w:rPr>
              <w:t>界噪声可以满足《</w:t>
            </w:r>
            <w:r>
              <w:rPr>
                <w:rFonts w:hint="default" w:ascii="Times New Roman" w:hAnsi="Times New Roman" w:cs="Times New Roman"/>
                <w:color w:val="auto"/>
                <w:sz w:val="24"/>
                <w:szCs w:val="24"/>
                <w:highlight w:val="none"/>
              </w:rPr>
              <w:t>建筑施工噪声排放标准</w:t>
            </w:r>
            <w:r>
              <w:rPr>
                <w:rFonts w:hint="default" w:ascii="Times New Roman" w:hAnsi="Times New Roman" w:eastAsia="宋体" w:cs="Times New Roman"/>
                <w:bCs/>
                <w:color w:val="auto"/>
                <w:sz w:val="24"/>
                <w:highlight w:val="none"/>
              </w:rPr>
              <w:t>》（GB12523-20</w:t>
            </w:r>
            <w:r>
              <w:rPr>
                <w:rFonts w:hint="eastAsia" w:ascii="Times New Roman" w:hAnsi="Times New Roman" w:eastAsia="宋体" w:cs="Times New Roman"/>
                <w:bCs/>
                <w:color w:val="auto"/>
                <w:sz w:val="24"/>
                <w:highlight w:val="none"/>
                <w:lang w:val="en-US" w:eastAsia="zh-CN"/>
              </w:rPr>
              <w:t>25</w:t>
            </w:r>
            <w:r>
              <w:rPr>
                <w:rFonts w:hint="default" w:ascii="Times New Roman" w:hAnsi="Times New Roman" w:eastAsia="宋体" w:cs="Times New Roman"/>
                <w:bCs/>
                <w:color w:val="auto"/>
                <w:sz w:val="24"/>
                <w:highlight w:val="none"/>
              </w:rPr>
              <w:t>）规定的标准要求。</w:t>
            </w:r>
            <w:r>
              <w:rPr>
                <w:rFonts w:hint="eastAsia" w:ascii="Times New Roman" w:hAnsi="Times New Roman" w:eastAsia="宋体" w:cs="Times New Roman"/>
                <w:bCs/>
                <w:color w:val="auto"/>
                <w:sz w:val="24"/>
                <w:highlight w:val="none"/>
                <w:lang w:eastAsia="zh-CN"/>
              </w:rPr>
              <w:t>按上述要求</w:t>
            </w:r>
            <w:r>
              <w:rPr>
                <w:rFonts w:hint="default" w:ascii="Times New Roman" w:hAnsi="Times New Roman" w:eastAsia="宋体" w:cs="Times New Roman"/>
                <w:bCs/>
                <w:color w:val="auto"/>
                <w:sz w:val="24"/>
                <w:highlight w:val="none"/>
              </w:rPr>
              <w:t>严格控制好施工作业，施工噪声不会对周围环境产生明显影响。</w:t>
            </w:r>
          </w:p>
          <w:p w14:paraId="305573AE">
            <w:pPr>
              <w:pStyle w:val="75"/>
              <w:keepNext w:val="0"/>
              <w:keepLines w:val="0"/>
              <w:pageBreakBefore w:val="0"/>
              <w:widowControl w:val="0"/>
              <w:kinsoku/>
              <w:wordWrap/>
              <w:overflowPunct/>
              <w:topLinePunct w:val="0"/>
              <w:autoSpaceDE/>
              <w:autoSpaceDN/>
              <w:bidi w:val="0"/>
              <w:adjustRightInd/>
              <w:snapToGrid/>
              <w:spacing w:line="360" w:lineRule="auto"/>
              <w:ind w:left="0"/>
              <w:textAlignment w:val="auto"/>
              <w:rPr>
                <w:rFonts w:ascii="Times New Roman" w:hAnsi="Times New Roman" w:eastAsia="宋体" w:cs="Times New Roman"/>
                <w:b/>
                <w:bCs/>
                <w:color w:val="auto"/>
              </w:rPr>
            </w:pPr>
            <w:r>
              <w:rPr>
                <w:rFonts w:ascii="Times New Roman" w:hAnsi="Times New Roman" w:eastAsia="宋体" w:cs="Times New Roman"/>
                <w:b/>
                <w:bCs/>
                <w:color w:val="auto"/>
              </w:rPr>
              <w:t>4、固体废物</w:t>
            </w:r>
            <w:r>
              <w:rPr>
                <w:rFonts w:hint="eastAsia" w:ascii="Times New Roman" w:hAnsi="Times New Roman" w:eastAsia="宋体" w:cs="Times New Roman"/>
                <w:b/>
                <w:bCs/>
                <w:color w:val="auto"/>
                <w:lang w:eastAsia="zh-CN"/>
              </w:rPr>
              <w:t>污染防治措施</w:t>
            </w:r>
          </w:p>
          <w:p w14:paraId="0074401A">
            <w:pPr>
              <w:pStyle w:val="59"/>
              <w:keepNext w:val="0"/>
              <w:keepLines w:val="0"/>
              <w:pageBreakBefore w:val="0"/>
              <w:widowControl w:val="0"/>
              <w:kinsoku/>
              <w:wordWrap/>
              <w:overflowPunct/>
              <w:topLinePunct w:val="0"/>
              <w:autoSpaceDE/>
              <w:autoSpaceDN/>
              <w:bidi w:val="0"/>
              <w:adjustRightInd/>
              <w:snapToGrid/>
              <w:spacing w:line="360" w:lineRule="auto"/>
              <w:ind w:left="0" w:firstLine="480"/>
              <w:textAlignment w:val="auto"/>
              <w:rPr>
                <w:rFonts w:hint="eastAsia" w:ascii="宋体" w:hAnsi="宋体" w:eastAsia="宋体" w:cs="宋体"/>
                <w:color w:val="auto"/>
                <w:kern w:val="0"/>
                <w:sz w:val="24"/>
                <w:highlight w:val="none"/>
                <w:lang w:val="en-US" w:eastAsia="zh-CN"/>
              </w:rPr>
            </w:pPr>
            <w:r>
              <w:rPr>
                <w:rFonts w:ascii="Times New Roman" w:hAnsi="Times New Roman" w:cs="Times New Roman"/>
                <w:color w:val="auto"/>
                <w:sz w:val="24"/>
                <w:szCs w:val="24"/>
              </w:rPr>
              <w:t>本项目不涉及开挖基础，施工期固体废物主要为施工人员生活垃圾和废包装材料，废包装材料外售综合利用，生活垃圾委托环卫部门统一处理，对环境产生影响较小。</w:t>
            </w:r>
          </w:p>
        </w:tc>
      </w:tr>
      <w:tr w14:paraId="3CC5F94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70" w:hRule="atLeast"/>
          <w:jc w:val="center"/>
        </w:trPr>
        <w:tc>
          <w:tcPr>
            <w:tcW w:w="266" w:type="dxa"/>
            <w:noWrap w:val="0"/>
            <w:tcMar>
              <w:left w:w="28" w:type="dxa"/>
              <w:right w:w="28" w:type="dxa"/>
            </w:tcMar>
            <w:vAlign w:val="center"/>
          </w:tcPr>
          <w:p w14:paraId="1AED70B2">
            <w:pPr>
              <w:adjustRightInd w:val="0"/>
              <w:snapToGrid w:val="0"/>
              <w:jc w:val="center"/>
              <w:rPr>
                <w:bCs/>
                <w:color w:val="auto"/>
                <w:szCs w:val="21"/>
                <w:highlight w:val="none"/>
              </w:rPr>
            </w:pPr>
            <w:r>
              <w:rPr>
                <w:bCs/>
                <w:color w:val="auto"/>
                <w:szCs w:val="21"/>
                <w:highlight w:val="none"/>
              </w:rPr>
              <w:t>运营</w:t>
            </w:r>
          </w:p>
          <w:p w14:paraId="3D7E7B89">
            <w:pPr>
              <w:adjustRightInd w:val="0"/>
              <w:snapToGrid w:val="0"/>
              <w:jc w:val="center"/>
              <w:rPr>
                <w:bCs/>
                <w:color w:val="auto"/>
                <w:szCs w:val="21"/>
                <w:highlight w:val="none"/>
              </w:rPr>
            </w:pPr>
            <w:r>
              <w:rPr>
                <w:bCs/>
                <w:color w:val="auto"/>
                <w:szCs w:val="21"/>
                <w:highlight w:val="none"/>
              </w:rPr>
              <w:t>期环</w:t>
            </w:r>
          </w:p>
          <w:p w14:paraId="75CCD7B0">
            <w:pPr>
              <w:adjustRightInd w:val="0"/>
              <w:snapToGrid w:val="0"/>
              <w:jc w:val="center"/>
              <w:rPr>
                <w:bCs/>
                <w:color w:val="auto"/>
                <w:szCs w:val="21"/>
                <w:highlight w:val="none"/>
              </w:rPr>
            </w:pPr>
            <w:r>
              <w:rPr>
                <w:bCs/>
                <w:color w:val="auto"/>
                <w:szCs w:val="21"/>
                <w:highlight w:val="none"/>
              </w:rPr>
              <w:t>境影</w:t>
            </w:r>
          </w:p>
          <w:p w14:paraId="78C4C228">
            <w:pPr>
              <w:adjustRightInd w:val="0"/>
              <w:snapToGrid w:val="0"/>
              <w:jc w:val="center"/>
              <w:rPr>
                <w:bCs/>
                <w:color w:val="auto"/>
                <w:szCs w:val="21"/>
                <w:highlight w:val="none"/>
              </w:rPr>
            </w:pPr>
            <w:r>
              <w:rPr>
                <w:bCs/>
                <w:color w:val="auto"/>
                <w:szCs w:val="21"/>
                <w:highlight w:val="none"/>
              </w:rPr>
              <w:t>响和</w:t>
            </w:r>
          </w:p>
          <w:p w14:paraId="7D236AAB">
            <w:pPr>
              <w:adjustRightInd w:val="0"/>
              <w:snapToGrid w:val="0"/>
              <w:jc w:val="center"/>
              <w:rPr>
                <w:bCs/>
                <w:color w:val="auto"/>
                <w:szCs w:val="21"/>
                <w:highlight w:val="none"/>
              </w:rPr>
            </w:pPr>
            <w:r>
              <w:rPr>
                <w:bCs/>
                <w:color w:val="auto"/>
                <w:szCs w:val="21"/>
                <w:highlight w:val="none"/>
              </w:rPr>
              <w:t>保护</w:t>
            </w:r>
          </w:p>
          <w:p w14:paraId="78486A47">
            <w:pPr>
              <w:adjustRightInd w:val="0"/>
              <w:snapToGrid w:val="0"/>
              <w:jc w:val="center"/>
              <w:rPr>
                <w:bCs/>
                <w:color w:val="auto"/>
                <w:szCs w:val="21"/>
                <w:highlight w:val="none"/>
              </w:rPr>
            </w:pPr>
            <w:r>
              <w:rPr>
                <w:bCs/>
                <w:color w:val="auto"/>
                <w:szCs w:val="21"/>
                <w:highlight w:val="none"/>
              </w:rPr>
              <w:t>措施</w:t>
            </w:r>
          </w:p>
        </w:tc>
        <w:tc>
          <w:tcPr>
            <w:tcW w:w="8690" w:type="dxa"/>
            <w:tcBorders>
              <w:right w:val="single" w:color="auto" w:sz="4" w:space="0"/>
            </w:tcBorders>
            <w:noWrap w:val="0"/>
            <w:vAlign w:val="center"/>
          </w:tcPr>
          <w:p w14:paraId="5AB64B04">
            <w:pPr>
              <w:pStyle w:val="69"/>
              <w:rPr>
                <w:color w:val="auto"/>
                <w:highlight w:val="none"/>
              </w:rPr>
            </w:pPr>
            <w:r>
              <w:rPr>
                <w:rFonts w:hint="eastAsia"/>
                <w:color w:val="auto"/>
                <w:highlight w:val="none"/>
              </w:rPr>
              <w:t>二、</w:t>
            </w:r>
            <w:r>
              <w:rPr>
                <w:color w:val="auto"/>
                <w:highlight w:val="none"/>
              </w:rPr>
              <w:t>运营期环境影响和保护措施</w:t>
            </w:r>
          </w:p>
          <w:p w14:paraId="3C749860">
            <w:pPr>
              <w:pStyle w:val="62"/>
              <w:rPr>
                <w:color w:val="auto"/>
                <w:highlight w:val="none"/>
              </w:rPr>
            </w:pPr>
            <w:r>
              <w:rPr>
                <w:rFonts w:hint="eastAsia"/>
                <w:color w:val="auto"/>
                <w:highlight w:val="none"/>
              </w:rPr>
              <w:t>1、</w:t>
            </w:r>
            <w:r>
              <w:rPr>
                <w:color w:val="auto"/>
                <w:highlight w:val="none"/>
              </w:rPr>
              <w:t>大气环境影响分析及污染防治措施</w:t>
            </w:r>
          </w:p>
          <w:p w14:paraId="2BF94D01">
            <w:pPr>
              <w:pStyle w:val="59"/>
              <w:ind w:firstLine="482"/>
              <w:rPr>
                <w:rFonts w:hint="eastAsia"/>
                <w:color w:val="auto"/>
                <w:sz w:val="24"/>
                <w:szCs w:val="24"/>
              </w:rPr>
            </w:pPr>
            <w:r>
              <w:rPr>
                <w:rFonts w:hint="eastAsia"/>
                <w:b/>
                <w:bCs/>
                <w:color w:val="auto"/>
                <w:sz w:val="24"/>
                <w:highlight w:val="none"/>
              </w:rPr>
              <w:t>（1）本项目废气源产生情况</w:t>
            </w:r>
          </w:p>
          <w:p w14:paraId="614CBBE6">
            <w:pPr>
              <w:ind w:firstLine="480" w:firstLineChars="200"/>
              <w:rPr>
                <w:color w:val="auto"/>
                <w:sz w:val="24"/>
                <w:szCs w:val="24"/>
              </w:rPr>
            </w:pPr>
            <w:r>
              <w:rPr>
                <w:rFonts w:hint="eastAsia"/>
                <w:color w:val="auto"/>
                <w:sz w:val="24"/>
                <w:szCs w:val="24"/>
              </w:rPr>
              <w:t>本项目生产过程中产生的废气主要为</w:t>
            </w:r>
            <w:r>
              <w:rPr>
                <w:rFonts w:hint="eastAsia"/>
                <w:color w:val="auto"/>
                <w:sz w:val="24"/>
                <w:szCs w:val="24"/>
                <w:lang w:eastAsia="zh-CN"/>
              </w:rPr>
              <w:t>原料</w:t>
            </w:r>
            <w:r>
              <w:rPr>
                <w:rFonts w:hint="eastAsia"/>
                <w:color w:val="auto"/>
                <w:sz w:val="24"/>
                <w:szCs w:val="24"/>
              </w:rPr>
              <w:t>加工（下料、刨光、</w:t>
            </w:r>
            <w:r>
              <w:rPr>
                <w:rFonts w:hint="eastAsia"/>
                <w:color w:val="auto"/>
                <w:sz w:val="24"/>
                <w:szCs w:val="24"/>
                <w:lang w:eastAsia="zh-CN"/>
              </w:rPr>
              <w:t>梳齿、</w:t>
            </w:r>
            <w:r>
              <w:rPr>
                <w:rFonts w:hint="eastAsia"/>
                <w:color w:val="auto"/>
                <w:sz w:val="24"/>
                <w:szCs w:val="24"/>
              </w:rPr>
              <w:t>砂光、</w:t>
            </w:r>
            <w:r>
              <w:rPr>
                <w:color w:val="auto"/>
                <w:sz w:val="24"/>
                <w:szCs w:val="24"/>
              </w:rPr>
              <w:t>开槽</w:t>
            </w:r>
            <w:r>
              <w:rPr>
                <w:rFonts w:hint="eastAsia"/>
                <w:color w:val="auto"/>
                <w:sz w:val="24"/>
                <w:szCs w:val="24"/>
              </w:rPr>
              <w:t>等）</w:t>
            </w:r>
            <w:r>
              <w:rPr>
                <w:rFonts w:hint="eastAsia"/>
                <w:color w:val="auto"/>
                <w:sz w:val="24"/>
                <w:szCs w:val="24"/>
                <w:lang w:eastAsia="zh-CN"/>
              </w:rPr>
              <w:t>废气、</w:t>
            </w:r>
            <w:r>
              <w:rPr>
                <w:rFonts w:hint="eastAsia"/>
                <w:color w:val="auto"/>
                <w:sz w:val="24"/>
                <w:szCs w:val="24"/>
              </w:rPr>
              <w:t>辊涂固化</w:t>
            </w:r>
            <w:r>
              <w:rPr>
                <w:rFonts w:hint="eastAsia"/>
                <w:color w:val="auto"/>
                <w:sz w:val="24"/>
                <w:szCs w:val="24"/>
                <w:lang w:eastAsia="zh-CN"/>
              </w:rPr>
              <w:t>废气。</w:t>
            </w:r>
          </w:p>
          <w:p w14:paraId="412E97F2">
            <w:pPr>
              <w:pStyle w:val="94"/>
              <w:ind w:firstLine="482"/>
              <w:rPr>
                <w:rFonts w:hint="eastAsia" w:ascii="宋体" w:hAnsi="宋体" w:eastAsia="宋体" w:cs="宋体"/>
                <w:b w:val="0"/>
                <w:bCs w:val="0"/>
                <w:color w:val="auto"/>
                <w:sz w:val="24"/>
                <w:szCs w:val="24"/>
                <w:lang w:val="zh-CN" w:eastAsia="zh-CN"/>
              </w:rPr>
            </w:pPr>
            <w:r>
              <w:rPr>
                <w:rFonts w:hint="default" w:ascii="Times New Roman" w:hAnsi="Times New Roman" w:eastAsia="宋体" w:cs="Times New Roman"/>
                <w:b w:val="0"/>
                <w:bCs w:val="0"/>
                <w:color w:val="auto"/>
                <w:sz w:val="24"/>
                <w:szCs w:val="24"/>
              </w:rPr>
              <w:t>①</w:t>
            </w:r>
            <w:r>
              <w:rPr>
                <w:rFonts w:hint="eastAsia" w:ascii="宋体" w:hAnsi="宋体" w:eastAsia="宋体" w:cs="宋体"/>
                <w:b w:val="0"/>
                <w:bCs w:val="0"/>
                <w:color w:val="auto"/>
                <w:sz w:val="24"/>
                <w:szCs w:val="24"/>
              </w:rPr>
              <w:t>木加工（下料、刨光、</w:t>
            </w:r>
            <w:r>
              <w:rPr>
                <w:rFonts w:hint="eastAsia" w:ascii="宋体" w:hAnsi="宋体" w:eastAsia="宋体" w:cs="宋体"/>
                <w:color w:val="auto"/>
                <w:sz w:val="24"/>
                <w:szCs w:val="24"/>
                <w:lang w:eastAsia="zh-CN"/>
              </w:rPr>
              <w:t>梳齿、</w:t>
            </w:r>
            <w:r>
              <w:rPr>
                <w:rFonts w:hint="eastAsia" w:ascii="宋体" w:hAnsi="宋体" w:eastAsia="宋体" w:cs="宋体"/>
                <w:b w:val="0"/>
                <w:bCs w:val="0"/>
                <w:color w:val="auto"/>
                <w:sz w:val="24"/>
                <w:szCs w:val="24"/>
              </w:rPr>
              <w:t>砂光、开槽等）</w:t>
            </w:r>
            <w:r>
              <w:rPr>
                <w:rFonts w:hint="eastAsia" w:ascii="宋体" w:hAnsi="宋体" w:eastAsia="宋体" w:cs="宋体"/>
                <w:b w:val="0"/>
                <w:bCs w:val="0"/>
                <w:color w:val="auto"/>
                <w:sz w:val="24"/>
                <w:szCs w:val="24"/>
                <w:lang w:eastAsia="zh-CN"/>
              </w:rPr>
              <w:t>废气</w:t>
            </w:r>
          </w:p>
          <w:p w14:paraId="37C5B252">
            <w:pPr>
              <w:ind w:firstLine="480" w:firstLineChars="200"/>
              <w:rPr>
                <w:color w:val="auto"/>
                <w:sz w:val="24"/>
                <w:szCs w:val="24"/>
                <w:lang w:val="zh-CN"/>
              </w:rPr>
            </w:pPr>
            <w:r>
              <w:rPr>
                <w:color w:val="auto"/>
                <w:sz w:val="24"/>
                <w:szCs w:val="24"/>
                <w:lang w:val="zh-CN"/>
              </w:rPr>
              <w:t>本项目在板材</w:t>
            </w:r>
            <w:r>
              <w:rPr>
                <w:rFonts w:hint="eastAsia"/>
                <w:color w:val="auto"/>
                <w:sz w:val="24"/>
                <w:szCs w:val="24"/>
                <w:lang w:val="zh-CN"/>
              </w:rPr>
              <w:t>下料</w:t>
            </w:r>
            <w:r>
              <w:rPr>
                <w:color w:val="auto"/>
                <w:sz w:val="24"/>
                <w:szCs w:val="24"/>
                <w:lang w:val="zh-CN"/>
              </w:rPr>
              <w:t>过程中有粉尘产生，参照《排放源统计调查产排污核算方法和系数手册》</w:t>
            </w:r>
            <w:r>
              <w:rPr>
                <w:rFonts w:hint="eastAsia"/>
                <w:color w:val="auto"/>
                <w:sz w:val="24"/>
                <w:szCs w:val="24"/>
                <w:lang w:val="zh-CN"/>
              </w:rPr>
              <w:t>（环境部公告</w:t>
            </w:r>
            <w:r>
              <w:rPr>
                <w:rFonts w:hint="eastAsia"/>
                <w:color w:val="auto"/>
                <w:sz w:val="24"/>
                <w:szCs w:val="24"/>
                <w:lang w:val="en-US" w:eastAsia="zh-CN"/>
              </w:rPr>
              <w:t xml:space="preserve"> 2021年 第24号</w:t>
            </w:r>
            <w:r>
              <w:rPr>
                <w:rFonts w:hint="eastAsia"/>
                <w:color w:val="auto"/>
                <w:sz w:val="24"/>
                <w:szCs w:val="24"/>
                <w:lang w:val="zh-CN"/>
              </w:rPr>
              <w:t>）</w:t>
            </w:r>
            <w:r>
              <w:rPr>
                <w:color w:val="auto"/>
                <w:sz w:val="24"/>
                <w:szCs w:val="24"/>
                <w:lang w:val="zh-CN"/>
              </w:rPr>
              <w:t>中</w:t>
            </w:r>
            <w:r>
              <w:rPr>
                <w:rFonts w:hint="eastAsia"/>
                <w:color w:val="auto"/>
                <w:sz w:val="24"/>
                <w:szCs w:val="24"/>
                <w:lang w:val="zh-CN"/>
              </w:rPr>
              <w:t>“</w:t>
            </w:r>
            <w:r>
              <w:rPr>
                <w:color w:val="auto"/>
                <w:sz w:val="24"/>
                <w:szCs w:val="24"/>
                <w:lang w:val="zh-CN"/>
              </w:rPr>
              <w:t>203木质制品制造行业系数手册—203木质制品制造行业系数表</w:t>
            </w:r>
            <w:r>
              <w:rPr>
                <w:rFonts w:hint="eastAsia"/>
                <w:color w:val="auto"/>
                <w:sz w:val="24"/>
                <w:szCs w:val="24"/>
                <w:lang w:val="zh-CN"/>
              </w:rPr>
              <w:t>”</w:t>
            </w:r>
            <w:r>
              <w:rPr>
                <w:color w:val="auto"/>
                <w:sz w:val="24"/>
                <w:szCs w:val="24"/>
                <w:lang w:val="zh-CN"/>
              </w:rPr>
              <w:t>，下料工序颗粒物的产污系数为</w:t>
            </w:r>
            <w:r>
              <w:rPr>
                <w:color w:val="auto"/>
                <w:sz w:val="24"/>
                <w:szCs w:val="24"/>
              </w:rPr>
              <w:t>245×10</w:t>
            </w:r>
            <w:r>
              <w:rPr>
                <w:color w:val="auto"/>
                <w:sz w:val="24"/>
                <w:szCs w:val="24"/>
                <w:vertAlign w:val="superscript"/>
              </w:rPr>
              <w:t>-3</w:t>
            </w:r>
            <w:r>
              <w:rPr>
                <w:color w:val="auto"/>
                <w:sz w:val="24"/>
                <w:szCs w:val="24"/>
                <w:lang w:val="zh-CN"/>
              </w:rPr>
              <w:t>千克/立方米-产品。本项目生产木地板</w:t>
            </w:r>
            <w:r>
              <w:rPr>
                <w:rFonts w:hint="eastAsia"/>
                <w:color w:val="auto"/>
                <w:sz w:val="24"/>
                <w:szCs w:val="24"/>
                <w:lang w:val="en-US" w:eastAsia="zh-CN"/>
              </w:rPr>
              <w:t>15万</w:t>
            </w:r>
            <w:r>
              <w:rPr>
                <w:color w:val="auto"/>
                <w:sz w:val="24"/>
                <w:szCs w:val="24"/>
              </w:rPr>
              <w:t>m</w:t>
            </w:r>
            <w:r>
              <w:rPr>
                <w:rFonts w:hint="eastAsia"/>
                <w:color w:val="auto"/>
                <w:sz w:val="24"/>
                <w:szCs w:val="24"/>
                <w:vertAlign w:val="superscript"/>
                <w:lang w:val="en-US" w:eastAsia="zh-CN"/>
              </w:rPr>
              <w:t>2</w:t>
            </w:r>
            <w:r>
              <w:rPr>
                <w:color w:val="auto"/>
                <w:sz w:val="24"/>
                <w:szCs w:val="24"/>
                <w:lang w:val="zh-CN"/>
              </w:rPr>
              <w:t>/a，</w:t>
            </w:r>
            <w:r>
              <w:rPr>
                <w:rFonts w:hint="eastAsia"/>
                <w:color w:val="auto"/>
                <w:sz w:val="24"/>
                <w:szCs w:val="24"/>
                <w:lang w:val="zh-CN"/>
              </w:rPr>
              <w:t>厚度按最</w:t>
            </w:r>
            <w:r>
              <w:rPr>
                <w:rFonts w:hint="eastAsia"/>
                <w:color w:val="auto"/>
                <w:sz w:val="24"/>
                <w:szCs w:val="24"/>
                <w:lang w:val="en-US" w:eastAsia="zh-CN"/>
              </w:rPr>
              <w:t>厚</w:t>
            </w:r>
            <w:r>
              <w:rPr>
                <w:rFonts w:hint="eastAsia"/>
                <w:color w:val="auto"/>
                <w:sz w:val="24"/>
                <w:szCs w:val="24"/>
                <w:lang w:val="zh-CN"/>
              </w:rPr>
              <w:t>取值</w:t>
            </w:r>
            <w:r>
              <w:rPr>
                <w:rFonts w:hint="eastAsia"/>
                <w:color w:val="auto"/>
                <w:sz w:val="24"/>
                <w:szCs w:val="24"/>
                <w:lang w:val="en-US" w:eastAsia="zh-CN"/>
              </w:rPr>
              <w:t>2cm，折算体积为3000</w:t>
            </w:r>
            <w:r>
              <w:rPr>
                <w:color w:val="auto"/>
                <w:sz w:val="24"/>
                <w:szCs w:val="24"/>
              </w:rPr>
              <w:t>m</w:t>
            </w:r>
            <w:r>
              <w:rPr>
                <w:color w:val="auto"/>
                <w:sz w:val="24"/>
                <w:szCs w:val="24"/>
                <w:vertAlign w:val="superscript"/>
              </w:rPr>
              <w:t>3</w:t>
            </w:r>
            <w:r>
              <w:rPr>
                <w:color w:val="auto"/>
                <w:sz w:val="24"/>
                <w:szCs w:val="24"/>
              </w:rPr>
              <w:t>/a</w:t>
            </w:r>
            <w:r>
              <w:rPr>
                <w:rFonts w:hint="eastAsia"/>
                <w:color w:val="auto"/>
                <w:sz w:val="24"/>
                <w:szCs w:val="24"/>
                <w:lang w:eastAsia="zh-CN"/>
              </w:rPr>
              <w:t>。则</w:t>
            </w:r>
            <w:r>
              <w:rPr>
                <w:rFonts w:hint="eastAsia"/>
                <w:color w:val="auto"/>
                <w:sz w:val="24"/>
                <w:szCs w:val="24"/>
                <w:lang w:val="zh-CN"/>
              </w:rPr>
              <w:t>下料</w:t>
            </w:r>
            <w:r>
              <w:rPr>
                <w:color w:val="auto"/>
                <w:sz w:val="24"/>
                <w:szCs w:val="24"/>
                <w:lang w:val="zh-CN"/>
              </w:rPr>
              <w:t>过程中</w:t>
            </w:r>
            <w:r>
              <w:rPr>
                <w:color w:val="auto"/>
                <w:sz w:val="24"/>
                <w:szCs w:val="24"/>
              </w:rPr>
              <w:t>颗粒物</w:t>
            </w:r>
            <w:r>
              <w:rPr>
                <w:color w:val="auto"/>
                <w:sz w:val="24"/>
                <w:szCs w:val="24"/>
                <w:lang w:val="zh-CN"/>
              </w:rPr>
              <w:t>产生量为</w:t>
            </w:r>
            <w:r>
              <w:rPr>
                <w:rFonts w:hint="eastAsia"/>
                <w:color w:val="auto"/>
                <w:sz w:val="24"/>
                <w:szCs w:val="24"/>
                <w:lang w:val="en-US" w:eastAsia="zh-CN"/>
              </w:rPr>
              <w:t>0.735</w:t>
            </w:r>
            <w:r>
              <w:rPr>
                <w:color w:val="auto"/>
                <w:sz w:val="24"/>
                <w:szCs w:val="24"/>
                <w:lang w:val="zh-CN"/>
              </w:rPr>
              <w:t>t/a。</w:t>
            </w:r>
          </w:p>
          <w:p w14:paraId="76C9AB18">
            <w:pPr>
              <w:ind w:firstLine="480" w:firstLineChars="200"/>
              <w:rPr>
                <w:color w:val="auto"/>
                <w:sz w:val="24"/>
                <w:szCs w:val="24"/>
                <w:lang w:val="zh-CN"/>
              </w:rPr>
            </w:pPr>
            <w:r>
              <w:rPr>
                <w:color w:val="auto"/>
                <w:sz w:val="24"/>
                <w:szCs w:val="24"/>
              </w:rPr>
              <w:t>本项目在刨光过程中有粉尘产生，根据《排放源统计调查产排污核算方法和系数手册》</w:t>
            </w:r>
            <w:r>
              <w:rPr>
                <w:rFonts w:hint="eastAsia"/>
                <w:color w:val="auto"/>
                <w:sz w:val="24"/>
                <w:szCs w:val="24"/>
                <w:lang w:val="zh-CN"/>
              </w:rPr>
              <w:t>（环境部公告</w:t>
            </w:r>
            <w:r>
              <w:rPr>
                <w:rFonts w:hint="eastAsia"/>
                <w:color w:val="auto"/>
                <w:sz w:val="24"/>
                <w:szCs w:val="24"/>
                <w:lang w:val="en-US" w:eastAsia="zh-CN"/>
              </w:rPr>
              <w:t xml:space="preserve"> 2021年 第24号</w:t>
            </w:r>
            <w:r>
              <w:rPr>
                <w:rFonts w:hint="eastAsia"/>
                <w:color w:val="auto"/>
                <w:sz w:val="24"/>
                <w:szCs w:val="24"/>
                <w:lang w:val="zh-CN"/>
              </w:rPr>
              <w:t>）</w:t>
            </w:r>
            <w:r>
              <w:rPr>
                <w:color w:val="auto"/>
                <w:sz w:val="24"/>
                <w:szCs w:val="24"/>
              </w:rPr>
              <w:t>中</w:t>
            </w:r>
            <w:r>
              <w:rPr>
                <w:rFonts w:hint="eastAsia"/>
                <w:color w:val="auto"/>
                <w:sz w:val="24"/>
                <w:szCs w:val="24"/>
                <w:lang w:eastAsia="zh-CN"/>
              </w:rPr>
              <w:t>“</w:t>
            </w:r>
            <w:r>
              <w:rPr>
                <w:color w:val="auto"/>
                <w:sz w:val="24"/>
                <w:szCs w:val="24"/>
              </w:rPr>
              <w:t>203木质制品制造行业系数手册—203木质制品制造行业系数表（续4）</w:t>
            </w:r>
            <w:r>
              <w:rPr>
                <w:rFonts w:hint="eastAsia"/>
                <w:color w:val="auto"/>
                <w:sz w:val="24"/>
                <w:szCs w:val="24"/>
                <w:lang w:eastAsia="zh-CN"/>
              </w:rPr>
              <w:t>”</w:t>
            </w:r>
            <w:r>
              <w:rPr>
                <w:color w:val="auto"/>
                <w:sz w:val="24"/>
                <w:szCs w:val="24"/>
              </w:rPr>
              <w:t>—砂光/打磨工序颗粒物的产污系数为1.52千克/立方米-产品。本项目生产木地板</w:t>
            </w:r>
            <w:r>
              <w:rPr>
                <w:rFonts w:hint="eastAsia"/>
                <w:color w:val="auto"/>
                <w:sz w:val="24"/>
                <w:szCs w:val="24"/>
                <w:lang w:val="en-US" w:eastAsia="zh-CN"/>
              </w:rPr>
              <w:t>3000</w:t>
            </w:r>
            <w:r>
              <w:rPr>
                <w:color w:val="auto"/>
                <w:sz w:val="24"/>
                <w:szCs w:val="24"/>
              </w:rPr>
              <w:t>m</w:t>
            </w:r>
            <w:r>
              <w:rPr>
                <w:color w:val="auto"/>
                <w:sz w:val="24"/>
                <w:szCs w:val="24"/>
                <w:vertAlign w:val="superscript"/>
              </w:rPr>
              <w:t>3</w:t>
            </w:r>
            <w:r>
              <w:rPr>
                <w:color w:val="auto"/>
                <w:sz w:val="24"/>
                <w:szCs w:val="24"/>
              </w:rPr>
              <w:t>/a，则刨光过程中颗粒物产生量为</w:t>
            </w:r>
            <w:r>
              <w:rPr>
                <w:rFonts w:hint="eastAsia"/>
                <w:color w:val="auto"/>
                <w:sz w:val="24"/>
                <w:szCs w:val="24"/>
                <w:lang w:val="en-US" w:eastAsia="zh-CN"/>
              </w:rPr>
              <w:t>4.56</w:t>
            </w:r>
            <w:r>
              <w:rPr>
                <w:color w:val="auto"/>
                <w:sz w:val="24"/>
                <w:szCs w:val="24"/>
              </w:rPr>
              <w:t>t/a。</w:t>
            </w:r>
          </w:p>
          <w:p w14:paraId="16A28290">
            <w:pPr>
              <w:ind w:firstLine="480" w:firstLineChars="200"/>
              <w:rPr>
                <w:color w:val="auto"/>
                <w:sz w:val="24"/>
                <w:szCs w:val="24"/>
                <w:lang w:val="zh-CN"/>
              </w:rPr>
            </w:pPr>
            <w:r>
              <w:rPr>
                <w:color w:val="auto"/>
                <w:sz w:val="24"/>
                <w:szCs w:val="24"/>
              </w:rPr>
              <w:t>本项目在</w:t>
            </w:r>
            <w:r>
              <w:rPr>
                <w:rFonts w:hint="eastAsia"/>
                <w:color w:val="auto"/>
                <w:sz w:val="24"/>
                <w:szCs w:val="24"/>
                <w:lang w:eastAsia="zh-CN"/>
              </w:rPr>
              <w:t>梳齿</w:t>
            </w:r>
            <w:r>
              <w:rPr>
                <w:color w:val="auto"/>
                <w:sz w:val="24"/>
                <w:szCs w:val="24"/>
              </w:rPr>
              <w:t>过程中有粉尘产生，根据《排放源统计调查产排污核算方法和系数手册》</w:t>
            </w:r>
            <w:r>
              <w:rPr>
                <w:rFonts w:hint="eastAsia"/>
                <w:color w:val="auto"/>
                <w:sz w:val="24"/>
                <w:szCs w:val="24"/>
                <w:lang w:val="zh-CN"/>
              </w:rPr>
              <w:t>（环境部公告</w:t>
            </w:r>
            <w:r>
              <w:rPr>
                <w:rFonts w:hint="eastAsia"/>
                <w:color w:val="auto"/>
                <w:sz w:val="24"/>
                <w:szCs w:val="24"/>
                <w:lang w:val="en-US" w:eastAsia="zh-CN"/>
              </w:rPr>
              <w:t xml:space="preserve"> 2021年 第24号</w:t>
            </w:r>
            <w:r>
              <w:rPr>
                <w:rFonts w:hint="eastAsia"/>
                <w:color w:val="auto"/>
                <w:sz w:val="24"/>
                <w:szCs w:val="24"/>
                <w:lang w:val="zh-CN"/>
              </w:rPr>
              <w:t>）</w:t>
            </w:r>
            <w:r>
              <w:rPr>
                <w:color w:val="auto"/>
                <w:sz w:val="24"/>
                <w:szCs w:val="24"/>
              </w:rPr>
              <w:t>中</w:t>
            </w:r>
            <w:r>
              <w:rPr>
                <w:rFonts w:hint="eastAsia"/>
                <w:color w:val="auto"/>
                <w:sz w:val="24"/>
                <w:szCs w:val="24"/>
                <w:lang w:eastAsia="zh-CN"/>
              </w:rPr>
              <w:t>“</w:t>
            </w:r>
            <w:r>
              <w:rPr>
                <w:color w:val="auto"/>
                <w:sz w:val="24"/>
                <w:szCs w:val="24"/>
              </w:rPr>
              <w:t>203木质制品制造行业系数手册—203木质制品制造行业系数表（续1）</w:t>
            </w:r>
            <w:r>
              <w:rPr>
                <w:rFonts w:hint="eastAsia"/>
                <w:color w:val="auto"/>
                <w:sz w:val="24"/>
                <w:szCs w:val="24"/>
                <w:lang w:val="zh-CN"/>
              </w:rPr>
              <w:t>”</w:t>
            </w:r>
            <w:r>
              <w:rPr>
                <w:color w:val="auto"/>
                <w:sz w:val="24"/>
                <w:szCs w:val="24"/>
              </w:rPr>
              <w:t>—</w:t>
            </w:r>
            <w:r>
              <w:rPr>
                <w:rFonts w:hint="eastAsia"/>
                <w:color w:val="auto"/>
                <w:sz w:val="24"/>
                <w:szCs w:val="24"/>
                <w:lang w:eastAsia="zh-CN"/>
              </w:rPr>
              <w:t>机加工：</w:t>
            </w:r>
            <w:r>
              <w:rPr>
                <w:color w:val="auto"/>
                <w:sz w:val="24"/>
                <w:szCs w:val="24"/>
              </w:rPr>
              <w:t>切割、打孔、开槽工序颗粒物的产污系数为45×10</w:t>
            </w:r>
            <w:r>
              <w:rPr>
                <w:color w:val="auto"/>
                <w:sz w:val="24"/>
                <w:szCs w:val="24"/>
                <w:vertAlign w:val="superscript"/>
              </w:rPr>
              <w:t>-3</w:t>
            </w:r>
            <w:r>
              <w:rPr>
                <w:color w:val="auto"/>
                <w:sz w:val="24"/>
                <w:szCs w:val="24"/>
              </w:rPr>
              <w:t>千克/立方米-产品。本项目生产木地板</w:t>
            </w:r>
            <w:r>
              <w:rPr>
                <w:rFonts w:hint="eastAsia"/>
                <w:color w:val="auto"/>
                <w:sz w:val="24"/>
                <w:szCs w:val="24"/>
                <w:lang w:val="en-US" w:eastAsia="zh-CN"/>
              </w:rPr>
              <w:t>3000</w:t>
            </w:r>
            <w:r>
              <w:rPr>
                <w:color w:val="auto"/>
                <w:sz w:val="24"/>
                <w:szCs w:val="24"/>
              </w:rPr>
              <w:t>m</w:t>
            </w:r>
            <w:r>
              <w:rPr>
                <w:color w:val="auto"/>
                <w:sz w:val="24"/>
                <w:szCs w:val="24"/>
                <w:vertAlign w:val="superscript"/>
              </w:rPr>
              <w:t>3</w:t>
            </w:r>
            <w:r>
              <w:rPr>
                <w:color w:val="auto"/>
                <w:sz w:val="24"/>
                <w:szCs w:val="24"/>
              </w:rPr>
              <w:t>/a，则</w:t>
            </w:r>
            <w:r>
              <w:rPr>
                <w:rFonts w:hint="eastAsia"/>
                <w:color w:val="auto"/>
                <w:sz w:val="24"/>
                <w:szCs w:val="24"/>
                <w:lang w:eastAsia="zh-CN"/>
              </w:rPr>
              <w:t>梳齿</w:t>
            </w:r>
            <w:r>
              <w:rPr>
                <w:color w:val="auto"/>
                <w:sz w:val="24"/>
                <w:szCs w:val="24"/>
              </w:rPr>
              <w:t>过程中颗粒物产生量为</w:t>
            </w:r>
            <w:r>
              <w:rPr>
                <w:rFonts w:hint="eastAsia"/>
                <w:color w:val="auto"/>
                <w:sz w:val="24"/>
                <w:szCs w:val="24"/>
                <w:lang w:val="en-US" w:eastAsia="zh-CN"/>
              </w:rPr>
              <w:t>0.135</w:t>
            </w:r>
            <w:r>
              <w:rPr>
                <w:color w:val="auto"/>
                <w:sz w:val="24"/>
                <w:szCs w:val="24"/>
              </w:rPr>
              <w:t>t/a。</w:t>
            </w:r>
          </w:p>
          <w:p w14:paraId="1886B732">
            <w:pPr>
              <w:ind w:firstLine="480" w:firstLineChars="200"/>
              <w:rPr>
                <w:color w:val="auto"/>
                <w:sz w:val="24"/>
                <w:szCs w:val="24"/>
                <w:lang w:val="zh-CN"/>
              </w:rPr>
            </w:pPr>
            <w:r>
              <w:rPr>
                <w:color w:val="auto"/>
                <w:sz w:val="24"/>
                <w:szCs w:val="24"/>
              </w:rPr>
              <w:t>本项目在砂光过程中有粉尘产生，根据《排放源统计调查产排污核算方法和系数手册》</w:t>
            </w:r>
            <w:r>
              <w:rPr>
                <w:rFonts w:hint="eastAsia"/>
                <w:color w:val="auto"/>
                <w:sz w:val="24"/>
                <w:szCs w:val="24"/>
                <w:lang w:val="zh-CN"/>
              </w:rPr>
              <w:t>（环境部公告</w:t>
            </w:r>
            <w:r>
              <w:rPr>
                <w:rFonts w:hint="eastAsia"/>
                <w:color w:val="auto"/>
                <w:sz w:val="24"/>
                <w:szCs w:val="24"/>
                <w:lang w:val="en-US" w:eastAsia="zh-CN"/>
              </w:rPr>
              <w:t xml:space="preserve"> 2021年 第24号</w:t>
            </w:r>
            <w:r>
              <w:rPr>
                <w:rFonts w:hint="eastAsia"/>
                <w:color w:val="auto"/>
                <w:sz w:val="24"/>
                <w:szCs w:val="24"/>
                <w:lang w:val="zh-CN"/>
              </w:rPr>
              <w:t>）</w:t>
            </w:r>
            <w:r>
              <w:rPr>
                <w:color w:val="auto"/>
                <w:sz w:val="24"/>
                <w:szCs w:val="24"/>
              </w:rPr>
              <w:t>中</w:t>
            </w:r>
            <w:r>
              <w:rPr>
                <w:rFonts w:hint="eastAsia"/>
                <w:color w:val="auto"/>
                <w:sz w:val="24"/>
                <w:szCs w:val="24"/>
                <w:lang w:eastAsia="zh-CN"/>
              </w:rPr>
              <w:t>“</w:t>
            </w:r>
            <w:r>
              <w:rPr>
                <w:color w:val="auto"/>
                <w:sz w:val="24"/>
                <w:szCs w:val="24"/>
              </w:rPr>
              <w:t>203木质制品制造行业系数手册—203木质制品制造行业系数表（续4）</w:t>
            </w:r>
            <w:r>
              <w:rPr>
                <w:rFonts w:hint="eastAsia"/>
                <w:color w:val="auto"/>
                <w:sz w:val="24"/>
                <w:szCs w:val="24"/>
                <w:lang w:eastAsia="zh-CN"/>
              </w:rPr>
              <w:t>”</w:t>
            </w:r>
            <w:r>
              <w:rPr>
                <w:color w:val="auto"/>
                <w:sz w:val="24"/>
                <w:szCs w:val="24"/>
              </w:rPr>
              <w:t>—砂光/打磨工序颗粒物的产污系数为1.52千克/立方米-产品。本项目生产木地板</w:t>
            </w:r>
            <w:r>
              <w:rPr>
                <w:rFonts w:hint="eastAsia"/>
                <w:color w:val="auto"/>
                <w:sz w:val="24"/>
                <w:szCs w:val="24"/>
                <w:lang w:val="en-US" w:eastAsia="zh-CN"/>
              </w:rPr>
              <w:t>3000</w:t>
            </w:r>
            <w:r>
              <w:rPr>
                <w:color w:val="auto"/>
                <w:sz w:val="24"/>
                <w:szCs w:val="24"/>
              </w:rPr>
              <w:t>m</w:t>
            </w:r>
            <w:r>
              <w:rPr>
                <w:color w:val="auto"/>
                <w:sz w:val="24"/>
                <w:szCs w:val="24"/>
                <w:vertAlign w:val="superscript"/>
              </w:rPr>
              <w:t>3</w:t>
            </w:r>
            <w:r>
              <w:rPr>
                <w:color w:val="auto"/>
                <w:sz w:val="24"/>
                <w:szCs w:val="24"/>
              </w:rPr>
              <w:t>/a，则砂光过程中颗粒物产生量为</w:t>
            </w:r>
            <w:r>
              <w:rPr>
                <w:rFonts w:hint="eastAsia"/>
                <w:color w:val="auto"/>
                <w:sz w:val="24"/>
                <w:szCs w:val="24"/>
                <w:lang w:val="en-US" w:eastAsia="zh-CN"/>
              </w:rPr>
              <w:t>4.56</w:t>
            </w:r>
            <w:r>
              <w:rPr>
                <w:color w:val="auto"/>
                <w:sz w:val="24"/>
                <w:szCs w:val="24"/>
              </w:rPr>
              <w:t>t/a。</w:t>
            </w:r>
          </w:p>
          <w:p w14:paraId="1424F382">
            <w:pPr>
              <w:ind w:firstLine="480" w:firstLineChars="200"/>
              <w:rPr>
                <w:color w:val="auto"/>
                <w:sz w:val="24"/>
                <w:szCs w:val="24"/>
              </w:rPr>
            </w:pPr>
            <w:r>
              <w:rPr>
                <w:color w:val="auto"/>
                <w:sz w:val="24"/>
                <w:szCs w:val="24"/>
              </w:rPr>
              <w:t>本项目在开槽过程中有粉尘产生，根据《排放源统计调查产排污核算方法和系数手册》</w:t>
            </w:r>
            <w:r>
              <w:rPr>
                <w:rFonts w:hint="eastAsia"/>
                <w:color w:val="auto"/>
                <w:sz w:val="24"/>
                <w:szCs w:val="24"/>
                <w:lang w:val="zh-CN"/>
              </w:rPr>
              <w:t>（环境部公告</w:t>
            </w:r>
            <w:r>
              <w:rPr>
                <w:rFonts w:hint="eastAsia"/>
                <w:color w:val="auto"/>
                <w:sz w:val="24"/>
                <w:szCs w:val="24"/>
                <w:lang w:val="en-US" w:eastAsia="zh-CN"/>
              </w:rPr>
              <w:t xml:space="preserve"> 2021年 第24号</w:t>
            </w:r>
            <w:r>
              <w:rPr>
                <w:rFonts w:hint="eastAsia"/>
                <w:color w:val="auto"/>
                <w:sz w:val="24"/>
                <w:szCs w:val="24"/>
                <w:lang w:val="zh-CN"/>
              </w:rPr>
              <w:t>）</w:t>
            </w:r>
            <w:r>
              <w:rPr>
                <w:color w:val="auto"/>
                <w:sz w:val="24"/>
                <w:szCs w:val="24"/>
              </w:rPr>
              <w:t>中</w:t>
            </w:r>
            <w:r>
              <w:rPr>
                <w:rFonts w:hint="eastAsia"/>
                <w:color w:val="auto"/>
                <w:sz w:val="24"/>
                <w:szCs w:val="24"/>
                <w:lang w:eastAsia="zh-CN"/>
              </w:rPr>
              <w:t>“</w:t>
            </w:r>
            <w:r>
              <w:rPr>
                <w:color w:val="auto"/>
                <w:sz w:val="24"/>
                <w:szCs w:val="24"/>
              </w:rPr>
              <w:t>203木质制品制造行业系数手册—203木质制品制造行业系数表（续1）</w:t>
            </w:r>
            <w:r>
              <w:rPr>
                <w:rFonts w:hint="eastAsia"/>
                <w:color w:val="auto"/>
                <w:sz w:val="24"/>
                <w:szCs w:val="24"/>
                <w:lang w:eastAsia="zh-CN"/>
              </w:rPr>
              <w:t>”</w:t>
            </w:r>
            <w:r>
              <w:rPr>
                <w:color w:val="auto"/>
                <w:sz w:val="24"/>
                <w:szCs w:val="24"/>
              </w:rPr>
              <w:t>—</w:t>
            </w:r>
            <w:r>
              <w:rPr>
                <w:rFonts w:hint="eastAsia"/>
                <w:color w:val="auto"/>
                <w:sz w:val="24"/>
                <w:szCs w:val="24"/>
                <w:lang w:eastAsia="zh-CN"/>
              </w:rPr>
              <w:t>机加工：</w:t>
            </w:r>
            <w:r>
              <w:rPr>
                <w:color w:val="auto"/>
                <w:sz w:val="24"/>
                <w:szCs w:val="24"/>
              </w:rPr>
              <w:t>切割、打孔、开槽工序颗粒物的产污系数为45×10</w:t>
            </w:r>
            <w:r>
              <w:rPr>
                <w:color w:val="auto"/>
                <w:sz w:val="24"/>
                <w:szCs w:val="24"/>
                <w:vertAlign w:val="superscript"/>
              </w:rPr>
              <w:t>-3</w:t>
            </w:r>
            <w:r>
              <w:rPr>
                <w:color w:val="auto"/>
                <w:sz w:val="24"/>
                <w:szCs w:val="24"/>
              </w:rPr>
              <w:t>千克/立方米-产品。本项目生产木地板</w:t>
            </w:r>
            <w:r>
              <w:rPr>
                <w:rFonts w:hint="eastAsia"/>
                <w:color w:val="auto"/>
                <w:sz w:val="24"/>
                <w:szCs w:val="24"/>
                <w:lang w:val="en-US" w:eastAsia="zh-CN"/>
              </w:rPr>
              <w:t>3000</w:t>
            </w:r>
            <w:r>
              <w:rPr>
                <w:color w:val="auto"/>
                <w:sz w:val="24"/>
                <w:szCs w:val="24"/>
              </w:rPr>
              <w:t>m</w:t>
            </w:r>
            <w:r>
              <w:rPr>
                <w:color w:val="auto"/>
                <w:sz w:val="24"/>
                <w:szCs w:val="24"/>
                <w:vertAlign w:val="superscript"/>
              </w:rPr>
              <w:t>3</w:t>
            </w:r>
            <w:r>
              <w:rPr>
                <w:color w:val="auto"/>
                <w:sz w:val="24"/>
                <w:szCs w:val="24"/>
              </w:rPr>
              <w:t>/a，则开槽过程中颗粒物产生量为</w:t>
            </w:r>
            <w:r>
              <w:rPr>
                <w:rFonts w:hint="eastAsia"/>
                <w:color w:val="auto"/>
                <w:sz w:val="24"/>
                <w:szCs w:val="24"/>
                <w:lang w:val="en-US" w:eastAsia="zh-CN"/>
              </w:rPr>
              <w:t>0.135</w:t>
            </w:r>
            <w:r>
              <w:rPr>
                <w:color w:val="auto"/>
                <w:sz w:val="24"/>
                <w:szCs w:val="24"/>
              </w:rPr>
              <w:t>t/a。</w:t>
            </w:r>
          </w:p>
          <w:p w14:paraId="04362F8D">
            <w:pPr>
              <w:ind w:firstLine="480" w:firstLineChars="200"/>
              <w:rPr>
                <w:color w:val="auto"/>
                <w:sz w:val="24"/>
                <w:szCs w:val="24"/>
              </w:rPr>
            </w:pPr>
            <w:r>
              <w:rPr>
                <w:color w:val="auto"/>
                <w:sz w:val="24"/>
                <w:szCs w:val="24"/>
              </w:rPr>
              <w:t>本项目在</w:t>
            </w:r>
            <w:r>
              <w:rPr>
                <w:rFonts w:hint="eastAsia"/>
                <w:color w:val="auto"/>
                <w:sz w:val="24"/>
                <w:szCs w:val="24"/>
                <w:lang w:eastAsia="zh-CN"/>
              </w:rPr>
              <w:t>轻</w:t>
            </w:r>
            <w:r>
              <w:rPr>
                <w:color w:val="auto"/>
                <w:sz w:val="24"/>
                <w:szCs w:val="24"/>
              </w:rPr>
              <w:t>砂光过程中有粉尘产生，根据《排放源统计调查产排污核算方法和系数手册》</w:t>
            </w:r>
            <w:r>
              <w:rPr>
                <w:rFonts w:hint="eastAsia"/>
                <w:color w:val="auto"/>
                <w:sz w:val="24"/>
                <w:szCs w:val="24"/>
                <w:lang w:val="zh-CN"/>
              </w:rPr>
              <w:t>（环境部公告</w:t>
            </w:r>
            <w:r>
              <w:rPr>
                <w:rFonts w:hint="eastAsia"/>
                <w:color w:val="auto"/>
                <w:sz w:val="24"/>
                <w:szCs w:val="24"/>
                <w:lang w:val="en-US" w:eastAsia="zh-CN"/>
              </w:rPr>
              <w:t xml:space="preserve"> 2021年 第24号</w:t>
            </w:r>
            <w:r>
              <w:rPr>
                <w:rFonts w:hint="eastAsia"/>
                <w:color w:val="auto"/>
                <w:sz w:val="24"/>
                <w:szCs w:val="24"/>
                <w:lang w:val="zh-CN"/>
              </w:rPr>
              <w:t>）</w:t>
            </w:r>
            <w:r>
              <w:rPr>
                <w:color w:val="auto"/>
                <w:sz w:val="24"/>
                <w:szCs w:val="24"/>
              </w:rPr>
              <w:t>中</w:t>
            </w:r>
            <w:r>
              <w:rPr>
                <w:rFonts w:hint="eastAsia"/>
                <w:color w:val="auto"/>
                <w:sz w:val="24"/>
                <w:szCs w:val="24"/>
                <w:lang w:eastAsia="zh-CN"/>
              </w:rPr>
              <w:t>“</w:t>
            </w:r>
            <w:r>
              <w:rPr>
                <w:color w:val="auto"/>
                <w:sz w:val="24"/>
                <w:szCs w:val="24"/>
              </w:rPr>
              <w:t>203木质制品制造行业系数手册—203木质制品制造行业系数表（续4）</w:t>
            </w:r>
            <w:r>
              <w:rPr>
                <w:rFonts w:hint="eastAsia"/>
                <w:color w:val="auto"/>
                <w:sz w:val="24"/>
                <w:szCs w:val="24"/>
                <w:lang w:eastAsia="zh-CN"/>
              </w:rPr>
              <w:t>”</w:t>
            </w:r>
            <w:r>
              <w:rPr>
                <w:color w:val="auto"/>
                <w:sz w:val="24"/>
                <w:szCs w:val="24"/>
              </w:rPr>
              <w:t>—砂光/打磨工序颗粒物的产污系数为1.52千克/立方米-产品。本项目生产木地板</w:t>
            </w:r>
            <w:r>
              <w:rPr>
                <w:rFonts w:hint="eastAsia"/>
                <w:color w:val="auto"/>
                <w:sz w:val="24"/>
                <w:szCs w:val="24"/>
                <w:lang w:val="en-US" w:eastAsia="zh-CN"/>
              </w:rPr>
              <w:t>3000</w:t>
            </w:r>
            <w:r>
              <w:rPr>
                <w:color w:val="auto"/>
                <w:sz w:val="24"/>
                <w:szCs w:val="24"/>
              </w:rPr>
              <w:t>m</w:t>
            </w:r>
            <w:r>
              <w:rPr>
                <w:color w:val="auto"/>
                <w:sz w:val="24"/>
                <w:szCs w:val="24"/>
                <w:vertAlign w:val="superscript"/>
              </w:rPr>
              <w:t>3</w:t>
            </w:r>
            <w:r>
              <w:rPr>
                <w:color w:val="auto"/>
                <w:sz w:val="24"/>
                <w:szCs w:val="24"/>
              </w:rPr>
              <w:t>/a，则砂光过程中颗粒物产生量为</w:t>
            </w:r>
            <w:r>
              <w:rPr>
                <w:rFonts w:hint="eastAsia"/>
                <w:color w:val="auto"/>
                <w:sz w:val="24"/>
                <w:szCs w:val="24"/>
                <w:lang w:val="en-US" w:eastAsia="zh-CN"/>
              </w:rPr>
              <w:t>4.56</w:t>
            </w:r>
            <w:r>
              <w:rPr>
                <w:color w:val="auto"/>
                <w:sz w:val="24"/>
                <w:szCs w:val="24"/>
              </w:rPr>
              <w:t>t/a。</w:t>
            </w:r>
          </w:p>
          <w:p w14:paraId="00C1D5F0">
            <w:pPr>
              <w:ind w:firstLine="480" w:firstLineChars="200"/>
              <w:rPr>
                <w:color w:val="auto"/>
                <w:sz w:val="24"/>
                <w:szCs w:val="24"/>
                <w:lang w:val="zh-CN"/>
              </w:rPr>
            </w:pPr>
            <w:r>
              <w:rPr>
                <w:color w:val="auto"/>
                <w:sz w:val="24"/>
                <w:szCs w:val="24"/>
              </w:rPr>
              <w:t>本项目在</w:t>
            </w:r>
            <w:r>
              <w:rPr>
                <w:rFonts w:hint="eastAsia"/>
                <w:color w:val="auto"/>
                <w:sz w:val="24"/>
                <w:szCs w:val="24"/>
                <w:lang w:eastAsia="zh-CN"/>
              </w:rPr>
              <w:t>油砂</w:t>
            </w:r>
            <w:r>
              <w:rPr>
                <w:color w:val="auto"/>
                <w:sz w:val="24"/>
                <w:szCs w:val="24"/>
              </w:rPr>
              <w:t>砂光过程中有粉尘产生，根据《排放源统计调查产排污核算方法和系数手册》</w:t>
            </w:r>
            <w:r>
              <w:rPr>
                <w:rFonts w:hint="eastAsia"/>
                <w:color w:val="auto"/>
                <w:sz w:val="24"/>
                <w:szCs w:val="24"/>
                <w:lang w:val="zh-CN"/>
              </w:rPr>
              <w:t>（环境部公告</w:t>
            </w:r>
            <w:r>
              <w:rPr>
                <w:rFonts w:hint="eastAsia"/>
                <w:color w:val="auto"/>
                <w:sz w:val="24"/>
                <w:szCs w:val="24"/>
                <w:lang w:val="en-US" w:eastAsia="zh-CN"/>
              </w:rPr>
              <w:t xml:space="preserve"> 2021年 第24号</w:t>
            </w:r>
            <w:r>
              <w:rPr>
                <w:rFonts w:hint="eastAsia"/>
                <w:color w:val="auto"/>
                <w:sz w:val="24"/>
                <w:szCs w:val="24"/>
                <w:lang w:val="zh-CN"/>
              </w:rPr>
              <w:t>）</w:t>
            </w:r>
            <w:r>
              <w:rPr>
                <w:color w:val="auto"/>
                <w:sz w:val="24"/>
                <w:szCs w:val="24"/>
              </w:rPr>
              <w:t>中</w:t>
            </w:r>
            <w:r>
              <w:rPr>
                <w:rFonts w:hint="eastAsia"/>
                <w:color w:val="auto"/>
                <w:sz w:val="24"/>
                <w:szCs w:val="24"/>
                <w:lang w:eastAsia="zh-CN"/>
              </w:rPr>
              <w:t>“</w:t>
            </w:r>
            <w:r>
              <w:rPr>
                <w:color w:val="auto"/>
                <w:sz w:val="24"/>
                <w:szCs w:val="24"/>
              </w:rPr>
              <w:t>203木质制品制造行业系数手册—203木质制品制造行业系数表（续4）</w:t>
            </w:r>
            <w:r>
              <w:rPr>
                <w:rFonts w:hint="eastAsia"/>
                <w:color w:val="auto"/>
                <w:sz w:val="24"/>
                <w:szCs w:val="24"/>
                <w:lang w:eastAsia="zh-CN"/>
              </w:rPr>
              <w:t>”</w:t>
            </w:r>
            <w:r>
              <w:rPr>
                <w:color w:val="auto"/>
                <w:sz w:val="24"/>
                <w:szCs w:val="24"/>
              </w:rPr>
              <w:t>—砂光/打磨工序颗粒物的产污系数为1.52千克/立方米-产品。本项目生产木地板</w:t>
            </w:r>
            <w:r>
              <w:rPr>
                <w:rFonts w:hint="eastAsia"/>
                <w:color w:val="auto"/>
                <w:sz w:val="24"/>
                <w:szCs w:val="24"/>
                <w:lang w:val="en-US" w:eastAsia="zh-CN"/>
              </w:rPr>
              <w:t>3000</w:t>
            </w:r>
            <w:r>
              <w:rPr>
                <w:color w:val="auto"/>
                <w:sz w:val="24"/>
                <w:szCs w:val="24"/>
              </w:rPr>
              <w:t>m</w:t>
            </w:r>
            <w:r>
              <w:rPr>
                <w:color w:val="auto"/>
                <w:sz w:val="24"/>
                <w:szCs w:val="24"/>
                <w:vertAlign w:val="superscript"/>
              </w:rPr>
              <w:t>3</w:t>
            </w:r>
            <w:r>
              <w:rPr>
                <w:color w:val="auto"/>
                <w:sz w:val="24"/>
                <w:szCs w:val="24"/>
              </w:rPr>
              <w:t>/a，</w:t>
            </w:r>
            <w:r>
              <w:rPr>
                <w:rFonts w:hint="eastAsia"/>
                <w:color w:val="auto"/>
                <w:sz w:val="24"/>
                <w:szCs w:val="24"/>
                <w:lang w:eastAsia="zh-CN"/>
              </w:rPr>
              <w:t>本项目共经过三次油砂砂光，</w:t>
            </w:r>
            <w:r>
              <w:rPr>
                <w:color w:val="auto"/>
                <w:sz w:val="24"/>
                <w:szCs w:val="24"/>
              </w:rPr>
              <w:t>则</w:t>
            </w:r>
            <w:r>
              <w:rPr>
                <w:rFonts w:hint="eastAsia"/>
                <w:color w:val="auto"/>
                <w:sz w:val="24"/>
                <w:szCs w:val="24"/>
                <w:lang w:eastAsia="zh-CN"/>
              </w:rPr>
              <w:t>油砂</w:t>
            </w:r>
            <w:r>
              <w:rPr>
                <w:color w:val="auto"/>
                <w:sz w:val="24"/>
                <w:szCs w:val="24"/>
              </w:rPr>
              <w:t>砂光过程中颗粒物产生量为</w:t>
            </w:r>
            <w:r>
              <w:rPr>
                <w:rFonts w:hint="eastAsia"/>
                <w:color w:val="auto"/>
                <w:sz w:val="24"/>
                <w:szCs w:val="24"/>
                <w:lang w:val="en-US" w:eastAsia="zh-CN"/>
              </w:rPr>
              <w:t>13.68</w:t>
            </w:r>
            <w:r>
              <w:rPr>
                <w:color w:val="auto"/>
                <w:sz w:val="24"/>
                <w:szCs w:val="24"/>
              </w:rPr>
              <w:t>t/a。</w:t>
            </w:r>
          </w:p>
          <w:p w14:paraId="503F960A">
            <w:pPr>
              <w:bidi w:val="0"/>
              <w:ind w:firstLine="480" w:firstLineChars="200"/>
              <w:rPr>
                <w:rFonts w:hint="eastAsia" w:ascii="Times New Roman" w:hAnsi="Times New Roman" w:eastAsia="宋体" w:cs="Times New Roman"/>
                <w:color w:val="auto"/>
                <w:sz w:val="24"/>
                <w:szCs w:val="24"/>
                <w:lang w:eastAsia="zh-CN"/>
              </w:rPr>
            </w:pPr>
            <w:r>
              <w:rPr>
                <w:rFonts w:hint="eastAsia"/>
                <w:color w:val="auto"/>
                <w:sz w:val="24"/>
                <w:szCs w:val="24"/>
                <w:lang w:eastAsia="zh-CN"/>
              </w:rPr>
              <w:t>本</w:t>
            </w:r>
            <w:r>
              <w:rPr>
                <w:color w:val="auto"/>
                <w:sz w:val="24"/>
                <w:szCs w:val="24"/>
              </w:rPr>
              <w:t>项目木加工颗粒物</w:t>
            </w:r>
            <w:r>
              <w:rPr>
                <w:rFonts w:hint="eastAsia"/>
                <w:color w:val="auto"/>
                <w:sz w:val="24"/>
                <w:szCs w:val="24"/>
                <w:lang w:eastAsia="zh-CN"/>
              </w:rPr>
              <w:t>总</w:t>
            </w:r>
            <w:r>
              <w:rPr>
                <w:color w:val="auto"/>
                <w:sz w:val="24"/>
                <w:szCs w:val="24"/>
              </w:rPr>
              <w:t>产生量为</w:t>
            </w:r>
            <w:r>
              <w:rPr>
                <w:rFonts w:hint="eastAsia"/>
                <w:color w:val="auto"/>
                <w:sz w:val="24"/>
                <w:szCs w:val="24"/>
                <w:lang w:val="en-US" w:eastAsia="zh-CN"/>
              </w:rPr>
              <w:t>28.365t</w:t>
            </w:r>
            <w:r>
              <w:rPr>
                <w:color w:val="auto"/>
                <w:sz w:val="24"/>
                <w:szCs w:val="24"/>
              </w:rPr>
              <w:t>/a</w:t>
            </w:r>
            <w:r>
              <w:rPr>
                <w:rFonts w:hint="eastAsia"/>
                <w:color w:val="auto"/>
                <w:sz w:val="24"/>
                <w:szCs w:val="24"/>
                <w:lang w:eastAsia="zh-CN"/>
              </w:rPr>
              <w:t>。</w:t>
            </w:r>
            <w:r>
              <w:rPr>
                <w:rFonts w:hint="eastAsia" w:ascii="Times New Roman" w:hAnsi="Times New Roman" w:eastAsia="宋体" w:cs="Times New Roman"/>
                <w:color w:val="auto"/>
                <w:sz w:val="24"/>
                <w:szCs w:val="24"/>
                <w:lang w:eastAsia="zh-CN"/>
              </w:rPr>
              <w:t>粉尘先由集气罩收集，送布袋除尘器处理后，经排气筒（</w:t>
            </w:r>
            <w:r>
              <w:rPr>
                <w:rFonts w:hint="eastAsia" w:ascii="Times New Roman" w:hAnsi="Times New Roman" w:eastAsia="宋体" w:cs="Times New Roman"/>
                <w:color w:val="auto"/>
                <w:sz w:val="24"/>
                <w:szCs w:val="24"/>
                <w:lang w:val="en-US" w:eastAsia="zh-CN"/>
              </w:rPr>
              <w:t>DA001-DA004</w:t>
            </w:r>
            <w:r>
              <w:rPr>
                <w:rFonts w:hint="eastAsia" w:ascii="Times New Roman" w:hAnsi="Times New Roman" w:eastAsia="宋体" w:cs="Times New Roman"/>
                <w:color w:val="auto"/>
                <w:sz w:val="24"/>
                <w:szCs w:val="24"/>
                <w:lang w:eastAsia="zh-CN"/>
              </w:rPr>
              <w:t>）排放。布袋截留的粉尘一同收集于木屑料仓，定期清理至一般固废暂存间暂存后外售。</w:t>
            </w:r>
          </w:p>
          <w:p w14:paraId="7E84749F">
            <w:pPr>
              <w:bidi w:val="0"/>
              <w:spacing w:line="360" w:lineRule="auto"/>
              <w:ind w:firstLine="480" w:firstLineChars="200"/>
              <w:jc w:val="both"/>
              <w:rPr>
                <w:color w:val="auto"/>
                <w:sz w:val="24"/>
                <w:szCs w:val="24"/>
              </w:rPr>
            </w:pPr>
            <w:r>
              <w:rPr>
                <w:rFonts w:hint="eastAsia" w:ascii="Times New Roman" w:hAnsi="Times New Roman" w:eastAsia="宋体" w:cs="Times New Roman"/>
                <w:color w:val="auto"/>
                <w:kern w:val="2"/>
                <w:sz w:val="24"/>
                <w:szCs w:val="24"/>
                <w:lang w:val="en-US" w:eastAsia="zh-CN" w:bidi="ar-SA"/>
              </w:rPr>
              <w:t>上述各产尘设备均安装吸尘装置。</w:t>
            </w:r>
            <w:r>
              <w:rPr>
                <w:rFonts w:hint="eastAsia"/>
                <w:color w:val="auto"/>
                <w:sz w:val="24"/>
                <w:highlight w:val="none"/>
              </w:rPr>
              <w:t>根据《袋式除尘工程通用技术规范》</w:t>
            </w:r>
            <w:r>
              <w:rPr>
                <w:rFonts w:hint="eastAsia"/>
                <w:color w:val="auto"/>
                <w:sz w:val="24"/>
                <w:highlight w:val="none"/>
                <w:lang w:eastAsia="zh-CN"/>
              </w:rPr>
              <w:t>（</w:t>
            </w:r>
            <w:r>
              <w:rPr>
                <w:rFonts w:hint="eastAsia"/>
                <w:color w:val="auto"/>
                <w:sz w:val="24"/>
                <w:highlight w:val="none"/>
              </w:rPr>
              <w:t>HJ 2020-2012</w:t>
            </w:r>
            <w:r>
              <w:rPr>
                <w:rFonts w:hint="eastAsia"/>
                <w:color w:val="auto"/>
                <w:sz w:val="24"/>
                <w:highlight w:val="none"/>
                <w:lang w:eastAsia="zh-CN"/>
              </w:rPr>
              <w:t>）</w:t>
            </w:r>
            <w:r>
              <w:rPr>
                <w:rFonts w:hint="eastAsia"/>
                <w:color w:val="auto"/>
                <w:sz w:val="24"/>
                <w:highlight w:val="none"/>
                <w:lang w:val="en-US" w:eastAsia="zh-CN"/>
              </w:rPr>
              <w:t>半封闭式集气罩集气效率应不低于95%，本次评价保守取值为80%（下文同）</w:t>
            </w:r>
            <w:r>
              <w:rPr>
                <w:rFonts w:hint="eastAsia" w:ascii="Times New Roman" w:hAnsi="Times New Roman" w:eastAsia="宋体" w:cs="Times New Roman"/>
                <w:color w:val="auto"/>
                <w:kern w:val="2"/>
                <w:sz w:val="24"/>
                <w:szCs w:val="24"/>
                <w:lang w:val="en-US" w:eastAsia="zh-CN" w:bidi="ar-SA"/>
              </w:rPr>
              <w:t>，布袋除尘器的处理效率取99%。</w:t>
            </w:r>
            <w:r>
              <w:rPr>
                <w:color w:val="auto"/>
                <w:sz w:val="24"/>
                <w:szCs w:val="24"/>
              </w:rPr>
              <w:t>则颗粒物有组织排放量为0.</w:t>
            </w:r>
            <w:r>
              <w:rPr>
                <w:rFonts w:hint="eastAsia"/>
                <w:color w:val="auto"/>
                <w:sz w:val="24"/>
                <w:szCs w:val="24"/>
                <w:lang w:val="en-US" w:eastAsia="zh-CN"/>
              </w:rPr>
              <w:t>227</w:t>
            </w:r>
            <w:r>
              <w:rPr>
                <w:color w:val="auto"/>
                <w:sz w:val="24"/>
                <w:szCs w:val="24"/>
              </w:rPr>
              <w:t>t/a，排放速率为0.</w:t>
            </w:r>
            <w:r>
              <w:rPr>
                <w:rFonts w:hint="eastAsia"/>
                <w:color w:val="auto"/>
                <w:sz w:val="24"/>
                <w:szCs w:val="24"/>
                <w:lang w:val="en-US" w:eastAsia="zh-CN"/>
              </w:rPr>
              <w:t>076</w:t>
            </w:r>
            <w:r>
              <w:rPr>
                <w:color w:val="auto"/>
                <w:sz w:val="24"/>
                <w:szCs w:val="24"/>
              </w:rPr>
              <w:t>kg/h。</w:t>
            </w:r>
          </w:p>
          <w:p w14:paraId="2384735D">
            <w:pPr>
              <w:bidi w:val="0"/>
              <w:spacing w:line="360" w:lineRule="auto"/>
              <w:ind w:firstLine="480" w:firstLineChars="200"/>
              <w:jc w:val="both"/>
              <w:rPr>
                <w:rFonts w:hint="eastAsia"/>
                <w:color w:val="auto"/>
                <w:kern w:val="0"/>
                <w:sz w:val="24"/>
                <w:highlight w:val="none"/>
                <w:lang w:eastAsia="zh-CN" w:bidi="ar"/>
              </w:rPr>
            </w:pPr>
            <w:r>
              <w:rPr>
                <w:color w:val="auto"/>
                <w:sz w:val="24"/>
                <w:szCs w:val="24"/>
              </w:rPr>
              <w:t>未收集的粉尘以无组织形式</w:t>
            </w:r>
            <w:r>
              <w:rPr>
                <w:rFonts w:hint="eastAsia"/>
                <w:color w:val="auto"/>
                <w:sz w:val="24"/>
                <w:szCs w:val="24"/>
                <w:lang w:eastAsia="zh-CN"/>
              </w:rPr>
              <w:t>排放</w:t>
            </w:r>
            <w:r>
              <w:rPr>
                <w:color w:val="auto"/>
                <w:sz w:val="24"/>
                <w:szCs w:val="24"/>
              </w:rPr>
              <w:t>，无组织</w:t>
            </w:r>
            <w:r>
              <w:rPr>
                <w:rFonts w:hint="eastAsia"/>
                <w:color w:val="auto"/>
                <w:sz w:val="24"/>
                <w:szCs w:val="24"/>
                <w:lang w:eastAsia="zh-CN"/>
              </w:rPr>
              <w:t>粉尘产生量</w:t>
            </w:r>
            <w:r>
              <w:rPr>
                <w:color w:val="auto"/>
                <w:sz w:val="24"/>
                <w:szCs w:val="24"/>
              </w:rPr>
              <w:t>为</w:t>
            </w:r>
            <w:r>
              <w:rPr>
                <w:rFonts w:hint="eastAsia"/>
                <w:color w:val="auto"/>
                <w:sz w:val="24"/>
                <w:szCs w:val="24"/>
                <w:lang w:val="en-US" w:eastAsia="zh-CN"/>
              </w:rPr>
              <w:t>5.673</w:t>
            </w:r>
            <w:r>
              <w:rPr>
                <w:color w:val="auto"/>
                <w:sz w:val="24"/>
                <w:szCs w:val="24"/>
              </w:rPr>
              <w:t>t/a</w:t>
            </w:r>
            <w:r>
              <w:rPr>
                <w:rFonts w:hint="eastAsia"/>
                <w:color w:val="auto"/>
                <w:sz w:val="24"/>
                <w:szCs w:val="24"/>
                <w:lang w:eastAsia="zh-CN"/>
              </w:rPr>
              <w:t>。无组织</w:t>
            </w:r>
            <w:r>
              <w:rPr>
                <w:rFonts w:hint="eastAsia" w:ascii="Times New Roman" w:hAnsi="Times New Roman" w:eastAsia="宋体" w:cs="Times New Roman"/>
                <w:color w:val="auto"/>
                <w:sz w:val="24"/>
                <w:lang w:val="en-US" w:eastAsia="zh-CN"/>
              </w:rPr>
              <w:t>粉尘经洒水降尘、封闭厂房等措施后可沉降90%颗粒物，经沉降后无组织颗粒物排放量为</w:t>
            </w:r>
            <w:r>
              <w:rPr>
                <w:rFonts w:hint="eastAsia" w:ascii="Times New Roman" w:hAnsi="Times New Roman" w:eastAsia="宋体" w:cs="Times New Roman"/>
                <w:color w:val="auto"/>
                <w:sz w:val="24"/>
                <w:highlight w:val="none"/>
                <w:lang w:val="en-US" w:eastAsia="zh-CN"/>
              </w:rPr>
              <w:t>0.5673</w:t>
            </w:r>
            <w:r>
              <w:rPr>
                <w:rFonts w:hint="eastAsia" w:ascii="Times New Roman" w:hAnsi="Times New Roman" w:eastAsia="宋体" w:cs="Times New Roman"/>
                <w:color w:val="auto"/>
                <w:sz w:val="24"/>
                <w:lang w:val="en-US" w:eastAsia="zh-CN"/>
              </w:rPr>
              <w:t>t/a，沉降量为</w:t>
            </w:r>
            <w:r>
              <w:rPr>
                <w:rFonts w:hint="eastAsia" w:ascii="Times New Roman" w:hAnsi="Times New Roman" w:eastAsia="宋体" w:cs="Times New Roman"/>
                <w:color w:val="auto"/>
                <w:sz w:val="24"/>
                <w:highlight w:val="none"/>
                <w:lang w:val="en-US" w:eastAsia="zh-CN"/>
              </w:rPr>
              <w:t>5.1057</w:t>
            </w:r>
            <w:r>
              <w:rPr>
                <w:rFonts w:hint="eastAsia" w:ascii="Times New Roman" w:hAnsi="Times New Roman" w:eastAsia="宋体" w:cs="Times New Roman"/>
                <w:color w:val="auto"/>
                <w:sz w:val="24"/>
                <w:lang w:val="en-US" w:eastAsia="zh-CN"/>
              </w:rPr>
              <w:t>t/a。</w:t>
            </w:r>
            <w:r>
              <w:rPr>
                <w:rFonts w:ascii="Times New Roman" w:hAnsi="Times New Roman" w:cs="Times New Roman"/>
                <w:color w:val="auto"/>
                <w:sz w:val="24"/>
                <w:highlight w:val="none"/>
                <w:lang w:val="en-US"/>
              </w:rPr>
              <w:t>地面</w:t>
            </w:r>
            <w:r>
              <w:rPr>
                <w:rFonts w:hint="eastAsia" w:ascii="Times New Roman" w:hAnsi="Times New Roman" w:cs="Times New Roman"/>
                <w:color w:val="auto"/>
                <w:sz w:val="24"/>
                <w:highlight w:val="none"/>
                <w:lang w:val="en-US" w:eastAsia="zh-CN"/>
              </w:rPr>
              <w:t>收集</w:t>
            </w:r>
            <w:r>
              <w:rPr>
                <w:rFonts w:ascii="Times New Roman" w:hAnsi="Times New Roman" w:cs="Times New Roman"/>
                <w:color w:val="auto"/>
                <w:sz w:val="24"/>
                <w:highlight w:val="none"/>
                <w:lang w:val="en-US"/>
              </w:rPr>
              <w:t>尘统一收集到一般固废暂存</w:t>
            </w:r>
            <w:r>
              <w:rPr>
                <w:rFonts w:hint="eastAsia" w:ascii="Times New Roman" w:hAnsi="Times New Roman" w:cs="Times New Roman"/>
                <w:color w:val="auto"/>
                <w:sz w:val="24"/>
                <w:highlight w:val="none"/>
                <w:lang w:val="en-US" w:eastAsia="zh-CN"/>
              </w:rPr>
              <w:t>间定期</w:t>
            </w:r>
            <w:r>
              <w:rPr>
                <w:rFonts w:ascii="Times New Roman" w:hAnsi="Times New Roman" w:cs="Times New Roman"/>
                <w:color w:val="auto"/>
                <w:sz w:val="24"/>
                <w:highlight w:val="none"/>
                <w:lang w:val="en-US"/>
              </w:rPr>
              <w:t>外售</w:t>
            </w:r>
            <w:r>
              <w:rPr>
                <w:rFonts w:hint="eastAsia"/>
                <w:color w:val="auto"/>
                <w:sz w:val="24"/>
                <w:szCs w:val="24"/>
              </w:rPr>
              <w:t>。</w:t>
            </w:r>
          </w:p>
          <w:p w14:paraId="1B0676D8">
            <w:pPr>
              <w:ind w:firstLine="480" w:firstLineChars="200"/>
              <w:rPr>
                <w:rFonts w:hint="default" w:eastAsia="宋体"/>
                <w:b w:val="0"/>
                <w:bCs w:val="0"/>
                <w:color w:val="auto"/>
                <w:sz w:val="24"/>
                <w:szCs w:val="24"/>
                <w:lang w:val="en-US" w:eastAsia="zh-CN"/>
              </w:rPr>
            </w:pPr>
            <w:r>
              <w:rPr>
                <w:rFonts w:hint="eastAsia" w:eastAsia="宋体"/>
                <w:b w:val="0"/>
                <w:bCs w:val="0"/>
                <w:color w:val="auto"/>
                <w:sz w:val="24"/>
                <w:szCs w:val="24"/>
                <w:lang w:val="en-US" w:eastAsia="zh-CN"/>
              </w:rPr>
              <w:t>本项目木加工时有组织颗粒物产生及排放情况见下表。</w:t>
            </w:r>
          </w:p>
          <w:p w14:paraId="1D6E8C33">
            <w:pPr>
              <w:pStyle w:val="68"/>
              <w:numPr>
                <w:ilvl w:val="0"/>
                <w:numId w:val="19"/>
              </w:numPr>
              <w:spacing w:line="360" w:lineRule="auto"/>
              <w:ind w:left="0" w:leftChars="0" w:firstLine="0" w:firstLineChars="0"/>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  本项目有组织颗粒物产生及排放情况一览表</w:t>
            </w:r>
          </w:p>
          <w:tbl>
            <w:tblPr>
              <w:tblStyle w:val="2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0"/>
              <w:gridCol w:w="935"/>
              <w:gridCol w:w="902"/>
              <w:gridCol w:w="808"/>
              <w:gridCol w:w="784"/>
              <w:gridCol w:w="786"/>
              <w:gridCol w:w="1002"/>
              <w:gridCol w:w="723"/>
              <w:gridCol w:w="794"/>
              <w:gridCol w:w="887"/>
            </w:tblGrid>
            <w:tr w14:paraId="00BEE5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96" w:type="pct"/>
                  <w:vMerge w:val="restart"/>
                  <w:noWrap w:val="0"/>
                  <w:vAlign w:val="center"/>
                </w:tcPr>
                <w:p w14:paraId="4D89D7FE">
                  <w:pPr>
                    <w:spacing w:line="240" w:lineRule="auto"/>
                    <w:jc w:val="center"/>
                    <w:rPr>
                      <w:rFonts w:hint="eastAsia" w:ascii="Times New Roman" w:hAnsi="Times New Roman" w:eastAsia="宋体" w:cs="Times New Roman"/>
                      <w:b/>
                      <w:color w:val="auto"/>
                      <w:sz w:val="21"/>
                      <w:szCs w:val="21"/>
                      <w:lang w:eastAsia="zh-CN"/>
                    </w:rPr>
                  </w:pPr>
                  <w:r>
                    <w:rPr>
                      <w:rFonts w:hint="eastAsia" w:ascii="Times New Roman" w:hAnsi="Times New Roman" w:eastAsia="宋体" w:cs="Times New Roman"/>
                      <w:b/>
                      <w:color w:val="auto"/>
                      <w:sz w:val="21"/>
                      <w:szCs w:val="21"/>
                      <w:lang w:eastAsia="zh-CN"/>
                    </w:rPr>
                    <w:t>工序</w:t>
                  </w:r>
                </w:p>
              </w:tc>
              <w:tc>
                <w:tcPr>
                  <w:tcW w:w="552" w:type="pct"/>
                  <w:vMerge w:val="restart"/>
                  <w:noWrap w:val="0"/>
                  <w:vAlign w:val="center"/>
                </w:tcPr>
                <w:p w14:paraId="33F9B649">
                  <w:pPr>
                    <w:spacing w:line="240" w:lineRule="auto"/>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污染物</w:t>
                  </w:r>
                </w:p>
              </w:tc>
              <w:tc>
                <w:tcPr>
                  <w:tcW w:w="533" w:type="pct"/>
                  <w:vMerge w:val="restart"/>
                  <w:noWrap w:val="0"/>
                  <w:vAlign w:val="center"/>
                </w:tcPr>
                <w:p w14:paraId="2B183423">
                  <w:pPr>
                    <w:spacing w:line="240" w:lineRule="auto"/>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排气筒编号</w:t>
                  </w:r>
                </w:p>
              </w:tc>
              <w:tc>
                <w:tcPr>
                  <w:tcW w:w="477" w:type="pct"/>
                  <w:vMerge w:val="restart"/>
                  <w:noWrap w:val="0"/>
                  <w:vAlign w:val="center"/>
                </w:tcPr>
                <w:p w14:paraId="5FB5DDDB">
                  <w:pPr>
                    <w:spacing w:line="240" w:lineRule="auto"/>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废气量m</w:t>
                  </w:r>
                  <w:r>
                    <w:rPr>
                      <w:rFonts w:hint="default" w:ascii="Times New Roman" w:hAnsi="Times New Roman" w:eastAsia="宋体" w:cs="Times New Roman"/>
                      <w:b/>
                      <w:color w:val="auto"/>
                      <w:sz w:val="21"/>
                      <w:szCs w:val="21"/>
                      <w:vertAlign w:val="superscript"/>
                    </w:rPr>
                    <w:t>3</w:t>
                  </w:r>
                  <w:r>
                    <w:rPr>
                      <w:rFonts w:hint="default" w:ascii="Times New Roman" w:hAnsi="Times New Roman" w:eastAsia="宋体" w:cs="Times New Roman"/>
                      <w:b/>
                      <w:color w:val="auto"/>
                      <w:sz w:val="21"/>
                      <w:szCs w:val="21"/>
                    </w:rPr>
                    <w:t>/h</w:t>
                  </w:r>
                </w:p>
              </w:tc>
              <w:tc>
                <w:tcPr>
                  <w:tcW w:w="1519" w:type="pct"/>
                  <w:gridSpan w:val="3"/>
                  <w:noWrap w:val="0"/>
                  <w:vAlign w:val="center"/>
                </w:tcPr>
                <w:p w14:paraId="613ED197">
                  <w:pPr>
                    <w:spacing w:line="240" w:lineRule="auto"/>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产生情况</w:t>
                  </w:r>
                </w:p>
              </w:tc>
              <w:tc>
                <w:tcPr>
                  <w:tcW w:w="1420" w:type="pct"/>
                  <w:gridSpan w:val="3"/>
                  <w:noWrap w:val="0"/>
                  <w:vAlign w:val="center"/>
                </w:tcPr>
                <w:p w14:paraId="786123C7">
                  <w:pPr>
                    <w:spacing w:line="240" w:lineRule="auto"/>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排放情况</w:t>
                  </w:r>
                </w:p>
              </w:tc>
            </w:tr>
            <w:tr w14:paraId="09AA77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96" w:type="pct"/>
                  <w:vMerge w:val="continue"/>
                  <w:noWrap w:val="0"/>
                  <w:vAlign w:val="center"/>
                </w:tcPr>
                <w:p w14:paraId="5E420B17">
                  <w:pPr>
                    <w:spacing w:line="240" w:lineRule="auto"/>
                    <w:jc w:val="center"/>
                    <w:rPr>
                      <w:rFonts w:hint="default" w:ascii="Times New Roman" w:hAnsi="Times New Roman" w:eastAsia="宋体" w:cs="Times New Roman"/>
                      <w:b/>
                      <w:color w:val="auto"/>
                      <w:sz w:val="21"/>
                      <w:szCs w:val="21"/>
                    </w:rPr>
                  </w:pPr>
                </w:p>
              </w:tc>
              <w:tc>
                <w:tcPr>
                  <w:tcW w:w="552" w:type="pct"/>
                  <w:vMerge w:val="continue"/>
                  <w:noWrap w:val="0"/>
                  <w:vAlign w:val="center"/>
                </w:tcPr>
                <w:p w14:paraId="5639C60E">
                  <w:pPr>
                    <w:spacing w:line="240" w:lineRule="auto"/>
                    <w:jc w:val="center"/>
                    <w:rPr>
                      <w:rFonts w:hint="default" w:ascii="Times New Roman" w:hAnsi="Times New Roman" w:eastAsia="宋体" w:cs="Times New Roman"/>
                      <w:b/>
                      <w:color w:val="auto"/>
                      <w:sz w:val="21"/>
                      <w:szCs w:val="21"/>
                    </w:rPr>
                  </w:pPr>
                </w:p>
              </w:tc>
              <w:tc>
                <w:tcPr>
                  <w:tcW w:w="533" w:type="pct"/>
                  <w:vMerge w:val="continue"/>
                  <w:noWrap w:val="0"/>
                  <w:vAlign w:val="center"/>
                </w:tcPr>
                <w:p w14:paraId="1C607C8D">
                  <w:pPr>
                    <w:spacing w:line="240" w:lineRule="auto"/>
                    <w:jc w:val="center"/>
                    <w:rPr>
                      <w:rFonts w:hint="default" w:ascii="Times New Roman" w:hAnsi="Times New Roman" w:eastAsia="宋体" w:cs="Times New Roman"/>
                      <w:b/>
                      <w:color w:val="auto"/>
                      <w:sz w:val="21"/>
                      <w:szCs w:val="21"/>
                    </w:rPr>
                  </w:pPr>
                </w:p>
              </w:tc>
              <w:tc>
                <w:tcPr>
                  <w:tcW w:w="477" w:type="pct"/>
                  <w:vMerge w:val="continue"/>
                  <w:noWrap w:val="0"/>
                  <w:vAlign w:val="center"/>
                </w:tcPr>
                <w:p w14:paraId="3A00B6A4">
                  <w:pPr>
                    <w:spacing w:line="240" w:lineRule="auto"/>
                    <w:jc w:val="center"/>
                    <w:rPr>
                      <w:rFonts w:hint="default" w:ascii="Times New Roman" w:hAnsi="Times New Roman" w:eastAsia="宋体" w:cs="Times New Roman"/>
                      <w:b/>
                      <w:color w:val="auto"/>
                      <w:sz w:val="21"/>
                      <w:szCs w:val="21"/>
                    </w:rPr>
                  </w:pPr>
                </w:p>
              </w:tc>
              <w:tc>
                <w:tcPr>
                  <w:tcW w:w="463" w:type="pct"/>
                  <w:noWrap w:val="0"/>
                  <w:vAlign w:val="center"/>
                </w:tcPr>
                <w:p w14:paraId="0A474296">
                  <w:pPr>
                    <w:spacing w:line="240" w:lineRule="auto"/>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产生量t/a</w:t>
                  </w:r>
                </w:p>
              </w:tc>
              <w:tc>
                <w:tcPr>
                  <w:tcW w:w="464" w:type="pct"/>
                  <w:noWrap w:val="0"/>
                  <w:vAlign w:val="center"/>
                </w:tcPr>
                <w:p w14:paraId="6D8E1948">
                  <w:pPr>
                    <w:spacing w:line="240" w:lineRule="auto"/>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速率kg/h</w:t>
                  </w:r>
                </w:p>
              </w:tc>
              <w:tc>
                <w:tcPr>
                  <w:tcW w:w="592" w:type="pct"/>
                  <w:noWrap w:val="0"/>
                  <w:vAlign w:val="center"/>
                </w:tcPr>
                <w:p w14:paraId="1129A2B9">
                  <w:pPr>
                    <w:spacing w:line="240" w:lineRule="auto"/>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浓度mg/m</w:t>
                  </w:r>
                  <w:r>
                    <w:rPr>
                      <w:rFonts w:hint="default" w:ascii="Times New Roman" w:hAnsi="Times New Roman" w:eastAsia="宋体" w:cs="Times New Roman"/>
                      <w:b/>
                      <w:color w:val="auto"/>
                      <w:sz w:val="21"/>
                      <w:szCs w:val="21"/>
                      <w:vertAlign w:val="superscript"/>
                    </w:rPr>
                    <w:t>3</w:t>
                  </w:r>
                </w:p>
              </w:tc>
              <w:tc>
                <w:tcPr>
                  <w:tcW w:w="427" w:type="pct"/>
                  <w:noWrap w:val="0"/>
                  <w:vAlign w:val="center"/>
                </w:tcPr>
                <w:p w14:paraId="38EF25CB">
                  <w:pPr>
                    <w:spacing w:line="240" w:lineRule="auto"/>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排放量t/a</w:t>
                  </w:r>
                </w:p>
              </w:tc>
              <w:tc>
                <w:tcPr>
                  <w:tcW w:w="469" w:type="pct"/>
                  <w:noWrap w:val="0"/>
                  <w:vAlign w:val="center"/>
                </w:tcPr>
                <w:p w14:paraId="276BD01A">
                  <w:pPr>
                    <w:spacing w:line="240" w:lineRule="auto"/>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速率kg/h</w:t>
                  </w:r>
                </w:p>
              </w:tc>
              <w:tc>
                <w:tcPr>
                  <w:tcW w:w="524" w:type="pct"/>
                  <w:noWrap w:val="0"/>
                  <w:vAlign w:val="center"/>
                </w:tcPr>
                <w:p w14:paraId="60CC68FF">
                  <w:pPr>
                    <w:spacing w:line="240" w:lineRule="auto"/>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浓度mg/m</w:t>
                  </w:r>
                  <w:r>
                    <w:rPr>
                      <w:rFonts w:hint="default" w:ascii="Times New Roman" w:hAnsi="Times New Roman" w:eastAsia="宋体" w:cs="Times New Roman"/>
                      <w:b/>
                      <w:color w:val="auto"/>
                      <w:sz w:val="21"/>
                      <w:szCs w:val="21"/>
                      <w:vertAlign w:val="superscript"/>
                    </w:rPr>
                    <w:t>3</w:t>
                  </w:r>
                </w:p>
              </w:tc>
            </w:tr>
            <w:tr w14:paraId="0B8939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96" w:type="pct"/>
                  <w:noWrap w:val="0"/>
                  <w:vAlign w:val="center"/>
                </w:tcPr>
                <w:p w14:paraId="616FC8EF">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下料、刨光、</w:t>
                  </w:r>
                  <w:r>
                    <w:rPr>
                      <w:rFonts w:hint="eastAsia" w:ascii="Times New Roman" w:hAnsi="Times New Roman" w:eastAsia="宋体" w:cs="Times New Roman"/>
                      <w:color w:val="auto"/>
                      <w:sz w:val="21"/>
                      <w:szCs w:val="21"/>
                      <w:lang w:eastAsia="zh-CN"/>
                    </w:rPr>
                    <w:t>梳齿指接</w:t>
                  </w:r>
                  <w:r>
                    <w:rPr>
                      <w:rFonts w:hint="default" w:ascii="Times New Roman" w:hAnsi="Times New Roman" w:eastAsia="宋体" w:cs="Times New Roman"/>
                      <w:color w:val="auto"/>
                      <w:sz w:val="21"/>
                      <w:szCs w:val="21"/>
                    </w:rPr>
                    <w:t>）</w:t>
                  </w:r>
                </w:p>
              </w:tc>
              <w:tc>
                <w:tcPr>
                  <w:tcW w:w="552" w:type="pct"/>
                  <w:noWrap w:val="0"/>
                  <w:vAlign w:val="center"/>
                </w:tcPr>
                <w:p w14:paraId="4C6A9102">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颗粒物</w:t>
                  </w:r>
                </w:p>
              </w:tc>
              <w:tc>
                <w:tcPr>
                  <w:tcW w:w="533" w:type="pct"/>
                  <w:noWrap w:val="0"/>
                  <w:vAlign w:val="center"/>
                </w:tcPr>
                <w:p w14:paraId="6E380F76">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DA001</w:t>
                  </w:r>
                </w:p>
              </w:tc>
              <w:tc>
                <w:tcPr>
                  <w:tcW w:w="477" w:type="pct"/>
                  <w:noWrap w:val="0"/>
                  <w:vAlign w:val="center"/>
                </w:tcPr>
                <w:p w14:paraId="1985520E">
                  <w:pPr>
                    <w:widowControl/>
                    <w:spacing w:line="240" w:lineRule="auto"/>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kern w:val="0"/>
                      <w:sz w:val="21"/>
                      <w:szCs w:val="21"/>
                      <w:lang w:val="en-US" w:eastAsia="zh-CN" w:bidi="ar"/>
                    </w:rPr>
                    <w:t>22680</w:t>
                  </w:r>
                </w:p>
              </w:tc>
              <w:tc>
                <w:tcPr>
                  <w:tcW w:w="463" w:type="pct"/>
                  <w:noWrap w:val="0"/>
                  <w:vAlign w:val="center"/>
                </w:tcPr>
                <w:p w14:paraId="0B45B15E">
                  <w:pPr>
                    <w:widowControl/>
                    <w:spacing w:line="240" w:lineRule="auto"/>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5.43</w:t>
                  </w:r>
                </w:p>
              </w:tc>
              <w:tc>
                <w:tcPr>
                  <w:tcW w:w="464" w:type="pct"/>
                  <w:noWrap w:val="0"/>
                  <w:vAlign w:val="center"/>
                </w:tcPr>
                <w:p w14:paraId="5B7D515A">
                  <w:pPr>
                    <w:widowControl/>
                    <w:spacing w:line="240" w:lineRule="auto"/>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1.828</w:t>
                  </w:r>
                </w:p>
              </w:tc>
              <w:tc>
                <w:tcPr>
                  <w:tcW w:w="592" w:type="pct"/>
                  <w:noWrap w:val="0"/>
                  <w:vAlign w:val="center"/>
                </w:tcPr>
                <w:p w14:paraId="16818706">
                  <w:pPr>
                    <w:widowControl/>
                    <w:spacing w:line="240" w:lineRule="auto"/>
                    <w:jc w:val="center"/>
                    <w:textAlignment w:val="center"/>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80.61</w:t>
                  </w:r>
                </w:p>
              </w:tc>
              <w:tc>
                <w:tcPr>
                  <w:tcW w:w="427" w:type="pct"/>
                  <w:noWrap w:val="0"/>
                  <w:vAlign w:val="center"/>
                </w:tcPr>
                <w:p w14:paraId="38292104">
                  <w:pPr>
                    <w:widowControl/>
                    <w:spacing w:line="240" w:lineRule="auto"/>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0.043</w:t>
                  </w:r>
                </w:p>
              </w:tc>
              <w:tc>
                <w:tcPr>
                  <w:tcW w:w="469" w:type="pct"/>
                  <w:noWrap w:val="0"/>
                  <w:vAlign w:val="center"/>
                </w:tcPr>
                <w:p w14:paraId="489B9C06">
                  <w:pPr>
                    <w:widowControl/>
                    <w:spacing w:line="240" w:lineRule="auto"/>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0.014</w:t>
                  </w:r>
                </w:p>
              </w:tc>
              <w:tc>
                <w:tcPr>
                  <w:tcW w:w="524" w:type="pct"/>
                  <w:noWrap w:val="0"/>
                  <w:vAlign w:val="center"/>
                </w:tcPr>
                <w:p w14:paraId="29354C36">
                  <w:pPr>
                    <w:widowControl/>
                    <w:spacing w:line="240" w:lineRule="auto"/>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0.64</w:t>
                  </w:r>
                </w:p>
              </w:tc>
            </w:tr>
            <w:tr w14:paraId="08F152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96" w:type="pct"/>
                  <w:noWrap w:val="0"/>
                  <w:vAlign w:val="center"/>
                </w:tcPr>
                <w:p w14:paraId="60CA53E6">
                  <w:pPr>
                    <w:spacing w:line="240" w:lineRule="auto"/>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砂光</w:t>
                  </w:r>
                </w:p>
              </w:tc>
              <w:tc>
                <w:tcPr>
                  <w:tcW w:w="552" w:type="pct"/>
                  <w:noWrap w:val="0"/>
                  <w:vAlign w:val="center"/>
                </w:tcPr>
                <w:p w14:paraId="0991CE40">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颗粒物</w:t>
                  </w:r>
                </w:p>
              </w:tc>
              <w:tc>
                <w:tcPr>
                  <w:tcW w:w="533" w:type="pct"/>
                  <w:noWrap w:val="0"/>
                  <w:vAlign w:val="center"/>
                </w:tcPr>
                <w:p w14:paraId="331BBF4F">
                  <w:pPr>
                    <w:spacing w:line="240" w:lineRule="auto"/>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DA002</w:t>
                  </w:r>
                </w:p>
              </w:tc>
              <w:tc>
                <w:tcPr>
                  <w:tcW w:w="477" w:type="pct"/>
                  <w:noWrap w:val="0"/>
                  <w:vAlign w:val="center"/>
                </w:tcPr>
                <w:p w14:paraId="06EE2423">
                  <w:pPr>
                    <w:widowControl/>
                    <w:spacing w:line="240" w:lineRule="auto"/>
                    <w:jc w:val="center"/>
                    <w:textAlignment w:val="center"/>
                    <w:rPr>
                      <w:rFonts w:hint="default" w:ascii="Times New Roman" w:hAnsi="Times New Roman" w:eastAsia="宋体" w:cs="Times New Roman"/>
                      <w:color w:val="auto"/>
                      <w:kern w:val="0"/>
                      <w:sz w:val="21"/>
                      <w:szCs w:val="21"/>
                      <w:lang w:val="en-US" w:bidi="ar"/>
                    </w:rPr>
                  </w:pPr>
                  <w:r>
                    <w:rPr>
                      <w:rFonts w:hint="eastAsia" w:ascii="Times New Roman" w:hAnsi="Times New Roman" w:eastAsia="宋体" w:cs="Times New Roman"/>
                      <w:color w:val="auto"/>
                      <w:kern w:val="0"/>
                      <w:sz w:val="21"/>
                      <w:szCs w:val="21"/>
                      <w:lang w:val="en-US" w:eastAsia="zh-CN" w:bidi="ar"/>
                    </w:rPr>
                    <w:t>11592</w:t>
                  </w:r>
                </w:p>
              </w:tc>
              <w:tc>
                <w:tcPr>
                  <w:tcW w:w="463" w:type="pct"/>
                  <w:noWrap w:val="0"/>
                  <w:vAlign w:val="center"/>
                </w:tcPr>
                <w:p w14:paraId="081D0952">
                  <w:pPr>
                    <w:widowControl/>
                    <w:spacing w:line="240" w:lineRule="auto"/>
                    <w:jc w:val="center"/>
                    <w:textAlignment w:val="center"/>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4.56</w:t>
                  </w:r>
                </w:p>
              </w:tc>
              <w:tc>
                <w:tcPr>
                  <w:tcW w:w="464" w:type="pct"/>
                  <w:noWrap w:val="0"/>
                  <w:vAlign w:val="center"/>
                </w:tcPr>
                <w:p w14:paraId="71E6769B">
                  <w:pPr>
                    <w:widowControl/>
                    <w:spacing w:line="240" w:lineRule="auto"/>
                    <w:jc w:val="center"/>
                    <w:textAlignment w:val="center"/>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1.535</w:t>
                  </w:r>
                </w:p>
              </w:tc>
              <w:tc>
                <w:tcPr>
                  <w:tcW w:w="592" w:type="pct"/>
                  <w:noWrap w:val="0"/>
                  <w:vAlign w:val="center"/>
                </w:tcPr>
                <w:p w14:paraId="02E9F450">
                  <w:pPr>
                    <w:widowControl/>
                    <w:spacing w:line="240" w:lineRule="auto"/>
                    <w:jc w:val="center"/>
                    <w:textAlignment w:val="center"/>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132.45</w:t>
                  </w:r>
                </w:p>
              </w:tc>
              <w:tc>
                <w:tcPr>
                  <w:tcW w:w="427" w:type="pct"/>
                  <w:noWrap w:val="0"/>
                  <w:vAlign w:val="center"/>
                </w:tcPr>
                <w:p w14:paraId="657A01DD">
                  <w:pPr>
                    <w:widowControl/>
                    <w:spacing w:line="240" w:lineRule="auto"/>
                    <w:jc w:val="center"/>
                    <w:textAlignment w:val="center"/>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0.037</w:t>
                  </w:r>
                </w:p>
              </w:tc>
              <w:tc>
                <w:tcPr>
                  <w:tcW w:w="469" w:type="pct"/>
                  <w:noWrap w:val="0"/>
                  <w:vAlign w:val="center"/>
                </w:tcPr>
                <w:p w14:paraId="63591D27">
                  <w:pPr>
                    <w:widowControl/>
                    <w:spacing w:line="240" w:lineRule="auto"/>
                    <w:jc w:val="center"/>
                    <w:textAlignment w:val="center"/>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0.012</w:t>
                  </w:r>
                </w:p>
              </w:tc>
              <w:tc>
                <w:tcPr>
                  <w:tcW w:w="524" w:type="pct"/>
                  <w:noWrap w:val="0"/>
                  <w:vAlign w:val="center"/>
                </w:tcPr>
                <w:p w14:paraId="65008C4D">
                  <w:pPr>
                    <w:widowControl/>
                    <w:spacing w:line="240" w:lineRule="auto"/>
                    <w:jc w:val="center"/>
                    <w:textAlignment w:val="center"/>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1.07</w:t>
                  </w:r>
                </w:p>
              </w:tc>
            </w:tr>
            <w:tr w14:paraId="6320FE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96" w:type="pct"/>
                  <w:noWrap w:val="0"/>
                  <w:vAlign w:val="center"/>
                </w:tcPr>
                <w:p w14:paraId="305B00D4">
                  <w:pPr>
                    <w:spacing w:line="240" w:lineRule="auto"/>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轻</w:t>
                  </w:r>
                  <w:r>
                    <w:rPr>
                      <w:rFonts w:hint="default" w:ascii="Times New Roman" w:hAnsi="Times New Roman" w:eastAsia="宋体" w:cs="Times New Roman"/>
                      <w:color w:val="auto"/>
                      <w:sz w:val="21"/>
                      <w:szCs w:val="21"/>
                      <w:lang w:val="en-US" w:eastAsia="zh-CN"/>
                    </w:rPr>
                    <w:t>砂光</w:t>
                  </w:r>
                  <w:r>
                    <w:rPr>
                      <w:rFonts w:hint="eastAsia" w:ascii="Times New Roman" w:hAnsi="Times New Roman" w:eastAsia="宋体" w:cs="Times New Roman"/>
                      <w:color w:val="auto"/>
                      <w:sz w:val="21"/>
                      <w:szCs w:val="21"/>
                      <w:lang w:val="en-US" w:eastAsia="zh-CN"/>
                    </w:rPr>
                    <w:t>、油砂砂光</w:t>
                  </w:r>
                </w:p>
              </w:tc>
              <w:tc>
                <w:tcPr>
                  <w:tcW w:w="552" w:type="pct"/>
                  <w:noWrap w:val="0"/>
                  <w:vAlign w:val="center"/>
                </w:tcPr>
                <w:p w14:paraId="5A142E40">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颗粒物</w:t>
                  </w:r>
                </w:p>
              </w:tc>
              <w:tc>
                <w:tcPr>
                  <w:tcW w:w="533" w:type="pct"/>
                  <w:noWrap w:val="0"/>
                  <w:vAlign w:val="center"/>
                </w:tcPr>
                <w:p w14:paraId="11014149">
                  <w:pPr>
                    <w:spacing w:line="240" w:lineRule="auto"/>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DA00</w:t>
                  </w:r>
                  <w:r>
                    <w:rPr>
                      <w:rFonts w:hint="default" w:ascii="Times New Roman" w:hAnsi="Times New Roman" w:eastAsia="宋体" w:cs="Times New Roman"/>
                      <w:color w:val="auto"/>
                      <w:sz w:val="21"/>
                      <w:szCs w:val="21"/>
                      <w:lang w:val="en-US" w:eastAsia="zh-CN"/>
                    </w:rPr>
                    <w:t>3</w:t>
                  </w:r>
                </w:p>
              </w:tc>
              <w:tc>
                <w:tcPr>
                  <w:tcW w:w="477" w:type="pct"/>
                  <w:noWrap w:val="0"/>
                  <w:vAlign w:val="center"/>
                </w:tcPr>
                <w:p w14:paraId="3846793A">
                  <w:pPr>
                    <w:widowControl/>
                    <w:spacing w:line="240" w:lineRule="auto"/>
                    <w:jc w:val="center"/>
                    <w:textAlignment w:val="center"/>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11592</w:t>
                  </w:r>
                </w:p>
              </w:tc>
              <w:tc>
                <w:tcPr>
                  <w:tcW w:w="463" w:type="pct"/>
                  <w:noWrap w:val="0"/>
                  <w:vAlign w:val="center"/>
                </w:tcPr>
                <w:p w14:paraId="7C68C917">
                  <w:pPr>
                    <w:widowControl/>
                    <w:spacing w:line="240" w:lineRule="auto"/>
                    <w:jc w:val="center"/>
                    <w:textAlignment w:val="center"/>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18.24</w:t>
                  </w:r>
                </w:p>
              </w:tc>
              <w:tc>
                <w:tcPr>
                  <w:tcW w:w="464" w:type="pct"/>
                  <w:noWrap w:val="0"/>
                  <w:vAlign w:val="center"/>
                </w:tcPr>
                <w:p w14:paraId="7AC45820">
                  <w:pPr>
                    <w:widowControl/>
                    <w:spacing w:line="240" w:lineRule="auto"/>
                    <w:jc w:val="center"/>
                    <w:textAlignment w:val="center"/>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6.141</w:t>
                  </w:r>
                </w:p>
              </w:tc>
              <w:tc>
                <w:tcPr>
                  <w:tcW w:w="592" w:type="pct"/>
                  <w:noWrap w:val="0"/>
                  <w:vAlign w:val="center"/>
                </w:tcPr>
                <w:p w14:paraId="4FE68F3B">
                  <w:pPr>
                    <w:widowControl/>
                    <w:spacing w:line="240" w:lineRule="auto"/>
                    <w:jc w:val="center"/>
                    <w:textAlignment w:val="center"/>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529.80</w:t>
                  </w:r>
                </w:p>
              </w:tc>
              <w:tc>
                <w:tcPr>
                  <w:tcW w:w="427" w:type="pct"/>
                  <w:noWrap w:val="0"/>
                  <w:vAlign w:val="center"/>
                </w:tcPr>
                <w:p w14:paraId="504E396B">
                  <w:pPr>
                    <w:widowControl/>
                    <w:spacing w:line="240" w:lineRule="auto"/>
                    <w:jc w:val="center"/>
                    <w:textAlignment w:val="center"/>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0.146</w:t>
                  </w:r>
                </w:p>
              </w:tc>
              <w:tc>
                <w:tcPr>
                  <w:tcW w:w="469" w:type="pct"/>
                  <w:noWrap w:val="0"/>
                  <w:vAlign w:val="center"/>
                </w:tcPr>
                <w:p w14:paraId="6BC05363">
                  <w:pPr>
                    <w:widowControl/>
                    <w:spacing w:line="240" w:lineRule="auto"/>
                    <w:jc w:val="center"/>
                    <w:textAlignment w:val="center"/>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0.049</w:t>
                  </w:r>
                </w:p>
              </w:tc>
              <w:tc>
                <w:tcPr>
                  <w:tcW w:w="524" w:type="pct"/>
                  <w:noWrap w:val="0"/>
                  <w:vAlign w:val="center"/>
                </w:tcPr>
                <w:p w14:paraId="08ED245F">
                  <w:pPr>
                    <w:widowControl/>
                    <w:spacing w:line="240" w:lineRule="auto"/>
                    <w:jc w:val="center"/>
                    <w:textAlignment w:val="center"/>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4.24</w:t>
                  </w:r>
                </w:p>
              </w:tc>
            </w:tr>
            <w:tr w14:paraId="052CDF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96" w:type="pct"/>
                  <w:noWrap w:val="0"/>
                  <w:vAlign w:val="center"/>
                </w:tcPr>
                <w:p w14:paraId="429F2B80">
                  <w:pPr>
                    <w:spacing w:line="240" w:lineRule="auto"/>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开槽</w:t>
                  </w:r>
                </w:p>
              </w:tc>
              <w:tc>
                <w:tcPr>
                  <w:tcW w:w="552" w:type="pct"/>
                  <w:noWrap w:val="0"/>
                  <w:vAlign w:val="center"/>
                </w:tcPr>
                <w:p w14:paraId="66412FF1">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颗粒物</w:t>
                  </w:r>
                </w:p>
              </w:tc>
              <w:tc>
                <w:tcPr>
                  <w:tcW w:w="533" w:type="pct"/>
                  <w:noWrap w:val="0"/>
                  <w:vAlign w:val="center"/>
                </w:tcPr>
                <w:p w14:paraId="32DF28AF">
                  <w:pPr>
                    <w:spacing w:line="24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DA004</w:t>
                  </w:r>
                </w:p>
              </w:tc>
              <w:tc>
                <w:tcPr>
                  <w:tcW w:w="477" w:type="pct"/>
                  <w:noWrap w:val="0"/>
                  <w:vAlign w:val="center"/>
                </w:tcPr>
                <w:p w14:paraId="545525E2">
                  <w:pPr>
                    <w:widowControl/>
                    <w:spacing w:line="240" w:lineRule="auto"/>
                    <w:jc w:val="center"/>
                    <w:textAlignment w:val="center"/>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22680</w:t>
                  </w:r>
                </w:p>
              </w:tc>
              <w:tc>
                <w:tcPr>
                  <w:tcW w:w="463" w:type="pct"/>
                  <w:noWrap w:val="0"/>
                  <w:vAlign w:val="center"/>
                </w:tcPr>
                <w:p w14:paraId="3AF7BCDD">
                  <w:pPr>
                    <w:widowControl/>
                    <w:spacing w:line="240" w:lineRule="auto"/>
                    <w:jc w:val="center"/>
                    <w:textAlignment w:val="center"/>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0.135</w:t>
                  </w:r>
                </w:p>
              </w:tc>
              <w:tc>
                <w:tcPr>
                  <w:tcW w:w="464" w:type="pct"/>
                  <w:noWrap w:val="0"/>
                  <w:vAlign w:val="center"/>
                </w:tcPr>
                <w:p w14:paraId="7D111219">
                  <w:pPr>
                    <w:widowControl/>
                    <w:spacing w:line="240" w:lineRule="auto"/>
                    <w:jc w:val="center"/>
                    <w:textAlignment w:val="center"/>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0.045</w:t>
                  </w:r>
                </w:p>
              </w:tc>
              <w:tc>
                <w:tcPr>
                  <w:tcW w:w="592" w:type="pct"/>
                  <w:noWrap w:val="0"/>
                  <w:vAlign w:val="center"/>
                </w:tcPr>
                <w:p w14:paraId="0837004A">
                  <w:pPr>
                    <w:widowControl/>
                    <w:spacing w:line="240" w:lineRule="auto"/>
                    <w:jc w:val="center"/>
                    <w:textAlignment w:val="center"/>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2.00</w:t>
                  </w:r>
                </w:p>
              </w:tc>
              <w:tc>
                <w:tcPr>
                  <w:tcW w:w="427" w:type="pct"/>
                  <w:noWrap w:val="0"/>
                  <w:vAlign w:val="center"/>
                </w:tcPr>
                <w:p w14:paraId="42C5F9BD">
                  <w:pPr>
                    <w:widowControl/>
                    <w:spacing w:line="240" w:lineRule="auto"/>
                    <w:jc w:val="center"/>
                    <w:textAlignment w:val="center"/>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0.001</w:t>
                  </w:r>
                </w:p>
              </w:tc>
              <w:tc>
                <w:tcPr>
                  <w:tcW w:w="469" w:type="pct"/>
                  <w:noWrap w:val="0"/>
                  <w:vAlign w:val="center"/>
                </w:tcPr>
                <w:p w14:paraId="56FC9638">
                  <w:pPr>
                    <w:widowControl/>
                    <w:spacing w:line="240" w:lineRule="auto"/>
                    <w:jc w:val="center"/>
                    <w:textAlignment w:val="center"/>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0.0003</w:t>
                  </w:r>
                </w:p>
              </w:tc>
              <w:tc>
                <w:tcPr>
                  <w:tcW w:w="524" w:type="pct"/>
                  <w:noWrap w:val="0"/>
                  <w:vAlign w:val="center"/>
                </w:tcPr>
                <w:p w14:paraId="50E444C2">
                  <w:pPr>
                    <w:widowControl/>
                    <w:spacing w:line="240" w:lineRule="auto"/>
                    <w:jc w:val="center"/>
                    <w:textAlignment w:val="center"/>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0.015</w:t>
                  </w:r>
                </w:p>
              </w:tc>
            </w:tr>
          </w:tbl>
          <w:p w14:paraId="005A2E9A">
            <w:pPr>
              <w:pStyle w:val="95"/>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baseline"/>
              <w:rPr>
                <w:rFonts w:hint="eastAsia"/>
                <w:b w:val="0"/>
                <w:bCs w:val="0"/>
                <w:color w:val="auto"/>
                <w:sz w:val="24"/>
                <w:szCs w:val="24"/>
                <w:lang w:eastAsia="zh-CN"/>
              </w:rPr>
            </w:pPr>
          </w:p>
          <w:p w14:paraId="1EFE8514">
            <w:pPr>
              <w:pStyle w:val="95"/>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textAlignment w:val="baseline"/>
              <w:rPr>
                <w:rFonts w:hint="eastAsia"/>
                <w:b w:val="0"/>
                <w:bCs w:val="0"/>
                <w:color w:val="auto"/>
                <w:sz w:val="24"/>
                <w:szCs w:val="24"/>
                <w:lang w:eastAsia="zh-CN"/>
              </w:rPr>
            </w:pPr>
            <w:r>
              <w:rPr>
                <w:rFonts w:hint="default" w:ascii="Times New Roman" w:hAnsi="Times New Roman" w:eastAsia="宋体" w:cs="Times New Roman"/>
                <w:b w:val="0"/>
                <w:bCs w:val="0"/>
                <w:color w:val="auto"/>
                <w:sz w:val="24"/>
                <w:szCs w:val="24"/>
                <w:lang w:eastAsia="zh-CN"/>
              </w:rPr>
              <w:t>②</w:t>
            </w:r>
            <w:r>
              <w:rPr>
                <w:rFonts w:hint="eastAsia"/>
                <w:b w:val="0"/>
                <w:bCs w:val="0"/>
                <w:color w:val="auto"/>
                <w:sz w:val="24"/>
                <w:szCs w:val="24"/>
                <w:lang w:eastAsia="zh-CN"/>
              </w:rPr>
              <w:t>梳齿指接有机废气</w:t>
            </w:r>
          </w:p>
          <w:p w14:paraId="09F09E39">
            <w:pPr>
              <w:ind w:firstLine="480" w:firstLineChars="200"/>
              <w:rPr>
                <w:color w:val="auto"/>
                <w:sz w:val="24"/>
                <w:szCs w:val="24"/>
                <w:lang w:val="zh-CN"/>
              </w:rPr>
            </w:pPr>
            <w:r>
              <w:rPr>
                <w:rFonts w:hint="eastAsia" w:ascii="Times New Roman" w:hAnsi="Times New Roman" w:eastAsia="宋体" w:cs="Times New Roman"/>
                <w:color w:val="auto"/>
                <w:sz w:val="24"/>
                <w:szCs w:val="24"/>
                <w:lang w:eastAsia="zh-CN"/>
              </w:rPr>
              <w:t>利用梳齿机切削木材端面形成齿形结构实现短木料拼接延长，</w:t>
            </w:r>
            <w:r>
              <w:rPr>
                <w:rFonts w:hint="eastAsia"/>
                <w:bCs/>
                <w:color w:val="auto"/>
                <w:sz w:val="24"/>
                <w:szCs w:val="24"/>
                <w:lang w:eastAsia="zh-CN"/>
              </w:rPr>
              <w:t>现场工作人员</w:t>
            </w:r>
            <w:r>
              <w:rPr>
                <w:rFonts w:hint="eastAsia"/>
                <w:bCs/>
                <w:color w:val="auto"/>
                <w:sz w:val="24"/>
                <w:szCs w:val="24"/>
              </w:rPr>
              <w:t>对板材涂</w:t>
            </w:r>
            <w:r>
              <w:rPr>
                <w:rFonts w:hint="eastAsia"/>
                <w:bCs/>
                <w:color w:val="auto"/>
                <w:sz w:val="24"/>
                <w:szCs w:val="24"/>
                <w:lang w:eastAsia="zh-CN"/>
              </w:rPr>
              <w:t>水性木工胶，然后</w:t>
            </w:r>
            <w:r>
              <w:rPr>
                <w:rFonts w:hint="eastAsia"/>
                <w:bCs/>
                <w:color w:val="auto"/>
                <w:sz w:val="24"/>
                <w:szCs w:val="24"/>
              </w:rPr>
              <w:t>采用指接</w:t>
            </w:r>
            <w:r>
              <w:rPr>
                <w:rFonts w:hint="eastAsia"/>
                <w:bCs/>
                <w:color w:val="auto"/>
                <w:sz w:val="24"/>
                <w:szCs w:val="24"/>
                <w:lang w:eastAsia="zh-CN"/>
              </w:rPr>
              <w:t>机将板材</w:t>
            </w:r>
            <w:r>
              <w:rPr>
                <w:rFonts w:hint="eastAsia"/>
                <w:bCs/>
                <w:color w:val="auto"/>
                <w:sz w:val="24"/>
                <w:szCs w:val="24"/>
              </w:rPr>
              <w:t>组合在一起，</w:t>
            </w:r>
            <w:r>
              <w:rPr>
                <w:rFonts w:hint="eastAsia"/>
                <w:bCs/>
                <w:color w:val="auto"/>
                <w:sz w:val="24"/>
                <w:szCs w:val="24"/>
                <w:lang w:eastAsia="zh-CN"/>
              </w:rPr>
              <w:t>使木板</w:t>
            </w:r>
            <w:r>
              <w:rPr>
                <w:rFonts w:hint="eastAsia"/>
                <w:bCs/>
                <w:color w:val="auto"/>
                <w:sz w:val="24"/>
                <w:szCs w:val="24"/>
              </w:rPr>
              <w:t>对齿摆放整齐，加压，并定长。</w:t>
            </w:r>
            <w:r>
              <w:rPr>
                <w:rFonts w:hint="eastAsia"/>
                <w:b w:val="0"/>
                <w:bCs w:val="0"/>
                <w:color w:val="auto"/>
                <w:sz w:val="24"/>
                <w:szCs w:val="24"/>
              </w:rPr>
              <w:t>根据</w:t>
            </w:r>
            <w:r>
              <w:rPr>
                <w:rFonts w:hint="eastAsia"/>
                <w:b w:val="0"/>
                <w:bCs w:val="0"/>
                <w:color w:val="auto"/>
                <w:sz w:val="24"/>
                <w:szCs w:val="24"/>
                <w:lang w:eastAsia="zh-CN"/>
              </w:rPr>
              <w:t>企业提供资料</w:t>
            </w:r>
            <w:r>
              <w:rPr>
                <w:rFonts w:hint="eastAsia"/>
                <w:b w:val="0"/>
                <w:bCs w:val="0"/>
                <w:color w:val="auto"/>
                <w:sz w:val="24"/>
                <w:szCs w:val="24"/>
              </w:rPr>
              <w:t>，木工胶为</w:t>
            </w:r>
            <w:r>
              <w:rPr>
                <w:rFonts w:hint="eastAsia"/>
                <w:color w:val="auto"/>
                <w:sz w:val="24"/>
                <w:szCs w:val="24"/>
              </w:rPr>
              <w:t>聚醋酸乙烯树酯</w:t>
            </w:r>
            <w:r>
              <w:rPr>
                <w:rFonts w:hint="eastAsia"/>
                <w:color w:val="auto"/>
                <w:sz w:val="24"/>
                <w:szCs w:val="24"/>
                <w:lang w:eastAsia="zh-CN"/>
              </w:rPr>
              <w:t>（</w:t>
            </w:r>
            <w:r>
              <w:rPr>
                <w:rFonts w:hint="eastAsia"/>
                <w:color w:val="auto"/>
                <w:sz w:val="24"/>
                <w:szCs w:val="24"/>
                <w:lang w:val="en-US" w:eastAsia="zh-CN"/>
              </w:rPr>
              <w:t>43-47%</w:t>
            </w:r>
            <w:r>
              <w:rPr>
                <w:rFonts w:hint="eastAsia"/>
                <w:color w:val="auto"/>
                <w:sz w:val="24"/>
                <w:szCs w:val="24"/>
                <w:lang w:eastAsia="zh-CN"/>
              </w:rPr>
              <w:t>）和水（</w:t>
            </w:r>
            <w:r>
              <w:rPr>
                <w:rFonts w:hint="eastAsia"/>
                <w:color w:val="auto"/>
                <w:sz w:val="24"/>
                <w:szCs w:val="24"/>
                <w:lang w:val="en-US" w:eastAsia="zh-CN"/>
              </w:rPr>
              <w:t>53-57%</w:t>
            </w:r>
            <w:r>
              <w:rPr>
                <w:rFonts w:hint="eastAsia"/>
                <w:color w:val="auto"/>
                <w:sz w:val="24"/>
                <w:szCs w:val="24"/>
                <w:lang w:eastAsia="zh-CN"/>
              </w:rPr>
              <w:t>）</w:t>
            </w:r>
            <w:r>
              <w:rPr>
                <w:rFonts w:hint="eastAsia"/>
                <w:b w:val="0"/>
                <w:bCs w:val="0"/>
                <w:color w:val="auto"/>
                <w:sz w:val="24"/>
                <w:szCs w:val="24"/>
              </w:rPr>
              <w:t>，</w:t>
            </w:r>
            <w:r>
              <w:rPr>
                <w:rFonts w:ascii="Times New Roman" w:hAnsi="Times New Roman" w:cs="Times New Roman"/>
                <w:color w:val="auto"/>
                <w:sz w:val="24"/>
                <w:szCs w:val="24"/>
                <w:lang w:eastAsia="zh-CN"/>
              </w:rPr>
              <w:t>不含甲醛、甲苯、二甲苯等有害物质，大大降低了对人体和环境的危害。</w:t>
            </w:r>
            <w:r>
              <w:rPr>
                <w:color w:val="auto"/>
                <w:sz w:val="24"/>
                <w:szCs w:val="24"/>
              </w:rPr>
              <w:t>根据《排放源统计调查产排污核算方法和系数手册》</w:t>
            </w:r>
            <w:r>
              <w:rPr>
                <w:rFonts w:hint="eastAsia"/>
                <w:color w:val="auto"/>
                <w:sz w:val="24"/>
                <w:szCs w:val="24"/>
                <w:lang w:val="zh-CN"/>
              </w:rPr>
              <w:t>（环境部公告</w:t>
            </w:r>
            <w:r>
              <w:rPr>
                <w:rFonts w:hint="eastAsia"/>
                <w:color w:val="auto"/>
                <w:sz w:val="24"/>
                <w:szCs w:val="24"/>
                <w:lang w:val="en-US" w:eastAsia="zh-CN"/>
              </w:rPr>
              <w:t xml:space="preserve"> 2021年 第24号</w:t>
            </w:r>
            <w:r>
              <w:rPr>
                <w:rFonts w:hint="eastAsia"/>
                <w:color w:val="auto"/>
                <w:sz w:val="24"/>
                <w:szCs w:val="24"/>
                <w:lang w:val="zh-CN"/>
              </w:rPr>
              <w:t>）</w:t>
            </w:r>
            <w:r>
              <w:rPr>
                <w:color w:val="auto"/>
                <w:sz w:val="24"/>
                <w:szCs w:val="24"/>
              </w:rPr>
              <w:t>中</w:t>
            </w:r>
            <w:r>
              <w:rPr>
                <w:rFonts w:hint="eastAsia"/>
                <w:color w:val="auto"/>
                <w:sz w:val="24"/>
                <w:szCs w:val="24"/>
                <w:lang w:eastAsia="zh-CN"/>
              </w:rPr>
              <w:t>“</w:t>
            </w:r>
            <w:r>
              <w:rPr>
                <w:color w:val="auto"/>
                <w:sz w:val="24"/>
                <w:szCs w:val="24"/>
              </w:rPr>
              <w:t>203木质制品制造行业系数手册—203木质制品制造行业系数表（续</w:t>
            </w:r>
            <w:r>
              <w:rPr>
                <w:rFonts w:hint="eastAsia"/>
                <w:color w:val="auto"/>
                <w:sz w:val="24"/>
                <w:szCs w:val="24"/>
                <w:lang w:val="en-US" w:eastAsia="zh-CN"/>
              </w:rPr>
              <w:t>2</w:t>
            </w:r>
            <w:r>
              <w:rPr>
                <w:color w:val="auto"/>
                <w:sz w:val="24"/>
                <w:szCs w:val="24"/>
              </w:rPr>
              <w:t>）</w:t>
            </w:r>
            <w:r>
              <w:rPr>
                <w:rFonts w:hint="eastAsia"/>
                <w:color w:val="auto"/>
                <w:sz w:val="24"/>
                <w:szCs w:val="24"/>
                <w:lang w:eastAsia="zh-CN"/>
              </w:rPr>
              <w:t>”</w:t>
            </w:r>
            <w:r>
              <w:rPr>
                <w:color w:val="auto"/>
                <w:sz w:val="24"/>
                <w:szCs w:val="24"/>
              </w:rPr>
              <w:t>—</w:t>
            </w:r>
            <w:r>
              <w:rPr>
                <w:rFonts w:hint="eastAsia"/>
                <w:color w:val="auto"/>
                <w:sz w:val="24"/>
                <w:szCs w:val="24"/>
                <w:lang w:eastAsia="zh-CN"/>
              </w:rPr>
              <w:t>施胶（水性）</w:t>
            </w:r>
            <w:r>
              <w:rPr>
                <w:color w:val="auto"/>
                <w:sz w:val="24"/>
                <w:szCs w:val="24"/>
              </w:rPr>
              <w:t>工序</w:t>
            </w:r>
            <w:r>
              <w:rPr>
                <w:rFonts w:hint="eastAsia"/>
                <w:color w:val="auto"/>
                <w:sz w:val="24"/>
                <w:szCs w:val="24"/>
                <w:lang w:eastAsia="zh-CN"/>
              </w:rPr>
              <w:t>挥发性有机物</w:t>
            </w:r>
            <w:r>
              <w:rPr>
                <w:color w:val="auto"/>
                <w:sz w:val="24"/>
                <w:szCs w:val="24"/>
              </w:rPr>
              <w:t>的产污系数为</w:t>
            </w:r>
            <w:r>
              <w:rPr>
                <w:rFonts w:hint="eastAsia"/>
                <w:color w:val="auto"/>
                <w:sz w:val="24"/>
                <w:szCs w:val="24"/>
                <w:lang w:val="en-US" w:eastAsia="zh-CN"/>
              </w:rPr>
              <w:t>2.25</w:t>
            </w:r>
            <w:r>
              <w:rPr>
                <w:color w:val="auto"/>
                <w:sz w:val="24"/>
                <w:szCs w:val="24"/>
              </w:rPr>
              <w:t>克/立方米-产品。本项目生产木地板</w:t>
            </w:r>
            <w:r>
              <w:rPr>
                <w:rFonts w:hint="eastAsia"/>
                <w:color w:val="auto"/>
                <w:sz w:val="24"/>
                <w:szCs w:val="24"/>
                <w:lang w:val="en-US" w:eastAsia="zh-CN"/>
              </w:rPr>
              <w:t>3000</w:t>
            </w:r>
            <w:r>
              <w:rPr>
                <w:color w:val="auto"/>
                <w:sz w:val="24"/>
                <w:szCs w:val="24"/>
              </w:rPr>
              <w:t>m</w:t>
            </w:r>
            <w:r>
              <w:rPr>
                <w:color w:val="auto"/>
                <w:sz w:val="24"/>
                <w:szCs w:val="24"/>
                <w:vertAlign w:val="superscript"/>
              </w:rPr>
              <w:t>3</w:t>
            </w:r>
            <w:r>
              <w:rPr>
                <w:color w:val="auto"/>
                <w:sz w:val="24"/>
                <w:szCs w:val="24"/>
              </w:rPr>
              <w:t>/a，</w:t>
            </w:r>
            <w:r>
              <w:rPr>
                <w:rFonts w:hint="eastAsia"/>
                <w:color w:val="auto"/>
                <w:sz w:val="24"/>
                <w:szCs w:val="24"/>
                <w:lang w:eastAsia="zh-CN"/>
              </w:rPr>
              <w:t>本项目指接工序挥发性有机物</w:t>
            </w:r>
            <w:r>
              <w:rPr>
                <w:color w:val="auto"/>
                <w:sz w:val="24"/>
                <w:szCs w:val="24"/>
              </w:rPr>
              <w:t>产生量为</w:t>
            </w:r>
            <w:r>
              <w:rPr>
                <w:rFonts w:hint="eastAsia"/>
                <w:color w:val="auto"/>
                <w:sz w:val="24"/>
                <w:szCs w:val="24"/>
                <w:lang w:val="en-US" w:eastAsia="zh-CN"/>
              </w:rPr>
              <w:t>0.0068</w:t>
            </w:r>
            <w:r>
              <w:rPr>
                <w:color w:val="auto"/>
                <w:sz w:val="24"/>
                <w:szCs w:val="24"/>
              </w:rPr>
              <w:t>t/a。</w:t>
            </w:r>
          </w:p>
          <w:p w14:paraId="229A3954">
            <w:pPr>
              <w:pStyle w:val="95"/>
              <w:keepNext w:val="0"/>
              <w:keepLines w:val="0"/>
              <w:pageBreakBefore w:val="0"/>
              <w:widowControl w:val="0"/>
              <w:kinsoku/>
              <w:wordWrap/>
              <w:overflowPunct/>
              <w:topLinePunct w:val="0"/>
              <w:autoSpaceDE/>
              <w:autoSpaceDN/>
              <w:bidi w:val="0"/>
              <w:adjustRightInd/>
              <w:snapToGrid/>
              <w:spacing w:line="360" w:lineRule="auto"/>
              <w:ind w:firstLineChars="200"/>
              <w:textAlignment w:val="baseline"/>
              <w:rPr>
                <w:b w:val="0"/>
                <w:bCs w:val="0"/>
                <w:color w:val="auto"/>
                <w:sz w:val="24"/>
                <w:szCs w:val="24"/>
              </w:rPr>
            </w:pPr>
            <w:r>
              <w:rPr>
                <w:rFonts w:hint="eastAsia"/>
                <w:b w:val="0"/>
                <w:bCs w:val="0"/>
                <w:color w:val="auto"/>
                <w:sz w:val="24"/>
                <w:szCs w:val="24"/>
                <w:lang w:eastAsia="zh-CN"/>
              </w:rPr>
              <w:t>本项目不涉及热压作业，</w:t>
            </w:r>
            <w:r>
              <w:rPr>
                <w:rFonts w:hint="eastAsia"/>
                <w:b w:val="0"/>
                <w:bCs w:val="0"/>
                <w:color w:val="auto"/>
                <w:sz w:val="24"/>
                <w:szCs w:val="24"/>
              </w:rPr>
              <w:t>在常温下</w:t>
            </w:r>
            <w:r>
              <w:rPr>
                <w:rFonts w:hint="eastAsia"/>
                <w:b w:val="0"/>
                <w:bCs w:val="0"/>
                <w:color w:val="auto"/>
                <w:sz w:val="24"/>
                <w:szCs w:val="24"/>
                <w:lang w:eastAsia="zh-CN"/>
              </w:rPr>
              <w:t>挥发性有机物</w:t>
            </w:r>
            <w:r>
              <w:rPr>
                <w:rFonts w:hint="eastAsia"/>
                <w:b w:val="0"/>
                <w:bCs w:val="0"/>
                <w:color w:val="auto"/>
                <w:sz w:val="24"/>
                <w:szCs w:val="24"/>
              </w:rPr>
              <w:t>产生量极少，</w:t>
            </w:r>
            <w:r>
              <w:rPr>
                <w:rFonts w:hint="eastAsia"/>
                <w:b w:val="0"/>
                <w:bCs w:val="0"/>
                <w:color w:val="auto"/>
                <w:sz w:val="24"/>
                <w:szCs w:val="24"/>
                <w:lang w:eastAsia="zh-CN"/>
              </w:rPr>
              <w:t>且木工胶用量较少。参考《关于印发&lt;重点行业挥发性有机物综合治理方案&gt;的通知》（环大气〔2019〕53号）中的要求车间或生产设施收集排放的废气，VOCs初始排放速率大于等于3千克/小时、重点区域大于等于2千克/小时的，应配置VOCs处理设施，有组织排放。本项目</w:t>
            </w:r>
            <w:r>
              <w:rPr>
                <w:rFonts w:hint="eastAsia" w:ascii="Times New Roman" w:hAnsi="Times New Roman" w:cs="Times New Roman"/>
                <w:color w:val="auto"/>
                <w:spacing w:val="3"/>
                <w:sz w:val="24"/>
                <w:szCs w:val="24"/>
                <w:lang w:eastAsia="zh-CN"/>
              </w:rPr>
              <w:t>施胶</w:t>
            </w:r>
            <w:r>
              <w:rPr>
                <w:rFonts w:hint="eastAsia"/>
                <w:b w:val="0"/>
                <w:bCs w:val="0"/>
                <w:color w:val="auto"/>
                <w:sz w:val="24"/>
                <w:szCs w:val="24"/>
                <w:lang w:eastAsia="zh-CN"/>
              </w:rPr>
              <w:t>VOCs产生量较少，且排放速率低于3千克/小时，按照要求无需安装环保设施。综上所述，本项目</w:t>
            </w:r>
            <w:r>
              <w:rPr>
                <w:rFonts w:hint="eastAsia" w:ascii="Times New Roman" w:hAnsi="Times New Roman" w:cs="Times New Roman"/>
                <w:color w:val="auto"/>
                <w:spacing w:val="3"/>
                <w:sz w:val="24"/>
                <w:szCs w:val="24"/>
                <w:lang w:eastAsia="zh-CN"/>
              </w:rPr>
              <w:t>施胶工段</w:t>
            </w:r>
            <w:r>
              <w:rPr>
                <w:rFonts w:hint="eastAsia"/>
                <w:b w:val="0"/>
                <w:bCs w:val="0"/>
                <w:color w:val="auto"/>
                <w:sz w:val="24"/>
                <w:szCs w:val="24"/>
                <w:lang w:eastAsia="zh-CN"/>
              </w:rPr>
              <w:t>废气未配置环保设施，采取无组织排放方式排入大气环境。</w:t>
            </w:r>
            <w:r>
              <w:rPr>
                <w:rFonts w:hint="eastAsia" w:ascii="Times New Roman" w:hAnsi="Times New Roman" w:eastAsia="宋体" w:cs="Times New Roman"/>
                <w:color w:val="auto"/>
                <w:kern w:val="2"/>
                <w:sz w:val="24"/>
                <w:szCs w:val="24"/>
                <w:lang w:val="en-US" w:eastAsia="zh-CN" w:bidi="ar-SA"/>
              </w:rPr>
              <w:t>建</w:t>
            </w:r>
            <w:r>
              <w:rPr>
                <w:rFonts w:hint="eastAsia"/>
                <w:b w:val="0"/>
                <w:bCs w:val="0"/>
                <w:color w:val="auto"/>
                <w:sz w:val="24"/>
                <w:szCs w:val="24"/>
              </w:rPr>
              <w:t>议加强</w:t>
            </w:r>
            <w:r>
              <w:rPr>
                <w:rFonts w:hint="eastAsia"/>
                <w:b w:val="0"/>
                <w:bCs w:val="0"/>
                <w:color w:val="auto"/>
                <w:sz w:val="24"/>
                <w:szCs w:val="24"/>
                <w:lang w:eastAsia="zh-CN"/>
              </w:rPr>
              <w:t>生产车间</w:t>
            </w:r>
            <w:r>
              <w:rPr>
                <w:rFonts w:hint="eastAsia"/>
                <w:b w:val="0"/>
                <w:bCs w:val="0"/>
                <w:color w:val="auto"/>
                <w:sz w:val="24"/>
                <w:szCs w:val="24"/>
              </w:rPr>
              <w:t>通风换气。</w:t>
            </w:r>
          </w:p>
          <w:p w14:paraId="4B2236AE">
            <w:pPr>
              <w:pStyle w:val="95"/>
              <w:adjustRightInd/>
              <w:spacing w:line="360" w:lineRule="auto"/>
              <w:ind w:firstLineChars="200"/>
              <w:rPr>
                <w:rFonts w:hint="default" w:ascii="Times New Roman" w:hAnsi="Times New Roman" w:eastAsia="宋体" w:cs="Times New Roman"/>
                <w:b w:val="0"/>
                <w:bCs w:val="0"/>
                <w:color w:val="auto"/>
                <w:sz w:val="24"/>
                <w:szCs w:val="24"/>
                <w:lang w:eastAsia="zh-CN"/>
              </w:rPr>
            </w:pPr>
            <w:r>
              <w:rPr>
                <w:rFonts w:hint="default" w:ascii="Times New Roman" w:hAnsi="Times New Roman" w:eastAsia="宋体" w:cs="Times New Roman"/>
                <w:b w:val="0"/>
                <w:bCs w:val="0"/>
                <w:color w:val="auto"/>
                <w:sz w:val="24"/>
                <w:szCs w:val="24"/>
                <w:lang w:eastAsia="zh-CN"/>
              </w:rPr>
              <w:t>③</w:t>
            </w:r>
            <w:r>
              <w:rPr>
                <w:rFonts w:hint="eastAsia" w:ascii="Times New Roman" w:hAnsi="Times New Roman" w:eastAsia="宋体" w:cs="Times New Roman"/>
                <w:b w:val="0"/>
                <w:bCs w:val="0"/>
                <w:color w:val="auto"/>
                <w:sz w:val="24"/>
                <w:szCs w:val="24"/>
                <w:lang w:eastAsia="zh-CN"/>
              </w:rPr>
              <w:t>微波烘干废气</w:t>
            </w:r>
          </w:p>
          <w:p w14:paraId="2E9AEB36">
            <w:pPr>
              <w:ind w:firstLine="492" w:firstLineChars="200"/>
              <w:rPr>
                <w:rFonts w:hint="default" w:ascii="Times New Roman" w:hAnsi="Times New Roman" w:eastAsia="宋体" w:cs="Times New Roman"/>
                <w:b w:val="0"/>
                <w:bCs w:val="0"/>
                <w:color w:val="auto"/>
                <w:sz w:val="24"/>
                <w:szCs w:val="24"/>
                <w:lang w:val="en-US" w:eastAsia="zh-CN"/>
              </w:rPr>
            </w:pPr>
            <w:r>
              <w:rPr>
                <w:rFonts w:hint="eastAsia" w:ascii="Times New Roman" w:hAnsi="Times New Roman" w:cs="Times New Roman"/>
                <w:color w:val="auto"/>
                <w:spacing w:val="3"/>
                <w:sz w:val="24"/>
                <w:szCs w:val="24"/>
                <w:lang w:eastAsia="zh-CN"/>
              </w:rPr>
              <w:t>本项目仅对出口产品进行微波烘干。出口产品约</w:t>
            </w:r>
            <w:r>
              <w:rPr>
                <w:rFonts w:hint="eastAsia" w:ascii="Times New Roman" w:hAnsi="Times New Roman" w:cs="Times New Roman"/>
                <w:color w:val="auto"/>
                <w:spacing w:val="3"/>
                <w:sz w:val="24"/>
                <w:szCs w:val="24"/>
                <w:lang w:val="en-US" w:eastAsia="zh-CN"/>
              </w:rPr>
              <w:t>1.5万m</w:t>
            </w:r>
            <w:r>
              <w:rPr>
                <w:rFonts w:hint="eastAsia" w:ascii="Times New Roman" w:hAnsi="Times New Roman" w:cs="Times New Roman"/>
                <w:color w:val="auto"/>
                <w:spacing w:val="3"/>
                <w:sz w:val="24"/>
                <w:szCs w:val="24"/>
                <w:vertAlign w:val="superscript"/>
                <w:lang w:val="en-US" w:eastAsia="zh-CN"/>
              </w:rPr>
              <w:t>2</w:t>
            </w:r>
            <w:r>
              <w:rPr>
                <w:rFonts w:hint="eastAsia" w:ascii="Times New Roman" w:hAnsi="Times New Roman" w:cs="Times New Roman"/>
                <w:color w:val="auto"/>
                <w:spacing w:val="3"/>
                <w:sz w:val="24"/>
                <w:szCs w:val="24"/>
                <w:vertAlign w:val="baseline"/>
                <w:lang w:val="en-US" w:eastAsia="zh-CN"/>
              </w:rPr>
              <w:t>/a。根据</w:t>
            </w:r>
            <w:r>
              <w:rPr>
                <w:color w:val="auto"/>
                <w:sz w:val="24"/>
                <w:szCs w:val="24"/>
              </w:rPr>
              <w:t>《排放源统计调查产排污核算方法和系数手册》</w:t>
            </w:r>
            <w:r>
              <w:rPr>
                <w:rFonts w:hint="eastAsia"/>
                <w:color w:val="auto"/>
                <w:sz w:val="24"/>
                <w:szCs w:val="24"/>
                <w:lang w:val="zh-CN"/>
              </w:rPr>
              <w:t>（环境部公告</w:t>
            </w:r>
            <w:r>
              <w:rPr>
                <w:rFonts w:hint="eastAsia"/>
                <w:color w:val="auto"/>
                <w:sz w:val="24"/>
                <w:szCs w:val="24"/>
                <w:lang w:val="en-US" w:eastAsia="zh-CN"/>
              </w:rPr>
              <w:t xml:space="preserve"> 2021年 第24号</w:t>
            </w:r>
            <w:r>
              <w:rPr>
                <w:rFonts w:hint="eastAsia"/>
                <w:color w:val="auto"/>
                <w:sz w:val="24"/>
                <w:szCs w:val="24"/>
                <w:lang w:val="zh-CN"/>
              </w:rPr>
              <w:t>）</w:t>
            </w:r>
            <w:r>
              <w:rPr>
                <w:color w:val="auto"/>
                <w:sz w:val="24"/>
                <w:szCs w:val="24"/>
              </w:rPr>
              <w:t>中</w:t>
            </w:r>
            <w:r>
              <w:rPr>
                <w:rFonts w:hint="eastAsia"/>
                <w:color w:val="auto"/>
                <w:sz w:val="24"/>
                <w:szCs w:val="24"/>
                <w:lang w:eastAsia="zh-CN"/>
              </w:rPr>
              <w:t>“</w:t>
            </w:r>
            <w:r>
              <w:rPr>
                <w:color w:val="auto"/>
                <w:sz w:val="24"/>
                <w:szCs w:val="24"/>
              </w:rPr>
              <w:t>203木质制品制造行业系数手册—203木质制品制造行业系数表（续</w:t>
            </w:r>
            <w:r>
              <w:rPr>
                <w:rFonts w:hint="eastAsia"/>
                <w:color w:val="auto"/>
                <w:sz w:val="24"/>
                <w:szCs w:val="24"/>
                <w:lang w:val="en-US" w:eastAsia="zh-CN"/>
              </w:rPr>
              <w:t>1</w:t>
            </w:r>
            <w:r>
              <w:rPr>
                <w:color w:val="auto"/>
                <w:sz w:val="24"/>
                <w:szCs w:val="24"/>
              </w:rPr>
              <w:t>）</w:t>
            </w:r>
            <w:r>
              <w:rPr>
                <w:rFonts w:hint="eastAsia"/>
                <w:color w:val="auto"/>
                <w:sz w:val="24"/>
                <w:szCs w:val="24"/>
                <w:lang w:eastAsia="zh-CN"/>
              </w:rPr>
              <w:t>”</w:t>
            </w:r>
            <w:r>
              <w:rPr>
                <w:color w:val="auto"/>
                <w:sz w:val="24"/>
                <w:szCs w:val="24"/>
              </w:rPr>
              <w:t>—</w:t>
            </w:r>
            <w:r>
              <w:rPr>
                <w:rFonts w:hint="eastAsia"/>
                <w:color w:val="auto"/>
                <w:sz w:val="24"/>
                <w:szCs w:val="24"/>
                <w:lang w:eastAsia="zh-CN"/>
              </w:rPr>
              <w:t>原料烘干</w:t>
            </w:r>
            <w:r>
              <w:rPr>
                <w:color w:val="auto"/>
                <w:sz w:val="24"/>
                <w:szCs w:val="24"/>
              </w:rPr>
              <w:t>工序</w:t>
            </w:r>
            <w:r>
              <w:rPr>
                <w:rFonts w:hint="eastAsia"/>
                <w:color w:val="auto"/>
                <w:sz w:val="24"/>
                <w:szCs w:val="24"/>
                <w:lang w:eastAsia="zh-CN"/>
              </w:rPr>
              <w:t>挥发性有机物</w:t>
            </w:r>
            <w:r>
              <w:rPr>
                <w:color w:val="auto"/>
                <w:sz w:val="24"/>
                <w:szCs w:val="24"/>
              </w:rPr>
              <w:t>的产污系数为</w:t>
            </w:r>
            <w:r>
              <w:rPr>
                <w:rFonts w:hint="eastAsia"/>
                <w:color w:val="auto"/>
                <w:sz w:val="24"/>
                <w:szCs w:val="24"/>
                <w:lang w:val="en-US" w:eastAsia="zh-CN"/>
              </w:rPr>
              <w:t>0.35</w:t>
            </w:r>
            <w:r>
              <w:rPr>
                <w:color w:val="auto"/>
                <w:sz w:val="24"/>
                <w:szCs w:val="24"/>
              </w:rPr>
              <w:t>克/立方米-产品。本项目</w:t>
            </w:r>
            <w:r>
              <w:rPr>
                <w:rFonts w:hint="eastAsia"/>
                <w:color w:val="auto"/>
                <w:sz w:val="24"/>
                <w:szCs w:val="24"/>
                <w:lang w:eastAsia="zh-CN"/>
              </w:rPr>
              <w:t>上述产品</w:t>
            </w:r>
            <w:r>
              <w:rPr>
                <w:rFonts w:hint="eastAsia"/>
                <w:color w:val="auto"/>
                <w:sz w:val="24"/>
                <w:szCs w:val="24"/>
                <w:lang w:val="en-US" w:eastAsia="zh-CN"/>
              </w:rPr>
              <w:t>15000</w:t>
            </w:r>
            <w:r>
              <w:rPr>
                <w:color w:val="auto"/>
                <w:sz w:val="24"/>
                <w:szCs w:val="24"/>
              </w:rPr>
              <w:t>m</w:t>
            </w:r>
            <w:r>
              <w:rPr>
                <w:color w:val="auto"/>
                <w:sz w:val="24"/>
                <w:szCs w:val="24"/>
                <w:vertAlign w:val="superscript"/>
              </w:rPr>
              <w:t>3</w:t>
            </w:r>
            <w:r>
              <w:rPr>
                <w:color w:val="auto"/>
                <w:sz w:val="24"/>
                <w:szCs w:val="24"/>
              </w:rPr>
              <w:t>/a，</w:t>
            </w:r>
            <w:r>
              <w:rPr>
                <w:rFonts w:hint="eastAsia"/>
                <w:color w:val="auto"/>
                <w:sz w:val="24"/>
                <w:szCs w:val="24"/>
                <w:lang w:val="zh-CN"/>
              </w:rPr>
              <w:t>厚度按最</w:t>
            </w:r>
            <w:r>
              <w:rPr>
                <w:rFonts w:hint="eastAsia"/>
                <w:color w:val="auto"/>
                <w:sz w:val="24"/>
                <w:szCs w:val="24"/>
                <w:lang w:val="en-US" w:eastAsia="zh-CN"/>
              </w:rPr>
              <w:t>厚</w:t>
            </w:r>
            <w:r>
              <w:rPr>
                <w:rFonts w:hint="eastAsia"/>
                <w:color w:val="auto"/>
                <w:sz w:val="24"/>
                <w:szCs w:val="24"/>
                <w:lang w:val="zh-CN"/>
              </w:rPr>
              <w:t>取值</w:t>
            </w:r>
            <w:r>
              <w:rPr>
                <w:rFonts w:hint="eastAsia"/>
                <w:color w:val="auto"/>
                <w:sz w:val="24"/>
                <w:szCs w:val="24"/>
                <w:lang w:val="en-US" w:eastAsia="zh-CN"/>
              </w:rPr>
              <w:t>2cm，折算体积为300</w:t>
            </w:r>
            <w:r>
              <w:rPr>
                <w:color w:val="auto"/>
                <w:sz w:val="24"/>
                <w:szCs w:val="24"/>
              </w:rPr>
              <w:t>m</w:t>
            </w:r>
            <w:r>
              <w:rPr>
                <w:color w:val="auto"/>
                <w:sz w:val="24"/>
                <w:szCs w:val="24"/>
                <w:vertAlign w:val="superscript"/>
              </w:rPr>
              <w:t>3</w:t>
            </w:r>
            <w:r>
              <w:rPr>
                <w:color w:val="auto"/>
                <w:sz w:val="24"/>
                <w:szCs w:val="24"/>
              </w:rPr>
              <w:t>/a</w:t>
            </w:r>
            <w:r>
              <w:rPr>
                <w:rFonts w:hint="eastAsia"/>
                <w:color w:val="auto"/>
                <w:sz w:val="24"/>
                <w:szCs w:val="24"/>
                <w:lang w:eastAsia="zh-CN"/>
              </w:rPr>
              <w:t>。</w:t>
            </w:r>
            <w:r>
              <w:rPr>
                <w:color w:val="auto"/>
                <w:sz w:val="24"/>
                <w:szCs w:val="24"/>
              </w:rPr>
              <w:t>则</w:t>
            </w:r>
            <w:r>
              <w:rPr>
                <w:rFonts w:hint="eastAsia"/>
                <w:color w:val="auto"/>
                <w:sz w:val="24"/>
                <w:szCs w:val="24"/>
                <w:lang w:eastAsia="zh-CN"/>
              </w:rPr>
              <w:t>烘干</w:t>
            </w:r>
            <w:r>
              <w:rPr>
                <w:color w:val="auto"/>
                <w:sz w:val="24"/>
                <w:szCs w:val="24"/>
              </w:rPr>
              <w:t>过程中</w:t>
            </w:r>
            <w:r>
              <w:rPr>
                <w:rFonts w:hint="eastAsia"/>
                <w:color w:val="auto"/>
                <w:sz w:val="24"/>
                <w:szCs w:val="24"/>
                <w:lang w:eastAsia="zh-CN"/>
              </w:rPr>
              <w:t>挥发性有机物</w:t>
            </w:r>
            <w:r>
              <w:rPr>
                <w:color w:val="auto"/>
                <w:sz w:val="24"/>
                <w:szCs w:val="24"/>
              </w:rPr>
              <w:t>产生量为</w:t>
            </w:r>
            <w:r>
              <w:rPr>
                <w:rFonts w:hint="eastAsia"/>
                <w:color w:val="auto"/>
                <w:sz w:val="24"/>
                <w:szCs w:val="24"/>
                <w:lang w:val="en-US" w:eastAsia="zh-CN"/>
              </w:rPr>
              <w:t>0.000105</w:t>
            </w:r>
            <w:r>
              <w:rPr>
                <w:color w:val="auto"/>
                <w:sz w:val="24"/>
                <w:szCs w:val="24"/>
              </w:rPr>
              <w:t>t/a。</w:t>
            </w:r>
          </w:p>
          <w:p w14:paraId="35BD25E6">
            <w:pPr>
              <w:pStyle w:val="95"/>
              <w:keepNext w:val="0"/>
              <w:keepLines w:val="0"/>
              <w:pageBreakBefore w:val="0"/>
              <w:widowControl w:val="0"/>
              <w:kinsoku/>
              <w:wordWrap/>
              <w:overflowPunct/>
              <w:topLinePunct w:val="0"/>
              <w:autoSpaceDE/>
              <w:autoSpaceDN/>
              <w:bidi w:val="0"/>
              <w:adjustRightInd/>
              <w:snapToGrid/>
              <w:spacing w:line="360" w:lineRule="auto"/>
              <w:ind w:firstLineChars="200"/>
              <w:textAlignment w:val="baseline"/>
              <w:rPr>
                <w:rFonts w:hint="default" w:ascii="Times New Roman" w:hAnsi="Times New Roman" w:eastAsia="宋体" w:cs="Times New Roman"/>
                <w:b w:val="0"/>
                <w:bCs w:val="0"/>
                <w:color w:val="auto"/>
                <w:sz w:val="24"/>
                <w:szCs w:val="24"/>
                <w:lang w:eastAsia="zh-CN"/>
              </w:rPr>
            </w:pPr>
            <w:r>
              <w:rPr>
                <w:rFonts w:hint="eastAsia"/>
                <w:b w:val="0"/>
                <w:bCs w:val="0"/>
                <w:color w:val="auto"/>
                <w:sz w:val="24"/>
                <w:szCs w:val="24"/>
                <w:lang w:eastAsia="zh-CN"/>
              </w:rPr>
              <w:t>本项目参考《关于印发&lt;重点行业挥发性有机物综合治理方案&gt;的通知》（环大气〔2019〕53号）中的要求车间或生产设施收集排放的废气，VOCs初始排放速率大于等于3千克/小时、重点区域大于等于2千克/小时的，应配置VOCs处理设施，有组织排放。本项目</w:t>
            </w:r>
            <w:r>
              <w:rPr>
                <w:rFonts w:hint="eastAsia" w:ascii="Times New Roman" w:hAnsi="Times New Roman" w:cs="Times New Roman"/>
                <w:color w:val="auto"/>
                <w:spacing w:val="3"/>
                <w:sz w:val="24"/>
                <w:szCs w:val="24"/>
                <w:lang w:eastAsia="zh-CN"/>
              </w:rPr>
              <w:t>微波干燥杀菌杀虫机</w:t>
            </w:r>
            <w:r>
              <w:rPr>
                <w:rFonts w:hint="eastAsia"/>
                <w:b w:val="0"/>
                <w:bCs w:val="0"/>
                <w:color w:val="auto"/>
                <w:sz w:val="24"/>
                <w:szCs w:val="24"/>
                <w:lang w:eastAsia="zh-CN"/>
              </w:rPr>
              <w:t>VOCs产生量较少，且排放速率低于3千克/小时，按照要求无需安装环保设施。综上所述，本项目</w:t>
            </w:r>
            <w:r>
              <w:rPr>
                <w:rFonts w:hint="eastAsia" w:ascii="Times New Roman" w:hAnsi="Times New Roman" w:cs="Times New Roman"/>
                <w:color w:val="auto"/>
                <w:spacing w:val="3"/>
                <w:sz w:val="24"/>
                <w:szCs w:val="24"/>
                <w:lang w:eastAsia="zh-CN"/>
              </w:rPr>
              <w:t>微波干燥杀菌杀虫机</w:t>
            </w:r>
            <w:r>
              <w:rPr>
                <w:rFonts w:hint="eastAsia"/>
                <w:b w:val="0"/>
                <w:bCs w:val="0"/>
                <w:color w:val="auto"/>
                <w:sz w:val="24"/>
                <w:szCs w:val="24"/>
                <w:lang w:eastAsia="zh-CN"/>
              </w:rPr>
              <w:t>废气未配置环保设施，采取无组织排放方式排入大气环境。</w:t>
            </w:r>
          </w:p>
          <w:p w14:paraId="5F72A1E8">
            <w:pPr>
              <w:pStyle w:val="95"/>
              <w:adjustRightInd/>
              <w:spacing w:line="360" w:lineRule="auto"/>
              <w:ind w:firstLineChars="200"/>
              <w:rPr>
                <w:rFonts w:hint="eastAsia" w:eastAsia="宋体"/>
                <w:b w:val="0"/>
                <w:bCs w:val="0"/>
                <w:color w:val="auto"/>
                <w:sz w:val="24"/>
                <w:szCs w:val="24"/>
                <w:lang w:eastAsia="zh-CN"/>
              </w:rPr>
            </w:pPr>
            <w:r>
              <w:rPr>
                <w:rFonts w:hint="default" w:ascii="Times New Roman" w:hAnsi="Times New Roman" w:eastAsia="宋体" w:cs="Times New Roman"/>
                <w:b w:val="0"/>
                <w:bCs w:val="0"/>
                <w:color w:val="auto"/>
                <w:sz w:val="24"/>
                <w:szCs w:val="24"/>
                <w:lang w:eastAsia="zh-CN"/>
              </w:rPr>
              <w:fldChar w:fldCharType="begin"/>
            </w:r>
            <w:r>
              <w:rPr>
                <w:rFonts w:hint="default" w:ascii="Times New Roman" w:hAnsi="Times New Roman" w:eastAsia="宋体" w:cs="Times New Roman"/>
                <w:b w:val="0"/>
                <w:bCs w:val="0"/>
                <w:color w:val="auto"/>
                <w:sz w:val="24"/>
                <w:szCs w:val="24"/>
                <w:lang w:eastAsia="zh-CN"/>
              </w:rPr>
              <w:instrText xml:space="preserve"> = 4 \* GB3 \* MERGEFORMAT </w:instrText>
            </w:r>
            <w:r>
              <w:rPr>
                <w:rFonts w:hint="default" w:ascii="Times New Roman" w:hAnsi="Times New Roman" w:eastAsia="宋体" w:cs="Times New Roman"/>
                <w:b w:val="0"/>
                <w:bCs w:val="0"/>
                <w:color w:val="auto"/>
                <w:sz w:val="24"/>
                <w:szCs w:val="24"/>
                <w:lang w:eastAsia="zh-CN"/>
              </w:rPr>
              <w:fldChar w:fldCharType="separate"/>
            </w:r>
            <w:r>
              <w:rPr>
                <w:rFonts w:hint="default" w:ascii="Times New Roman" w:hAnsi="Times New Roman" w:eastAsia="宋体" w:cs="Times New Roman"/>
                <w:b w:val="0"/>
                <w:bCs w:val="0"/>
                <w:color w:val="auto"/>
                <w:sz w:val="24"/>
                <w:szCs w:val="24"/>
                <w:lang w:eastAsia="zh-CN"/>
              </w:rPr>
              <w:t>④</w:t>
            </w:r>
            <w:r>
              <w:rPr>
                <w:rFonts w:hint="default" w:ascii="Times New Roman" w:hAnsi="Times New Roman" w:eastAsia="宋体" w:cs="Times New Roman"/>
                <w:b w:val="0"/>
                <w:bCs w:val="0"/>
                <w:color w:val="auto"/>
                <w:sz w:val="24"/>
                <w:szCs w:val="24"/>
                <w:lang w:eastAsia="zh-CN"/>
              </w:rPr>
              <w:fldChar w:fldCharType="end"/>
            </w:r>
            <w:r>
              <w:rPr>
                <w:b w:val="0"/>
                <w:bCs w:val="0"/>
                <w:color w:val="auto"/>
                <w:sz w:val="24"/>
                <w:szCs w:val="24"/>
              </w:rPr>
              <w:t>辊涂、</w:t>
            </w:r>
            <w:r>
              <w:rPr>
                <w:rFonts w:hint="eastAsia"/>
                <w:b w:val="0"/>
                <w:bCs w:val="0"/>
                <w:color w:val="auto"/>
                <w:sz w:val="24"/>
                <w:szCs w:val="24"/>
                <w:lang w:val="en-US" w:eastAsia="zh-CN"/>
              </w:rPr>
              <w:t>紫外光</w:t>
            </w:r>
            <w:r>
              <w:rPr>
                <w:b w:val="0"/>
                <w:bCs w:val="0"/>
                <w:color w:val="auto"/>
                <w:sz w:val="24"/>
                <w:szCs w:val="24"/>
              </w:rPr>
              <w:t>固化废气</w:t>
            </w:r>
          </w:p>
          <w:p w14:paraId="7329ABF7">
            <w:pPr>
              <w:ind w:firstLine="480" w:firstLineChars="200"/>
              <w:rPr>
                <w:color w:val="auto"/>
                <w:sz w:val="24"/>
                <w:szCs w:val="24"/>
              </w:rPr>
            </w:pPr>
            <w:r>
              <w:rPr>
                <w:color w:val="auto"/>
                <w:sz w:val="24"/>
                <w:szCs w:val="24"/>
              </w:rPr>
              <w:t>项目使用UV</w:t>
            </w:r>
            <w:r>
              <w:rPr>
                <w:rFonts w:hint="eastAsia"/>
                <w:color w:val="auto"/>
                <w:sz w:val="24"/>
                <w:szCs w:val="24"/>
                <w:lang w:eastAsia="zh-CN"/>
              </w:rPr>
              <w:t>底漆、面</w:t>
            </w:r>
            <w:r>
              <w:rPr>
                <w:color w:val="auto"/>
                <w:sz w:val="24"/>
                <w:szCs w:val="24"/>
              </w:rPr>
              <w:t>漆进行</w:t>
            </w:r>
            <w:r>
              <w:rPr>
                <w:rFonts w:hint="eastAsia"/>
                <w:color w:val="auto"/>
                <w:sz w:val="24"/>
                <w:szCs w:val="24"/>
                <w:lang w:eastAsia="zh-CN"/>
              </w:rPr>
              <w:t>涂装</w:t>
            </w:r>
            <w:r>
              <w:rPr>
                <w:rFonts w:hint="eastAsia" w:ascii="time" w:hAnsi="time"/>
                <w:color w:val="auto"/>
                <w:sz w:val="24"/>
                <w:szCs w:val="24"/>
              </w:rPr>
              <w:t>。根据《涂装技术实用手册》（第二版），</w:t>
            </w:r>
            <w:r>
              <w:rPr>
                <w:rFonts w:hint="eastAsia" w:ascii="time" w:hAnsi="time"/>
                <w:color w:val="auto"/>
                <w:sz w:val="24"/>
                <w:szCs w:val="24"/>
                <w:lang w:eastAsia="zh-CN"/>
              </w:rPr>
              <w:t>辊</w:t>
            </w:r>
            <w:r>
              <w:rPr>
                <w:rFonts w:hint="eastAsia" w:ascii="time" w:hAnsi="time"/>
                <w:color w:val="auto"/>
                <w:sz w:val="24"/>
                <w:szCs w:val="24"/>
              </w:rPr>
              <w:t>涂具有不产生漆雾、没有漆雾飞溅的特点。本项目辊涂用UV底漆</w:t>
            </w:r>
            <w:r>
              <w:rPr>
                <w:rFonts w:hint="eastAsia" w:ascii="time" w:hAnsi="time"/>
                <w:color w:val="auto"/>
                <w:sz w:val="24"/>
                <w:szCs w:val="24"/>
                <w:lang w:eastAsia="zh-CN"/>
              </w:rPr>
              <w:t>的使用量</w:t>
            </w:r>
            <w:r>
              <w:rPr>
                <w:rFonts w:hint="eastAsia" w:ascii="time" w:hAnsi="time"/>
                <w:color w:val="auto"/>
                <w:sz w:val="24"/>
                <w:szCs w:val="24"/>
              </w:rPr>
              <w:t>为</w:t>
            </w:r>
            <w:r>
              <w:rPr>
                <w:rFonts w:hint="eastAsia" w:ascii="time" w:hAnsi="time"/>
                <w:color w:val="auto"/>
                <w:sz w:val="24"/>
                <w:szCs w:val="24"/>
                <w:lang w:val="en-US" w:eastAsia="zh-CN"/>
              </w:rPr>
              <w:t>14.5</w:t>
            </w:r>
            <w:r>
              <w:rPr>
                <w:rFonts w:hint="eastAsia" w:ascii="time" w:hAnsi="time"/>
                <w:color w:val="auto"/>
                <w:sz w:val="24"/>
                <w:szCs w:val="24"/>
              </w:rPr>
              <w:t>t/a、</w:t>
            </w:r>
            <w:r>
              <w:rPr>
                <w:rFonts w:hint="eastAsia" w:ascii="time" w:hAnsi="time"/>
                <w:color w:val="auto"/>
                <w:sz w:val="24"/>
                <w:szCs w:val="24"/>
                <w:lang w:eastAsia="zh-CN"/>
              </w:rPr>
              <w:t>密度</w:t>
            </w:r>
            <w:r>
              <w:rPr>
                <w:rFonts w:hint="eastAsia" w:ascii="Times New Roman" w:hAnsi="Times New Roman" w:eastAsia="宋体" w:cs="Times New Roman"/>
                <w:color w:val="auto"/>
                <w:sz w:val="24"/>
                <w:szCs w:val="24"/>
                <w:lang w:val="en-US" w:eastAsia="zh-CN"/>
              </w:rPr>
              <w:t>1.</w:t>
            </w:r>
            <w:r>
              <w:rPr>
                <w:rFonts w:hint="eastAsia" w:ascii="Times New Roman" w:hAnsi="Times New Roman" w:eastAsia="宋体" w:cs="Times New Roman"/>
                <w:color w:val="auto"/>
                <w:sz w:val="24"/>
                <w:szCs w:val="24"/>
                <w:lang w:eastAsia="zh-CN"/>
              </w:rPr>
              <w:t>32g/cm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vertAlign w:val="baseline"/>
                <w:lang w:val="en-US" w:eastAsia="zh-CN"/>
              </w:rPr>
              <w:t>；</w:t>
            </w:r>
            <w:r>
              <w:rPr>
                <w:rFonts w:hint="eastAsia" w:ascii="time" w:hAnsi="time"/>
                <w:color w:val="auto"/>
                <w:sz w:val="24"/>
                <w:szCs w:val="24"/>
              </w:rPr>
              <w:t>UV面漆</w:t>
            </w:r>
            <w:r>
              <w:rPr>
                <w:rFonts w:hint="eastAsia" w:ascii="time" w:hAnsi="time"/>
                <w:color w:val="auto"/>
                <w:sz w:val="24"/>
                <w:szCs w:val="24"/>
                <w:lang w:eastAsia="zh-CN"/>
              </w:rPr>
              <w:t>的使用量</w:t>
            </w:r>
            <w:r>
              <w:rPr>
                <w:rFonts w:hint="eastAsia" w:ascii="time" w:hAnsi="time"/>
                <w:color w:val="auto"/>
                <w:sz w:val="24"/>
                <w:szCs w:val="24"/>
              </w:rPr>
              <w:t>为</w:t>
            </w:r>
            <w:r>
              <w:rPr>
                <w:rFonts w:hint="eastAsia" w:ascii="time" w:hAnsi="time"/>
                <w:color w:val="auto"/>
                <w:sz w:val="24"/>
                <w:szCs w:val="24"/>
                <w:lang w:val="en-US" w:eastAsia="zh-CN"/>
              </w:rPr>
              <w:t>2.5</w:t>
            </w:r>
            <w:r>
              <w:rPr>
                <w:rFonts w:hint="eastAsia" w:ascii="time" w:hAnsi="time"/>
                <w:color w:val="auto"/>
                <w:sz w:val="24"/>
                <w:szCs w:val="24"/>
              </w:rPr>
              <w:t>t/a</w:t>
            </w:r>
            <w:r>
              <w:rPr>
                <w:rFonts w:hint="eastAsia" w:ascii="time" w:hAnsi="time"/>
                <w:color w:val="auto"/>
                <w:sz w:val="24"/>
                <w:szCs w:val="24"/>
                <w:lang w:eastAsia="zh-CN"/>
              </w:rPr>
              <w:t>，密度</w:t>
            </w:r>
            <w:r>
              <w:rPr>
                <w:rFonts w:hint="eastAsia" w:ascii="Times New Roman" w:hAnsi="Times New Roman" w:eastAsia="宋体" w:cs="Times New Roman"/>
                <w:color w:val="auto"/>
                <w:sz w:val="24"/>
                <w:szCs w:val="24"/>
                <w:lang w:val="en-US" w:eastAsia="zh-CN"/>
              </w:rPr>
              <w:t>1.25</w:t>
            </w:r>
            <w:r>
              <w:rPr>
                <w:rFonts w:hint="eastAsia" w:ascii="Times New Roman" w:hAnsi="Times New Roman" w:eastAsia="宋体" w:cs="Times New Roman"/>
                <w:color w:val="auto"/>
                <w:sz w:val="24"/>
                <w:szCs w:val="24"/>
                <w:lang w:eastAsia="zh-CN"/>
              </w:rPr>
              <w:t>g/cm</w:t>
            </w:r>
            <w:r>
              <w:rPr>
                <w:rFonts w:hint="eastAsia" w:ascii="Times New Roman" w:hAnsi="Times New Roman" w:eastAsia="宋体" w:cs="Times New Roman"/>
                <w:color w:val="auto"/>
                <w:sz w:val="24"/>
                <w:szCs w:val="24"/>
                <w:vertAlign w:val="superscript"/>
                <w:lang w:val="en-US" w:eastAsia="zh-CN"/>
              </w:rPr>
              <w:t>3</w:t>
            </w:r>
            <w:r>
              <w:rPr>
                <w:rFonts w:hint="eastAsia" w:ascii="time" w:hAnsi="time"/>
                <w:color w:val="auto"/>
                <w:sz w:val="24"/>
                <w:szCs w:val="24"/>
              </w:rPr>
              <w:t>。根据</w:t>
            </w:r>
            <w:r>
              <w:rPr>
                <w:rFonts w:hint="eastAsia" w:ascii="time" w:hAnsi="time"/>
                <w:color w:val="auto"/>
                <w:sz w:val="24"/>
                <w:szCs w:val="24"/>
                <w:lang w:eastAsia="zh-CN"/>
              </w:rPr>
              <w:t>漆料检测</w:t>
            </w:r>
            <w:r>
              <w:rPr>
                <w:rFonts w:hint="eastAsia" w:ascii="time" w:hAnsi="time"/>
                <w:color w:val="auto"/>
                <w:sz w:val="24"/>
                <w:szCs w:val="24"/>
              </w:rPr>
              <w:t>报告可知使用的UV底漆中</w:t>
            </w:r>
            <w:r>
              <w:rPr>
                <w:color w:val="auto"/>
                <w:sz w:val="24"/>
                <w:szCs w:val="24"/>
              </w:rPr>
              <w:t>VOCs含量</w:t>
            </w:r>
            <w:r>
              <w:rPr>
                <w:rFonts w:hint="eastAsia"/>
                <w:color w:val="auto"/>
                <w:sz w:val="24"/>
                <w:szCs w:val="24"/>
                <w:lang w:val="en-US" w:eastAsia="zh-CN"/>
              </w:rPr>
              <w:t>49</w:t>
            </w:r>
            <w:r>
              <w:rPr>
                <w:color w:val="auto"/>
                <w:sz w:val="24"/>
                <w:szCs w:val="24"/>
              </w:rPr>
              <w:t>g/L</w:t>
            </w:r>
            <w:r>
              <w:rPr>
                <w:rFonts w:hint="eastAsia" w:ascii="time" w:hAnsi="time"/>
                <w:color w:val="auto"/>
                <w:sz w:val="24"/>
                <w:szCs w:val="24"/>
              </w:rPr>
              <w:t>，</w:t>
            </w:r>
            <w:r>
              <w:rPr>
                <w:rFonts w:hint="eastAsia"/>
                <w:color w:val="auto"/>
                <w:sz w:val="24"/>
                <w:szCs w:val="24"/>
              </w:rPr>
              <w:t>UV</w:t>
            </w:r>
            <w:r>
              <w:rPr>
                <w:color w:val="auto"/>
                <w:sz w:val="24"/>
                <w:szCs w:val="24"/>
              </w:rPr>
              <w:t>面漆VOCs含量</w:t>
            </w:r>
            <w:r>
              <w:rPr>
                <w:rFonts w:hint="eastAsia"/>
                <w:color w:val="auto"/>
                <w:sz w:val="24"/>
                <w:szCs w:val="24"/>
                <w:lang w:val="en-US" w:eastAsia="zh-CN"/>
              </w:rPr>
              <w:t>54</w:t>
            </w:r>
            <w:r>
              <w:rPr>
                <w:color w:val="auto"/>
                <w:sz w:val="24"/>
                <w:szCs w:val="24"/>
              </w:rPr>
              <w:t>g/L</w:t>
            </w:r>
            <w:r>
              <w:rPr>
                <w:rFonts w:hint="eastAsia" w:ascii="time" w:hAnsi="time"/>
                <w:color w:val="auto"/>
                <w:sz w:val="24"/>
                <w:szCs w:val="24"/>
              </w:rPr>
              <w:t>。则UV底漆</w:t>
            </w:r>
            <w:r>
              <w:rPr>
                <w:rFonts w:hint="eastAsia" w:ascii="time" w:hAnsi="time"/>
                <w:color w:val="auto"/>
                <w:sz w:val="24"/>
                <w:szCs w:val="24"/>
                <w:lang w:eastAsia="zh-CN"/>
              </w:rPr>
              <w:t>涂装作业中产生挥发性有机物量为</w:t>
            </w:r>
            <w:r>
              <w:rPr>
                <w:rFonts w:hint="eastAsia" w:ascii="time" w:hAnsi="time"/>
                <w:color w:val="auto"/>
                <w:sz w:val="24"/>
                <w:szCs w:val="24"/>
                <w:lang w:val="en-US" w:eastAsia="zh-CN"/>
              </w:rPr>
              <w:t>0.538t/a，</w:t>
            </w:r>
            <w:r>
              <w:rPr>
                <w:rFonts w:hint="eastAsia" w:ascii="time" w:hAnsi="time"/>
                <w:color w:val="auto"/>
                <w:sz w:val="24"/>
                <w:szCs w:val="24"/>
              </w:rPr>
              <w:t>UV</w:t>
            </w:r>
            <w:r>
              <w:rPr>
                <w:rFonts w:hint="eastAsia" w:ascii="time" w:hAnsi="time"/>
                <w:color w:val="auto"/>
                <w:sz w:val="24"/>
                <w:szCs w:val="24"/>
                <w:lang w:eastAsia="zh-CN"/>
              </w:rPr>
              <w:t>面漆涂装作业中产生挥发性有机物量为</w:t>
            </w:r>
            <w:r>
              <w:rPr>
                <w:rFonts w:hint="eastAsia" w:ascii="time" w:hAnsi="time"/>
                <w:color w:val="auto"/>
                <w:sz w:val="24"/>
                <w:szCs w:val="24"/>
                <w:lang w:val="en-US" w:eastAsia="zh-CN"/>
              </w:rPr>
              <w:t>0.108t/a，</w:t>
            </w:r>
            <w:r>
              <w:rPr>
                <w:rFonts w:hint="eastAsia" w:ascii="time" w:hAnsi="time"/>
                <w:color w:val="auto"/>
                <w:sz w:val="24"/>
                <w:szCs w:val="24"/>
                <w:lang w:eastAsia="zh-CN"/>
              </w:rPr>
              <w:t>挥发性有机物</w:t>
            </w:r>
            <w:r>
              <w:rPr>
                <w:rFonts w:hint="eastAsia" w:ascii="time" w:hAnsi="time"/>
                <w:color w:val="auto"/>
                <w:sz w:val="24"/>
                <w:szCs w:val="24"/>
              </w:rPr>
              <w:t>产生</w:t>
            </w:r>
            <w:r>
              <w:rPr>
                <w:rFonts w:hint="eastAsia" w:ascii="time" w:hAnsi="time"/>
                <w:color w:val="auto"/>
                <w:sz w:val="24"/>
                <w:szCs w:val="24"/>
                <w:lang w:eastAsia="zh-CN"/>
              </w:rPr>
              <w:t>总</w:t>
            </w:r>
            <w:r>
              <w:rPr>
                <w:rFonts w:hint="eastAsia" w:ascii="time" w:hAnsi="time"/>
                <w:color w:val="auto"/>
                <w:sz w:val="24"/>
                <w:szCs w:val="24"/>
              </w:rPr>
              <w:t>量为</w:t>
            </w:r>
            <w:r>
              <w:rPr>
                <w:rFonts w:hint="eastAsia" w:ascii="time" w:hAnsi="time"/>
                <w:color w:val="auto"/>
                <w:sz w:val="24"/>
                <w:szCs w:val="24"/>
                <w:lang w:val="en-US" w:eastAsia="zh-CN"/>
              </w:rPr>
              <w:t>0.646</w:t>
            </w:r>
            <w:r>
              <w:rPr>
                <w:rFonts w:hint="eastAsia" w:ascii="time" w:hAnsi="time"/>
                <w:color w:val="auto"/>
                <w:sz w:val="24"/>
                <w:szCs w:val="24"/>
              </w:rPr>
              <w:t>t/a。</w:t>
            </w:r>
          </w:p>
          <w:p w14:paraId="765520D1">
            <w:pPr>
              <w:ind w:firstLine="480" w:firstLineChars="200"/>
              <w:rPr>
                <w:rFonts w:hint="eastAsia" w:ascii="time" w:hAnsi="time"/>
                <w:color w:val="auto"/>
                <w:sz w:val="24"/>
                <w:szCs w:val="24"/>
                <w:lang w:val="en-US" w:eastAsia="zh-CN"/>
              </w:rPr>
            </w:pPr>
            <w:r>
              <w:rPr>
                <w:rFonts w:hint="eastAsia" w:ascii="time" w:hAnsi="time"/>
                <w:color w:val="auto"/>
                <w:sz w:val="24"/>
                <w:szCs w:val="24"/>
                <w:lang w:eastAsia="zh-CN"/>
              </w:rPr>
              <w:t>本项目使用的辊漆设备</w:t>
            </w:r>
            <w:r>
              <w:rPr>
                <w:rFonts w:hint="eastAsia" w:ascii="time" w:hAnsi="time"/>
                <w:color w:val="auto"/>
                <w:sz w:val="24"/>
                <w:szCs w:val="24"/>
              </w:rPr>
              <w:t>、</w:t>
            </w:r>
            <w:r>
              <w:rPr>
                <w:rFonts w:hint="eastAsia" w:ascii="time" w:hAnsi="time"/>
                <w:color w:val="auto"/>
                <w:sz w:val="24"/>
                <w:szCs w:val="24"/>
                <w:lang w:eastAsia="zh-CN"/>
              </w:rPr>
              <w:t>紫外光</w:t>
            </w:r>
            <w:r>
              <w:rPr>
                <w:rFonts w:hint="eastAsia" w:ascii="time" w:hAnsi="time"/>
                <w:color w:val="auto"/>
                <w:sz w:val="24"/>
                <w:szCs w:val="24"/>
              </w:rPr>
              <w:t>固化设备之间</w:t>
            </w:r>
            <w:r>
              <w:rPr>
                <w:rFonts w:hint="eastAsia" w:ascii="time" w:hAnsi="time"/>
                <w:color w:val="auto"/>
                <w:sz w:val="24"/>
                <w:szCs w:val="24"/>
                <w:lang w:eastAsia="zh-CN"/>
              </w:rPr>
              <w:t>连续</w:t>
            </w:r>
            <w:r>
              <w:rPr>
                <w:rFonts w:hint="eastAsia" w:ascii="time" w:hAnsi="time"/>
                <w:color w:val="auto"/>
                <w:sz w:val="24"/>
                <w:szCs w:val="24"/>
              </w:rPr>
              <w:t>衔接</w:t>
            </w:r>
            <w:r>
              <w:rPr>
                <w:rFonts w:hint="eastAsia" w:ascii="time" w:hAnsi="time"/>
                <w:color w:val="auto"/>
                <w:sz w:val="24"/>
                <w:szCs w:val="24"/>
                <w:lang w:eastAsia="zh-CN"/>
              </w:rPr>
              <w:t>，且购进使用的漆料固化速度极快（</w:t>
            </w:r>
            <w:r>
              <w:rPr>
                <w:rFonts w:hint="eastAsia" w:ascii="time" w:hAnsi="time"/>
                <w:color w:val="auto"/>
                <w:sz w:val="24"/>
                <w:szCs w:val="24"/>
                <w:lang w:val="en-US" w:eastAsia="zh-CN"/>
              </w:rPr>
              <w:t>紫外光固化仅需秒级</w:t>
            </w:r>
            <w:r>
              <w:rPr>
                <w:rFonts w:hint="eastAsia" w:ascii="time" w:hAnsi="time"/>
                <w:color w:val="auto"/>
                <w:sz w:val="24"/>
                <w:szCs w:val="24"/>
                <w:lang w:eastAsia="zh-CN"/>
              </w:rPr>
              <w:t>），因此经辊涂、</w:t>
            </w:r>
            <w:r>
              <w:rPr>
                <w:rFonts w:hint="eastAsia" w:ascii="time" w:hAnsi="time"/>
                <w:color w:val="auto"/>
                <w:sz w:val="24"/>
                <w:szCs w:val="24"/>
                <w:lang w:val="en-US" w:eastAsia="zh-CN"/>
              </w:rPr>
              <w:t>紫外光固化工序后可直接送热风包装机包装</w:t>
            </w:r>
            <w:r>
              <w:rPr>
                <w:rFonts w:hint="eastAsia" w:ascii="time" w:hAnsi="time"/>
                <w:color w:val="auto"/>
                <w:sz w:val="24"/>
                <w:szCs w:val="24"/>
              </w:rPr>
              <w:t>。本项目拟在</w:t>
            </w:r>
            <w:r>
              <w:rPr>
                <w:rFonts w:hint="eastAsia" w:ascii="time" w:hAnsi="time"/>
                <w:color w:val="auto"/>
                <w:sz w:val="24"/>
                <w:szCs w:val="24"/>
                <w:lang w:eastAsia="zh-CN"/>
              </w:rPr>
              <w:t>辊涂机及紫外光</w:t>
            </w:r>
            <w:r>
              <w:rPr>
                <w:rFonts w:hint="eastAsia" w:ascii="time" w:hAnsi="time"/>
                <w:color w:val="auto"/>
                <w:sz w:val="24"/>
                <w:szCs w:val="24"/>
              </w:rPr>
              <w:t>固化设备</w:t>
            </w:r>
            <w:r>
              <w:rPr>
                <w:rFonts w:hint="eastAsia" w:ascii="time" w:hAnsi="time"/>
                <w:color w:val="auto"/>
                <w:sz w:val="24"/>
                <w:szCs w:val="24"/>
                <w:lang w:eastAsia="zh-CN"/>
              </w:rPr>
              <w:t>出风</w:t>
            </w:r>
            <w:r>
              <w:rPr>
                <w:rFonts w:hint="eastAsia" w:ascii="time" w:hAnsi="time"/>
                <w:color w:val="auto"/>
                <w:sz w:val="24"/>
                <w:szCs w:val="24"/>
              </w:rPr>
              <w:t>口</w:t>
            </w:r>
            <w:r>
              <w:rPr>
                <w:rFonts w:hint="eastAsia" w:ascii="time" w:hAnsi="time"/>
                <w:color w:val="auto"/>
                <w:sz w:val="24"/>
                <w:szCs w:val="24"/>
                <w:lang w:eastAsia="zh-CN"/>
              </w:rPr>
              <w:t>处</w:t>
            </w:r>
            <w:r>
              <w:rPr>
                <w:rFonts w:hint="eastAsia" w:ascii="time" w:hAnsi="time"/>
                <w:color w:val="auto"/>
                <w:sz w:val="24"/>
                <w:szCs w:val="24"/>
              </w:rPr>
              <w:t>设置</w:t>
            </w:r>
            <w:r>
              <w:rPr>
                <w:rFonts w:hint="eastAsia" w:ascii="time" w:hAnsi="time"/>
                <w:color w:val="auto"/>
                <w:sz w:val="24"/>
                <w:szCs w:val="24"/>
                <w:lang w:eastAsia="zh-CN"/>
              </w:rPr>
              <w:t>负压</w:t>
            </w:r>
            <w:r>
              <w:rPr>
                <w:rFonts w:hint="eastAsia" w:ascii="time" w:hAnsi="time"/>
                <w:color w:val="auto"/>
                <w:sz w:val="24"/>
                <w:szCs w:val="24"/>
              </w:rPr>
              <w:t>集气</w:t>
            </w:r>
            <w:r>
              <w:rPr>
                <w:rFonts w:hint="eastAsia" w:ascii="time" w:hAnsi="time"/>
                <w:color w:val="auto"/>
                <w:sz w:val="24"/>
                <w:szCs w:val="24"/>
                <w:lang w:eastAsia="zh-CN"/>
              </w:rPr>
              <w:t>罩</w:t>
            </w:r>
            <w:r>
              <w:rPr>
                <w:rFonts w:hint="eastAsia" w:ascii="time" w:hAnsi="time"/>
                <w:color w:val="auto"/>
                <w:sz w:val="24"/>
                <w:szCs w:val="24"/>
              </w:rPr>
              <w:t>收集有机废气。</w:t>
            </w:r>
            <w:r>
              <w:rPr>
                <w:rFonts w:hint="eastAsia" w:ascii="time" w:hAnsi="time"/>
                <w:color w:val="auto"/>
                <w:sz w:val="24"/>
                <w:szCs w:val="24"/>
                <w:lang w:eastAsia="zh-CN"/>
              </w:rPr>
              <w:t>根据《浙江省重点行业</w:t>
            </w:r>
            <w:r>
              <w:rPr>
                <w:rFonts w:hint="eastAsia" w:ascii="time" w:hAnsi="time"/>
                <w:color w:val="auto"/>
                <w:sz w:val="24"/>
                <w:szCs w:val="24"/>
                <w:lang w:val="en-US" w:eastAsia="zh-CN"/>
              </w:rPr>
              <w:t>VOCs污染排放源排放量计算方法</w:t>
            </w:r>
            <w:r>
              <w:rPr>
                <w:rFonts w:hint="eastAsia" w:ascii="time" w:hAnsi="time"/>
                <w:color w:val="auto"/>
                <w:sz w:val="24"/>
                <w:szCs w:val="24"/>
                <w:lang w:eastAsia="zh-CN"/>
              </w:rPr>
              <w:t>》，采用设备废气排口直连收集方式，收集效率为</w:t>
            </w:r>
            <w:r>
              <w:rPr>
                <w:rFonts w:hint="eastAsia" w:ascii="time" w:hAnsi="time"/>
                <w:color w:val="auto"/>
                <w:sz w:val="24"/>
                <w:szCs w:val="24"/>
                <w:lang w:val="en-US" w:eastAsia="zh-CN"/>
              </w:rPr>
              <w:t>80-95%，</w:t>
            </w:r>
            <w:r>
              <w:rPr>
                <w:rFonts w:hint="eastAsia"/>
                <w:color w:val="auto"/>
                <w:sz w:val="24"/>
                <w:highlight w:val="none"/>
                <w:lang w:val="en-US" w:eastAsia="zh-CN"/>
              </w:rPr>
              <w:t>本次评价保守取值为80%。</w:t>
            </w:r>
            <w:r>
              <w:rPr>
                <w:rFonts w:hint="eastAsia" w:ascii="time" w:hAnsi="time"/>
                <w:color w:val="auto"/>
                <w:sz w:val="24"/>
                <w:szCs w:val="24"/>
              </w:rPr>
              <w:t>废气</w:t>
            </w:r>
            <w:r>
              <w:rPr>
                <w:rFonts w:hint="eastAsia" w:ascii="time" w:hAnsi="time"/>
                <w:color w:val="auto"/>
                <w:sz w:val="24"/>
                <w:szCs w:val="24"/>
                <w:lang w:eastAsia="zh-CN"/>
              </w:rPr>
              <w:t>收集后</w:t>
            </w:r>
            <w:r>
              <w:rPr>
                <w:rFonts w:hint="eastAsia" w:ascii="time" w:hAnsi="time"/>
                <w:color w:val="auto"/>
                <w:sz w:val="24"/>
                <w:szCs w:val="24"/>
              </w:rPr>
              <w:t>引入</w:t>
            </w:r>
            <w:r>
              <w:rPr>
                <w:rFonts w:hint="eastAsia" w:ascii="Times New Roman" w:hAnsi="Times New Roman" w:eastAsia="宋体" w:cs="Times New Roman"/>
                <w:color w:val="auto"/>
                <w:sz w:val="24"/>
                <w:szCs w:val="24"/>
                <w:highlight w:val="none"/>
                <w:lang w:eastAsia="zh-CN"/>
              </w:rPr>
              <w:t>带有自动控制系统的</w:t>
            </w:r>
            <w:r>
              <w:rPr>
                <w:rFonts w:hint="eastAsia" w:ascii="time" w:hAnsi="time"/>
                <w:color w:val="auto"/>
                <w:sz w:val="24"/>
                <w:szCs w:val="24"/>
              </w:rPr>
              <w:t>二级活性炭吸附装置</w:t>
            </w:r>
            <w:r>
              <w:rPr>
                <w:rFonts w:hint="eastAsia" w:ascii="time" w:hAnsi="time"/>
                <w:color w:val="auto"/>
                <w:sz w:val="24"/>
                <w:szCs w:val="24"/>
                <w:lang w:eastAsia="zh-CN"/>
              </w:rPr>
              <w:t>进行</w:t>
            </w:r>
            <w:r>
              <w:rPr>
                <w:rFonts w:hint="eastAsia" w:ascii="time" w:hAnsi="time"/>
                <w:color w:val="auto"/>
                <w:sz w:val="24"/>
                <w:szCs w:val="24"/>
              </w:rPr>
              <w:t>处理，通过1根15m高排气筒（DA00</w:t>
            </w:r>
            <w:r>
              <w:rPr>
                <w:rFonts w:hint="eastAsia" w:ascii="time" w:hAnsi="time"/>
                <w:color w:val="auto"/>
                <w:sz w:val="24"/>
                <w:szCs w:val="24"/>
                <w:lang w:val="en-US" w:eastAsia="zh-CN"/>
              </w:rPr>
              <w:t>5</w:t>
            </w:r>
            <w:r>
              <w:rPr>
                <w:rFonts w:hint="eastAsia" w:ascii="time" w:hAnsi="time"/>
                <w:color w:val="auto"/>
                <w:sz w:val="24"/>
                <w:szCs w:val="24"/>
              </w:rPr>
              <w:t>）排放</w:t>
            </w:r>
            <w:r>
              <w:rPr>
                <w:rFonts w:hint="eastAsia" w:ascii="time" w:hAnsi="time"/>
                <w:color w:val="auto"/>
                <w:sz w:val="24"/>
                <w:szCs w:val="24"/>
                <w:lang w:eastAsia="zh-CN"/>
              </w:rPr>
              <w:t>，根据《广东省表面涂装（汽车制造业）挥发性有机废气治理技术指南》，吸附法治理效率在</w:t>
            </w:r>
            <w:r>
              <w:rPr>
                <w:rFonts w:hint="eastAsia" w:ascii="time" w:hAnsi="time"/>
                <w:color w:val="auto"/>
                <w:sz w:val="24"/>
                <w:szCs w:val="24"/>
                <w:lang w:val="en-US" w:eastAsia="zh-CN"/>
              </w:rPr>
              <w:t>50-90%，</w:t>
            </w:r>
            <w:r>
              <w:rPr>
                <w:rFonts w:hint="eastAsia"/>
                <w:color w:val="auto"/>
                <w:sz w:val="24"/>
                <w:highlight w:val="none"/>
                <w:lang w:val="en-US" w:eastAsia="zh-CN"/>
              </w:rPr>
              <w:t>本次评价保守取值为</w:t>
            </w:r>
            <w:r>
              <w:rPr>
                <w:rFonts w:hint="eastAsia" w:ascii="time" w:hAnsi="time"/>
                <w:color w:val="auto"/>
                <w:sz w:val="24"/>
                <w:szCs w:val="24"/>
                <w:lang w:val="en-US" w:eastAsia="zh-CN"/>
              </w:rPr>
              <w:t>50%。</w:t>
            </w:r>
          </w:p>
          <w:p w14:paraId="6DBD4A19">
            <w:pPr>
              <w:widowControl/>
              <w:numPr>
                <w:ilvl w:val="0"/>
                <w:numId w:val="0"/>
              </w:numPr>
              <w:spacing w:line="360" w:lineRule="auto"/>
              <w:ind w:firstLine="482" w:firstLineChars="200"/>
              <w:jc w:val="left"/>
              <w:rPr>
                <w:rFonts w:hint="eastAsia"/>
                <w:color w:val="auto"/>
                <w:sz w:val="24"/>
                <w:szCs w:val="24"/>
                <w:highlight w:val="none"/>
                <w:lang w:val="en-US" w:eastAsia="zh-CN"/>
              </w:rPr>
            </w:pPr>
            <w:r>
              <w:rPr>
                <w:rFonts w:hint="eastAsia" w:ascii="time" w:hAnsi="time"/>
                <w:b/>
                <w:bCs/>
                <w:color w:val="auto"/>
                <w:sz w:val="24"/>
                <w:szCs w:val="24"/>
                <w:lang w:eastAsia="zh-CN"/>
              </w:rPr>
              <w:t>风量核算：</w:t>
            </w:r>
            <w:r>
              <w:rPr>
                <w:rFonts w:hint="eastAsia" w:cs="Times New Roman"/>
                <w:b w:val="0"/>
                <w:bCs w:val="0"/>
                <w:color w:val="auto"/>
                <w:kern w:val="2"/>
                <w:sz w:val="24"/>
                <w:szCs w:val="24"/>
                <w:highlight w:val="none"/>
                <w:lang w:val="en-US" w:eastAsia="zh-CN" w:bidi="ar-SA"/>
              </w:rPr>
              <w:t>本项目辊涂机、紫外光固化机上方均设置集气罩，</w:t>
            </w:r>
            <w:r>
              <w:rPr>
                <w:rFonts w:hint="eastAsia" w:ascii="time" w:hAnsi="time"/>
                <w:color w:val="auto"/>
                <w:sz w:val="24"/>
                <w:szCs w:val="24"/>
              </w:rPr>
              <w:t>经查阅资料</w:t>
            </w:r>
            <w:r>
              <w:rPr>
                <w:rFonts w:hint="eastAsia" w:ascii="time" w:hAnsi="time"/>
                <w:color w:val="auto"/>
                <w:sz w:val="24"/>
                <w:szCs w:val="24"/>
                <w:lang w:eastAsia="zh-CN"/>
              </w:rPr>
              <w:t>，</w:t>
            </w:r>
            <w:r>
              <w:rPr>
                <w:rFonts w:hint="eastAsia"/>
                <w:color w:val="auto"/>
                <w:sz w:val="24"/>
                <w:szCs w:val="24"/>
                <w:highlight w:val="none"/>
                <w:lang w:val="en-US" w:eastAsia="zh-CN"/>
              </w:rPr>
              <w:t>集气罩风量计算公式：</w:t>
            </w:r>
          </w:p>
          <w:p w14:paraId="6C229C2A">
            <w:pPr>
              <w:widowControl/>
              <w:numPr>
                <w:ilvl w:val="0"/>
                <w:numId w:val="0"/>
              </w:numPr>
              <w:spacing w:line="360" w:lineRule="auto"/>
              <w:jc w:val="center"/>
              <w:rPr>
                <w:rFonts w:hint="default"/>
                <w:color w:val="auto"/>
                <w:sz w:val="24"/>
                <w:szCs w:val="24"/>
                <w:highlight w:val="none"/>
                <w:lang w:val="en-US" w:eastAsia="zh-CN"/>
              </w:rPr>
            </w:pPr>
            <w:r>
              <w:rPr>
                <w:rFonts w:hint="default"/>
                <w:color w:val="auto"/>
                <w:position w:val="-10"/>
                <w:sz w:val="24"/>
                <w:szCs w:val="24"/>
                <w:highlight w:val="none"/>
                <w:lang w:val="en-US" w:eastAsia="zh-CN"/>
              </w:rPr>
              <w:object>
                <v:shape id="_x0000_i1370" o:spt="75" type="#_x0000_t75" style="height:25.8pt;width:135.4pt;" o:ole="t" filled="f" o:preferrelative="t" stroked="f" coordsize="21600,21600">
                  <v:path/>
                  <v:fill on="f" focussize="0,0"/>
                  <v:stroke on="f"/>
                  <v:imagedata r:id="rId15" o:title=""/>
                  <o:lock v:ext="edit" aspectratio="t"/>
                  <w10:wrap type="none"/>
                  <w10:anchorlock/>
                </v:shape>
                <o:OLEObject Type="Embed" ProgID="Equation.KSEE3" ShapeID="_x0000_i1370" DrawAspect="Content" ObjectID="_1468075726" r:id="rId14">
                  <o:LockedField>false</o:LockedField>
                </o:OLEObject>
              </w:object>
            </w:r>
          </w:p>
          <w:p w14:paraId="531294A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auto"/>
                <w:sz w:val="24"/>
                <w:szCs w:val="24"/>
                <w:highlight w:val="none"/>
                <w:lang w:val="en-US" w:eastAsia="zh-CN"/>
              </w:rPr>
            </w:pPr>
            <w:r>
              <w:rPr>
                <w:rFonts w:hint="eastAsia"/>
                <w:color w:val="auto"/>
                <w:sz w:val="24"/>
                <w:szCs w:val="24"/>
                <w:highlight w:val="none"/>
                <w:lang w:val="en-US" w:eastAsia="zh-CN"/>
              </w:rPr>
              <w:t>Q——集气罩排风量，m</w:t>
            </w:r>
            <w:r>
              <w:rPr>
                <w:rFonts w:hint="eastAsia"/>
                <w:color w:val="auto"/>
                <w:sz w:val="24"/>
                <w:szCs w:val="24"/>
                <w:highlight w:val="none"/>
                <w:vertAlign w:val="superscript"/>
                <w:lang w:val="en-US" w:eastAsia="zh-CN"/>
              </w:rPr>
              <w:t>3</w:t>
            </w:r>
            <w:r>
              <w:rPr>
                <w:rFonts w:hint="eastAsia"/>
                <w:color w:val="auto"/>
                <w:sz w:val="24"/>
                <w:szCs w:val="24"/>
                <w:highlight w:val="none"/>
                <w:lang w:val="en-US" w:eastAsia="zh-CN"/>
              </w:rPr>
              <w:t>/s；</w:t>
            </w:r>
          </w:p>
          <w:p w14:paraId="50C52477">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color w:val="auto"/>
                <w:sz w:val="24"/>
                <w:szCs w:val="24"/>
                <w:highlight w:val="none"/>
                <w:lang w:val="en-US" w:eastAsia="zh-CN"/>
              </w:rPr>
            </w:pPr>
            <w:r>
              <w:rPr>
                <w:rFonts w:hint="eastAsia"/>
                <w:color w:val="auto"/>
                <w:sz w:val="24"/>
                <w:szCs w:val="24"/>
                <w:highlight w:val="none"/>
                <w:lang w:val="en-US" w:eastAsia="zh-CN"/>
              </w:rPr>
              <w:t>V——管道内风速，m/s（支管2-8m/s）；本项目取2m/s；</w:t>
            </w:r>
          </w:p>
          <w:p w14:paraId="20992E63">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color w:val="auto"/>
                <w:sz w:val="24"/>
                <w:szCs w:val="24"/>
                <w:highlight w:val="none"/>
                <w:lang w:val="en-US" w:eastAsia="zh-CN"/>
              </w:rPr>
            </w:pPr>
            <w:r>
              <w:rPr>
                <w:rFonts w:hint="eastAsia"/>
                <w:color w:val="auto"/>
                <w:sz w:val="24"/>
                <w:szCs w:val="24"/>
                <w:highlight w:val="none"/>
                <w:lang w:val="en-US" w:eastAsia="zh-CN"/>
              </w:rPr>
              <w:t>A——管道截面积，m</w:t>
            </w:r>
            <w:r>
              <w:rPr>
                <w:rFonts w:hint="eastAsia"/>
                <w:color w:val="auto"/>
                <w:sz w:val="24"/>
                <w:szCs w:val="24"/>
                <w:highlight w:val="none"/>
                <w:vertAlign w:val="superscript"/>
                <w:lang w:val="en-US" w:eastAsia="zh-CN"/>
              </w:rPr>
              <w:t>2</w:t>
            </w:r>
            <w:r>
              <w:rPr>
                <w:rFonts w:hint="eastAsia"/>
                <w:color w:val="auto"/>
                <w:sz w:val="24"/>
                <w:szCs w:val="24"/>
                <w:highlight w:val="none"/>
                <w:lang w:val="en-US" w:eastAsia="zh-CN"/>
              </w:rPr>
              <w:t>；截面积为0.1256m</w:t>
            </w:r>
            <w:r>
              <w:rPr>
                <w:rFonts w:hint="eastAsia"/>
                <w:color w:val="auto"/>
                <w:sz w:val="24"/>
                <w:szCs w:val="24"/>
                <w:highlight w:val="none"/>
                <w:vertAlign w:val="superscript"/>
                <w:lang w:val="en-US" w:eastAsia="zh-CN"/>
              </w:rPr>
              <w:t>2</w:t>
            </w:r>
            <w:r>
              <w:rPr>
                <w:rFonts w:hint="eastAsia"/>
                <w:color w:val="auto"/>
                <w:sz w:val="24"/>
                <w:szCs w:val="24"/>
                <w:highlight w:val="none"/>
                <w:lang w:val="en-US" w:eastAsia="zh-CN"/>
              </w:rPr>
              <w:t>；</w:t>
            </w:r>
          </w:p>
          <w:p w14:paraId="04463840">
            <w:pPr>
              <w:pStyle w:val="14"/>
              <w:keepNext w:val="0"/>
              <w:keepLines w:val="0"/>
              <w:pageBreakBefore w:val="0"/>
              <w:widowControl w:val="0"/>
              <w:numPr>
                <w:ilvl w:val="0"/>
                <w:numId w:val="0"/>
              </w:numPr>
              <w:kinsoku/>
              <w:wordWrap/>
              <w:overflowPunct/>
              <w:topLinePunct w:val="0"/>
              <w:autoSpaceDE w:val="0"/>
              <w:autoSpaceDN w:val="0"/>
              <w:bidi w:val="0"/>
              <w:adjustRightInd/>
              <w:snapToGrid/>
              <w:spacing w:line="360" w:lineRule="auto"/>
              <w:ind w:firstLine="480" w:firstLineChars="200"/>
              <w:textAlignment w:val="auto"/>
              <w:rPr>
                <w:rFonts w:hint="eastAsia" w:ascii="time" w:hAnsi="time"/>
                <w:b/>
                <w:bCs/>
                <w:color w:val="auto"/>
                <w:sz w:val="24"/>
                <w:szCs w:val="24"/>
                <w:lang w:eastAsia="zh-CN"/>
              </w:rPr>
            </w:pPr>
            <w:r>
              <w:rPr>
                <w:rFonts w:hint="eastAsia"/>
                <w:color w:val="auto"/>
                <w:sz w:val="24"/>
                <w:szCs w:val="24"/>
                <w:highlight w:val="none"/>
                <w:lang w:val="en-US" w:eastAsia="zh-CN"/>
              </w:rPr>
              <w:t>根据上述公式计算，本项目集气管支管风量为904.32m</w:t>
            </w:r>
            <w:r>
              <w:rPr>
                <w:rFonts w:hint="eastAsia"/>
                <w:color w:val="auto"/>
                <w:sz w:val="24"/>
                <w:szCs w:val="24"/>
                <w:highlight w:val="none"/>
                <w:vertAlign w:val="superscript"/>
                <w:lang w:val="en-US" w:eastAsia="zh-CN"/>
              </w:rPr>
              <w:t>3</w:t>
            </w:r>
            <w:r>
              <w:rPr>
                <w:rFonts w:hint="eastAsia"/>
                <w:color w:val="auto"/>
                <w:sz w:val="24"/>
                <w:szCs w:val="24"/>
                <w:highlight w:val="none"/>
                <w:lang w:val="en-US" w:eastAsia="zh-CN"/>
              </w:rPr>
              <w:t>/h。项目</w:t>
            </w:r>
            <w:r>
              <w:rPr>
                <w:rFonts w:hint="eastAsia" w:ascii="time" w:hAnsi="time"/>
                <w:color w:val="auto"/>
                <w:sz w:val="24"/>
                <w:szCs w:val="24"/>
                <w:lang w:val="en-US" w:eastAsia="zh-CN"/>
              </w:rPr>
              <w:t>辊漆固化工段设</w:t>
            </w:r>
            <w:r>
              <w:rPr>
                <w:rFonts w:hint="eastAsia" w:ascii="time" w:hAnsi="time"/>
                <w:color w:val="auto"/>
                <w:sz w:val="24"/>
                <w:szCs w:val="24"/>
                <w:lang w:eastAsia="zh-CN"/>
              </w:rPr>
              <w:t>辊</w:t>
            </w:r>
            <w:r>
              <w:rPr>
                <w:rFonts w:hint="eastAsia" w:ascii="time" w:hAnsi="time"/>
                <w:color w:val="auto"/>
                <w:sz w:val="24"/>
                <w:szCs w:val="24"/>
              </w:rPr>
              <w:t>涂机有</w:t>
            </w:r>
            <w:r>
              <w:rPr>
                <w:rFonts w:hint="eastAsia" w:ascii="time" w:hAnsi="time"/>
                <w:color w:val="auto"/>
                <w:sz w:val="24"/>
                <w:szCs w:val="24"/>
                <w:lang w:val="en-US" w:eastAsia="zh-CN"/>
              </w:rPr>
              <w:t>7</w:t>
            </w:r>
            <w:r>
              <w:rPr>
                <w:rFonts w:hint="eastAsia" w:ascii="time" w:hAnsi="time"/>
                <w:color w:val="auto"/>
                <w:sz w:val="24"/>
                <w:szCs w:val="24"/>
              </w:rPr>
              <w:t>台、</w:t>
            </w:r>
            <w:r>
              <w:rPr>
                <w:rFonts w:hint="eastAsia" w:ascii="time" w:hAnsi="time"/>
                <w:color w:val="auto"/>
                <w:sz w:val="24"/>
                <w:szCs w:val="24"/>
                <w:lang w:eastAsia="zh-CN"/>
              </w:rPr>
              <w:t>紫外光固化机</w:t>
            </w:r>
            <w:r>
              <w:rPr>
                <w:rFonts w:hint="eastAsia" w:ascii="time" w:hAnsi="time"/>
                <w:color w:val="auto"/>
                <w:sz w:val="24"/>
                <w:szCs w:val="24"/>
                <w:lang w:val="en-US" w:eastAsia="zh-CN"/>
              </w:rPr>
              <w:t>7</w:t>
            </w:r>
            <w:r>
              <w:rPr>
                <w:rFonts w:hint="eastAsia" w:ascii="time" w:hAnsi="time"/>
                <w:color w:val="auto"/>
                <w:sz w:val="24"/>
                <w:szCs w:val="24"/>
              </w:rPr>
              <w:t>台</w:t>
            </w:r>
            <w:r>
              <w:rPr>
                <w:rFonts w:hint="eastAsia" w:ascii="time" w:hAnsi="time"/>
                <w:color w:val="auto"/>
                <w:sz w:val="24"/>
                <w:szCs w:val="24"/>
                <w:lang w:eastAsia="zh-CN"/>
              </w:rPr>
              <w:t>，即集气罩总风量为</w:t>
            </w:r>
            <w:r>
              <w:rPr>
                <w:rFonts w:hint="eastAsia" w:ascii="time" w:hAnsi="time"/>
                <w:color w:val="auto"/>
                <w:sz w:val="24"/>
                <w:szCs w:val="24"/>
                <w:lang w:val="en-US" w:eastAsia="zh-CN"/>
              </w:rPr>
              <w:t>12660.48</w:t>
            </w:r>
            <w:r>
              <w:rPr>
                <w:rFonts w:hint="eastAsia"/>
                <w:color w:val="auto"/>
                <w:sz w:val="24"/>
                <w:szCs w:val="24"/>
                <w:highlight w:val="none"/>
                <w:lang w:val="en-US" w:eastAsia="zh-CN"/>
              </w:rPr>
              <w:t>m</w:t>
            </w:r>
            <w:r>
              <w:rPr>
                <w:rFonts w:hint="eastAsia"/>
                <w:color w:val="auto"/>
                <w:sz w:val="24"/>
                <w:szCs w:val="24"/>
                <w:highlight w:val="none"/>
                <w:vertAlign w:val="superscript"/>
                <w:lang w:val="en-US" w:eastAsia="zh-CN"/>
              </w:rPr>
              <w:t>3</w:t>
            </w:r>
            <w:r>
              <w:rPr>
                <w:rFonts w:hint="eastAsia"/>
                <w:color w:val="auto"/>
                <w:sz w:val="24"/>
                <w:szCs w:val="24"/>
                <w:highlight w:val="none"/>
                <w:lang w:val="en-US" w:eastAsia="zh-CN"/>
              </w:rPr>
              <w:t>/h，</w:t>
            </w:r>
            <w:r>
              <w:rPr>
                <w:rFonts w:hint="eastAsia" w:ascii="time" w:hAnsi="time"/>
                <w:color w:val="auto"/>
                <w:sz w:val="24"/>
                <w:szCs w:val="24"/>
              </w:rPr>
              <w:t>考虑各弯管处及除尘管内压力损失，</w:t>
            </w:r>
            <w:r>
              <w:rPr>
                <w:rFonts w:hint="eastAsia" w:ascii="time" w:hAnsi="time"/>
                <w:color w:val="auto"/>
                <w:sz w:val="24"/>
                <w:szCs w:val="24"/>
                <w:lang w:eastAsia="zh-CN"/>
              </w:rPr>
              <w:t>本项目设计风量为</w:t>
            </w:r>
            <w:r>
              <w:rPr>
                <w:rFonts w:hint="eastAsia" w:ascii="time" w:hAnsi="time"/>
                <w:color w:val="auto"/>
                <w:sz w:val="24"/>
                <w:szCs w:val="24"/>
                <w:lang w:val="en-US" w:eastAsia="zh-CN"/>
              </w:rPr>
              <w:t>13000</w:t>
            </w:r>
            <w:r>
              <w:rPr>
                <w:rFonts w:hint="eastAsia"/>
                <w:color w:val="auto"/>
                <w:sz w:val="24"/>
                <w:szCs w:val="24"/>
                <w:highlight w:val="none"/>
                <w:lang w:val="en-US" w:eastAsia="zh-CN"/>
              </w:rPr>
              <w:t>m</w:t>
            </w:r>
            <w:r>
              <w:rPr>
                <w:rFonts w:hint="eastAsia"/>
                <w:color w:val="auto"/>
                <w:sz w:val="24"/>
                <w:szCs w:val="24"/>
                <w:highlight w:val="none"/>
                <w:vertAlign w:val="superscript"/>
                <w:lang w:val="en-US" w:eastAsia="zh-CN"/>
              </w:rPr>
              <w:t>3</w:t>
            </w:r>
            <w:r>
              <w:rPr>
                <w:rFonts w:hint="eastAsia"/>
                <w:color w:val="auto"/>
                <w:sz w:val="24"/>
                <w:szCs w:val="24"/>
                <w:highlight w:val="none"/>
                <w:lang w:val="en-US" w:eastAsia="zh-CN"/>
              </w:rPr>
              <w:t>/h</w:t>
            </w:r>
            <w:r>
              <w:rPr>
                <w:color w:val="auto"/>
                <w:sz w:val="24"/>
                <w:szCs w:val="24"/>
              </w:rPr>
              <w:t>。</w:t>
            </w:r>
          </w:p>
          <w:p w14:paraId="5F168618">
            <w:pPr>
              <w:numPr>
                <w:ilvl w:val="0"/>
                <w:numId w:val="0"/>
              </w:numPr>
              <w:spacing w:line="360" w:lineRule="auto"/>
              <w:ind w:firstLine="480" w:firstLineChars="200"/>
              <w:rPr>
                <w:rFonts w:hint="eastAsia" w:ascii="time" w:hAnsi="time" w:eastAsia="宋体"/>
                <w:b/>
                <w:bCs/>
                <w:color w:val="auto"/>
                <w:sz w:val="24"/>
                <w:szCs w:val="24"/>
                <w:lang w:eastAsia="zh-CN"/>
              </w:rPr>
            </w:pPr>
            <w:r>
              <w:rPr>
                <w:rFonts w:hint="eastAsia" w:ascii="time" w:hAnsi="time"/>
                <w:color w:val="auto"/>
                <w:sz w:val="24"/>
                <w:szCs w:val="24"/>
                <w:lang w:eastAsia="zh-CN"/>
              </w:rPr>
              <w:t>综上，</w:t>
            </w:r>
            <w:r>
              <w:rPr>
                <w:rFonts w:hint="eastAsia"/>
                <w:color w:val="auto"/>
                <w:sz w:val="24"/>
                <w:szCs w:val="24"/>
                <w:lang w:eastAsia="zh-CN"/>
              </w:rPr>
              <w:t>挥发性有组织排放量为0.</w:t>
            </w:r>
            <w:r>
              <w:rPr>
                <w:rFonts w:hint="eastAsia"/>
                <w:color w:val="auto"/>
                <w:sz w:val="24"/>
                <w:szCs w:val="24"/>
                <w:lang w:val="en-US" w:eastAsia="zh-CN"/>
              </w:rPr>
              <w:t>26</w:t>
            </w:r>
            <w:r>
              <w:rPr>
                <w:rFonts w:hint="eastAsia"/>
                <w:color w:val="auto"/>
                <w:sz w:val="24"/>
                <w:szCs w:val="24"/>
                <w:lang w:eastAsia="zh-CN"/>
              </w:rPr>
              <w:t>t/a，排放速率为0.</w:t>
            </w:r>
            <w:r>
              <w:rPr>
                <w:rFonts w:hint="eastAsia"/>
                <w:color w:val="auto"/>
                <w:sz w:val="24"/>
                <w:szCs w:val="24"/>
                <w:lang w:val="en-US" w:eastAsia="zh-CN"/>
              </w:rPr>
              <w:t>088</w:t>
            </w:r>
            <w:r>
              <w:rPr>
                <w:rFonts w:hint="eastAsia"/>
                <w:color w:val="auto"/>
                <w:sz w:val="24"/>
                <w:szCs w:val="24"/>
                <w:lang w:eastAsia="zh-CN"/>
              </w:rPr>
              <w:t>kg/h，排放浓度为</w:t>
            </w:r>
            <w:r>
              <w:rPr>
                <w:rFonts w:hint="eastAsia"/>
                <w:color w:val="auto"/>
                <w:sz w:val="24"/>
                <w:szCs w:val="24"/>
                <w:lang w:val="en-US" w:eastAsia="zh-CN"/>
              </w:rPr>
              <w:t>6.73</w:t>
            </w:r>
            <w:r>
              <w:rPr>
                <w:rFonts w:hint="eastAsia" w:ascii="time" w:hAnsi="time"/>
                <w:color w:val="auto"/>
                <w:sz w:val="24"/>
                <w:szCs w:val="24"/>
              </w:rPr>
              <w:t>m</w:t>
            </w:r>
            <w:r>
              <w:rPr>
                <w:rFonts w:hint="eastAsia" w:ascii="time" w:hAnsi="time"/>
                <w:color w:val="auto"/>
                <w:sz w:val="24"/>
                <w:szCs w:val="24"/>
                <w:lang w:val="en-US" w:eastAsia="zh-CN"/>
              </w:rPr>
              <w:t>g</w:t>
            </w:r>
            <w:r>
              <w:rPr>
                <w:rFonts w:hint="eastAsia" w:ascii="time" w:hAnsi="time"/>
                <w:color w:val="auto"/>
                <w:sz w:val="24"/>
                <w:szCs w:val="24"/>
              </w:rPr>
              <w:t>/</w:t>
            </w:r>
            <w:r>
              <w:rPr>
                <w:rFonts w:hint="eastAsia" w:ascii="time" w:hAnsi="time"/>
                <w:color w:val="auto"/>
                <w:sz w:val="24"/>
                <w:szCs w:val="24"/>
                <w:lang w:val="en-US" w:eastAsia="zh-CN"/>
              </w:rPr>
              <w:t>m</w:t>
            </w:r>
            <w:r>
              <w:rPr>
                <w:rFonts w:hint="eastAsia" w:ascii="time" w:hAnsi="time"/>
                <w:color w:val="auto"/>
                <w:sz w:val="24"/>
                <w:szCs w:val="24"/>
                <w:vertAlign w:val="superscript"/>
                <w:lang w:val="en-US" w:eastAsia="zh-CN"/>
              </w:rPr>
              <w:t>3</w:t>
            </w:r>
            <w:r>
              <w:rPr>
                <w:rFonts w:hint="eastAsia"/>
                <w:color w:val="auto"/>
                <w:sz w:val="24"/>
                <w:szCs w:val="24"/>
                <w:lang w:eastAsia="zh-CN"/>
              </w:rPr>
              <w:t>。</w:t>
            </w:r>
            <w:r>
              <w:rPr>
                <w:rFonts w:hint="eastAsia"/>
                <w:b w:val="0"/>
                <w:bCs w:val="0"/>
                <w:color w:val="auto"/>
                <w:sz w:val="24"/>
                <w:szCs w:val="24"/>
                <w:highlight w:val="none"/>
                <w:lang w:eastAsia="zh-CN"/>
              </w:rPr>
              <w:t>本项目</w:t>
            </w:r>
            <w:r>
              <w:rPr>
                <w:b w:val="0"/>
                <w:bCs w:val="0"/>
                <w:color w:val="auto"/>
                <w:sz w:val="24"/>
                <w:szCs w:val="24"/>
                <w:highlight w:val="none"/>
              </w:rPr>
              <w:t>辊涂、</w:t>
            </w:r>
            <w:r>
              <w:rPr>
                <w:rFonts w:hint="eastAsia"/>
                <w:b w:val="0"/>
                <w:bCs w:val="0"/>
                <w:color w:val="auto"/>
                <w:sz w:val="24"/>
                <w:szCs w:val="24"/>
                <w:highlight w:val="none"/>
                <w:lang w:val="en-US" w:eastAsia="zh-CN"/>
              </w:rPr>
              <w:t>紫外光</w:t>
            </w:r>
            <w:r>
              <w:rPr>
                <w:b w:val="0"/>
                <w:bCs w:val="0"/>
                <w:color w:val="auto"/>
                <w:sz w:val="24"/>
                <w:szCs w:val="24"/>
                <w:highlight w:val="none"/>
              </w:rPr>
              <w:t>固化</w:t>
            </w:r>
            <w:r>
              <w:rPr>
                <w:rFonts w:hint="eastAsia" w:ascii="time" w:hAnsi="time"/>
                <w:color w:val="auto"/>
                <w:sz w:val="24"/>
                <w:szCs w:val="24"/>
                <w:highlight w:val="none"/>
                <w:lang w:eastAsia="zh-CN"/>
              </w:rPr>
              <w:t>挥发性有机物</w:t>
            </w:r>
            <w:r>
              <w:rPr>
                <w:rFonts w:hint="eastAsia" w:ascii="time" w:hAnsi="time"/>
                <w:color w:val="auto"/>
                <w:sz w:val="24"/>
                <w:szCs w:val="24"/>
                <w:highlight w:val="none"/>
              </w:rPr>
              <w:t>产生</w:t>
            </w:r>
            <w:r>
              <w:rPr>
                <w:rFonts w:hint="eastAsia" w:ascii="time" w:hAnsi="time"/>
                <w:color w:val="auto"/>
                <w:sz w:val="24"/>
                <w:szCs w:val="24"/>
                <w:highlight w:val="none"/>
                <w:lang w:eastAsia="zh-CN"/>
              </w:rPr>
              <w:t>总</w:t>
            </w:r>
            <w:r>
              <w:rPr>
                <w:rFonts w:hint="eastAsia" w:ascii="time" w:hAnsi="time"/>
                <w:color w:val="auto"/>
                <w:sz w:val="24"/>
                <w:szCs w:val="24"/>
                <w:highlight w:val="none"/>
              </w:rPr>
              <w:t>量为</w:t>
            </w:r>
            <w:r>
              <w:rPr>
                <w:rFonts w:hint="eastAsia" w:ascii="time" w:hAnsi="time"/>
                <w:color w:val="auto"/>
                <w:sz w:val="24"/>
                <w:szCs w:val="24"/>
                <w:highlight w:val="none"/>
                <w:lang w:val="en-US" w:eastAsia="zh-CN"/>
              </w:rPr>
              <w:t>0.646</w:t>
            </w:r>
            <w:r>
              <w:rPr>
                <w:rFonts w:hint="eastAsia" w:ascii="time" w:hAnsi="time"/>
                <w:color w:val="auto"/>
                <w:sz w:val="24"/>
                <w:szCs w:val="24"/>
                <w:highlight w:val="none"/>
              </w:rPr>
              <w:t>t/a</w:t>
            </w:r>
            <w:r>
              <w:rPr>
                <w:rFonts w:hint="eastAsia" w:ascii="time" w:hAnsi="time"/>
                <w:color w:val="auto"/>
                <w:sz w:val="24"/>
                <w:szCs w:val="24"/>
                <w:highlight w:val="none"/>
                <w:lang w:eastAsia="zh-CN"/>
              </w:rPr>
              <w:t>，废气收集效率为</w:t>
            </w:r>
            <w:r>
              <w:rPr>
                <w:rFonts w:hint="eastAsia" w:ascii="time" w:hAnsi="time"/>
                <w:color w:val="auto"/>
                <w:sz w:val="24"/>
                <w:szCs w:val="24"/>
                <w:highlight w:val="none"/>
                <w:lang w:val="en-US" w:eastAsia="zh-CN"/>
              </w:rPr>
              <w:t>80%，因此无组织挥发性有机物排放量为0.1292t/a。</w:t>
            </w:r>
          </w:p>
          <w:p w14:paraId="6B9595CD">
            <w:pPr>
              <w:pStyle w:val="68"/>
              <w:numPr>
                <w:ilvl w:val="0"/>
                <w:numId w:val="19"/>
              </w:numPr>
              <w:spacing w:line="360" w:lineRule="auto"/>
              <w:ind w:left="0" w:leftChars="0" w:firstLine="0" w:firstLineChars="0"/>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  涂装有组织废气产排污情况表</w:t>
            </w:r>
          </w:p>
          <w:tbl>
            <w:tblPr>
              <w:tblStyle w:val="2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1"/>
              <w:gridCol w:w="935"/>
              <w:gridCol w:w="902"/>
              <w:gridCol w:w="808"/>
              <w:gridCol w:w="784"/>
              <w:gridCol w:w="786"/>
              <w:gridCol w:w="1001"/>
              <w:gridCol w:w="723"/>
              <w:gridCol w:w="794"/>
              <w:gridCol w:w="887"/>
            </w:tblGrid>
            <w:tr w14:paraId="517BAC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97" w:type="pct"/>
                  <w:vMerge w:val="restart"/>
                  <w:noWrap w:val="0"/>
                  <w:vAlign w:val="center"/>
                </w:tcPr>
                <w:p w14:paraId="7C6F6043">
                  <w:pPr>
                    <w:spacing w:line="240" w:lineRule="auto"/>
                    <w:jc w:val="center"/>
                    <w:rPr>
                      <w:rFonts w:hint="eastAsia" w:ascii="Times New Roman" w:hAnsi="Times New Roman" w:eastAsia="宋体" w:cs="Times New Roman"/>
                      <w:b/>
                      <w:color w:val="auto"/>
                      <w:sz w:val="21"/>
                      <w:szCs w:val="21"/>
                      <w:lang w:eastAsia="zh-CN"/>
                    </w:rPr>
                  </w:pPr>
                  <w:r>
                    <w:rPr>
                      <w:rFonts w:hint="eastAsia" w:ascii="Times New Roman" w:hAnsi="Times New Roman" w:eastAsia="宋体" w:cs="Times New Roman"/>
                      <w:b/>
                      <w:color w:val="auto"/>
                      <w:sz w:val="21"/>
                      <w:szCs w:val="21"/>
                      <w:lang w:eastAsia="zh-CN"/>
                    </w:rPr>
                    <w:t>工序</w:t>
                  </w:r>
                </w:p>
              </w:tc>
              <w:tc>
                <w:tcPr>
                  <w:tcW w:w="552" w:type="pct"/>
                  <w:vMerge w:val="restart"/>
                  <w:noWrap w:val="0"/>
                  <w:vAlign w:val="center"/>
                </w:tcPr>
                <w:p w14:paraId="68423115">
                  <w:pPr>
                    <w:spacing w:line="240" w:lineRule="auto"/>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污染物</w:t>
                  </w:r>
                </w:p>
              </w:tc>
              <w:tc>
                <w:tcPr>
                  <w:tcW w:w="533" w:type="pct"/>
                  <w:vMerge w:val="restart"/>
                  <w:noWrap w:val="0"/>
                  <w:vAlign w:val="center"/>
                </w:tcPr>
                <w:p w14:paraId="7A5EBA26">
                  <w:pPr>
                    <w:spacing w:line="240" w:lineRule="auto"/>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排气筒编号</w:t>
                  </w:r>
                </w:p>
              </w:tc>
              <w:tc>
                <w:tcPr>
                  <w:tcW w:w="477" w:type="pct"/>
                  <w:vMerge w:val="restart"/>
                  <w:noWrap w:val="0"/>
                  <w:vAlign w:val="center"/>
                </w:tcPr>
                <w:p w14:paraId="3A19FAB3">
                  <w:pPr>
                    <w:spacing w:line="240" w:lineRule="auto"/>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废气量m</w:t>
                  </w:r>
                  <w:r>
                    <w:rPr>
                      <w:rFonts w:hint="default" w:ascii="Times New Roman" w:hAnsi="Times New Roman" w:eastAsia="宋体" w:cs="Times New Roman"/>
                      <w:b/>
                      <w:color w:val="auto"/>
                      <w:sz w:val="21"/>
                      <w:szCs w:val="21"/>
                      <w:vertAlign w:val="superscript"/>
                    </w:rPr>
                    <w:t>3</w:t>
                  </w:r>
                  <w:r>
                    <w:rPr>
                      <w:rFonts w:hint="default" w:ascii="Times New Roman" w:hAnsi="Times New Roman" w:eastAsia="宋体" w:cs="Times New Roman"/>
                      <w:b/>
                      <w:color w:val="auto"/>
                      <w:sz w:val="21"/>
                      <w:szCs w:val="21"/>
                    </w:rPr>
                    <w:t>/h</w:t>
                  </w:r>
                </w:p>
              </w:tc>
              <w:tc>
                <w:tcPr>
                  <w:tcW w:w="1518" w:type="pct"/>
                  <w:gridSpan w:val="3"/>
                  <w:noWrap w:val="0"/>
                  <w:vAlign w:val="center"/>
                </w:tcPr>
                <w:p w14:paraId="46AB0BFC">
                  <w:pPr>
                    <w:spacing w:line="240" w:lineRule="auto"/>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产生情况</w:t>
                  </w:r>
                </w:p>
              </w:tc>
              <w:tc>
                <w:tcPr>
                  <w:tcW w:w="1420" w:type="pct"/>
                  <w:gridSpan w:val="3"/>
                  <w:noWrap w:val="0"/>
                  <w:vAlign w:val="center"/>
                </w:tcPr>
                <w:p w14:paraId="54B03EE8">
                  <w:pPr>
                    <w:spacing w:line="240" w:lineRule="auto"/>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排放情况</w:t>
                  </w:r>
                </w:p>
              </w:tc>
            </w:tr>
            <w:tr w14:paraId="4111FA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97" w:type="pct"/>
                  <w:vMerge w:val="continue"/>
                  <w:noWrap w:val="0"/>
                  <w:vAlign w:val="center"/>
                </w:tcPr>
                <w:p w14:paraId="73849C72">
                  <w:pPr>
                    <w:spacing w:line="240" w:lineRule="auto"/>
                    <w:jc w:val="center"/>
                    <w:rPr>
                      <w:rFonts w:hint="default" w:ascii="Times New Roman" w:hAnsi="Times New Roman" w:eastAsia="宋体" w:cs="Times New Roman"/>
                      <w:b/>
                      <w:color w:val="auto"/>
                      <w:sz w:val="21"/>
                      <w:szCs w:val="21"/>
                    </w:rPr>
                  </w:pPr>
                </w:p>
              </w:tc>
              <w:tc>
                <w:tcPr>
                  <w:tcW w:w="552" w:type="pct"/>
                  <w:vMerge w:val="continue"/>
                  <w:noWrap w:val="0"/>
                  <w:vAlign w:val="center"/>
                </w:tcPr>
                <w:p w14:paraId="0A2F5313">
                  <w:pPr>
                    <w:spacing w:line="240" w:lineRule="auto"/>
                    <w:jc w:val="center"/>
                    <w:rPr>
                      <w:rFonts w:hint="default" w:ascii="Times New Roman" w:hAnsi="Times New Roman" w:eastAsia="宋体" w:cs="Times New Roman"/>
                      <w:b/>
                      <w:color w:val="auto"/>
                      <w:sz w:val="21"/>
                      <w:szCs w:val="21"/>
                    </w:rPr>
                  </w:pPr>
                </w:p>
              </w:tc>
              <w:tc>
                <w:tcPr>
                  <w:tcW w:w="533" w:type="pct"/>
                  <w:vMerge w:val="continue"/>
                  <w:noWrap w:val="0"/>
                  <w:vAlign w:val="center"/>
                </w:tcPr>
                <w:p w14:paraId="4D19648D">
                  <w:pPr>
                    <w:spacing w:line="240" w:lineRule="auto"/>
                    <w:jc w:val="center"/>
                    <w:rPr>
                      <w:rFonts w:hint="default" w:ascii="Times New Roman" w:hAnsi="Times New Roman" w:eastAsia="宋体" w:cs="Times New Roman"/>
                      <w:b/>
                      <w:color w:val="auto"/>
                      <w:sz w:val="21"/>
                      <w:szCs w:val="21"/>
                    </w:rPr>
                  </w:pPr>
                </w:p>
              </w:tc>
              <w:tc>
                <w:tcPr>
                  <w:tcW w:w="477" w:type="pct"/>
                  <w:vMerge w:val="continue"/>
                  <w:noWrap w:val="0"/>
                  <w:vAlign w:val="center"/>
                </w:tcPr>
                <w:p w14:paraId="7FB01751">
                  <w:pPr>
                    <w:spacing w:line="240" w:lineRule="auto"/>
                    <w:jc w:val="center"/>
                    <w:rPr>
                      <w:rFonts w:hint="default" w:ascii="Times New Roman" w:hAnsi="Times New Roman" w:eastAsia="宋体" w:cs="Times New Roman"/>
                      <w:b/>
                      <w:color w:val="auto"/>
                      <w:sz w:val="21"/>
                      <w:szCs w:val="21"/>
                    </w:rPr>
                  </w:pPr>
                </w:p>
              </w:tc>
              <w:tc>
                <w:tcPr>
                  <w:tcW w:w="463" w:type="pct"/>
                  <w:noWrap w:val="0"/>
                  <w:vAlign w:val="center"/>
                </w:tcPr>
                <w:p w14:paraId="051C31AF">
                  <w:pPr>
                    <w:spacing w:line="240" w:lineRule="auto"/>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产生量t/a</w:t>
                  </w:r>
                </w:p>
              </w:tc>
              <w:tc>
                <w:tcPr>
                  <w:tcW w:w="464" w:type="pct"/>
                  <w:noWrap w:val="0"/>
                  <w:vAlign w:val="center"/>
                </w:tcPr>
                <w:p w14:paraId="6B2993DF">
                  <w:pPr>
                    <w:spacing w:line="240" w:lineRule="auto"/>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速率kg/h</w:t>
                  </w:r>
                </w:p>
              </w:tc>
              <w:tc>
                <w:tcPr>
                  <w:tcW w:w="589" w:type="pct"/>
                  <w:noWrap w:val="0"/>
                  <w:vAlign w:val="center"/>
                </w:tcPr>
                <w:p w14:paraId="02C0C46B">
                  <w:pPr>
                    <w:spacing w:line="240" w:lineRule="auto"/>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浓度mg/m</w:t>
                  </w:r>
                  <w:r>
                    <w:rPr>
                      <w:rFonts w:hint="default" w:ascii="Times New Roman" w:hAnsi="Times New Roman" w:eastAsia="宋体" w:cs="Times New Roman"/>
                      <w:b/>
                      <w:color w:val="auto"/>
                      <w:sz w:val="21"/>
                      <w:szCs w:val="21"/>
                      <w:vertAlign w:val="superscript"/>
                    </w:rPr>
                    <w:t>3</w:t>
                  </w:r>
                </w:p>
              </w:tc>
              <w:tc>
                <w:tcPr>
                  <w:tcW w:w="427" w:type="pct"/>
                  <w:noWrap w:val="0"/>
                  <w:vAlign w:val="center"/>
                </w:tcPr>
                <w:p w14:paraId="5E5A7466">
                  <w:pPr>
                    <w:spacing w:line="240" w:lineRule="auto"/>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排放量t/a</w:t>
                  </w:r>
                </w:p>
              </w:tc>
              <w:tc>
                <w:tcPr>
                  <w:tcW w:w="469" w:type="pct"/>
                  <w:noWrap w:val="0"/>
                  <w:vAlign w:val="center"/>
                </w:tcPr>
                <w:p w14:paraId="00C568A2">
                  <w:pPr>
                    <w:spacing w:line="240" w:lineRule="auto"/>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速率kg/h</w:t>
                  </w:r>
                </w:p>
              </w:tc>
              <w:tc>
                <w:tcPr>
                  <w:tcW w:w="522" w:type="pct"/>
                  <w:noWrap w:val="0"/>
                  <w:vAlign w:val="center"/>
                </w:tcPr>
                <w:p w14:paraId="6C33B597">
                  <w:pPr>
                    <w:spacing w:line="240" w:lineRule="auto"/>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浓度mg/m</w:t>
                  </w:r>
                  <w:r>
                    <w:rPr>
                      <w:rFonts w:hint="default" w:ascii="Times New Roman" w:hAnsi="Times New Roman" w:eastAsia="宋体" w:cs="Times New Roman"/>
                      <w:b/>
                      <w:color w:val="auto"/>
                      <w:sz w:val="21"/>
                      <w:szCs w:val="21"/>
                      <w:vertAlign w:val="superscript"/>
                    </w:rPr>
                    <w:t>3</w:t>
                  </w:r>
                </w:p>
              </w:tc>
            </w:tr>
            <w:tr w14:paraId="0A8254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97" w:type="pct"/>
                  <w:noWrap w:val="0"/>
                  <w:vAlign w:val="center"/>
                </w:tcPr>
                <w:p w14:paraId="3769202D">
                  <w:pPr>
                    <w:spacing w:line="24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eastAsia="zh-CN"/>
                    </w:rPr>
                    <w:t>辊涂、</w:t>
                  </w:r>
                  <w:r>
                    <w:rPr>
                      <w:rFonts w:hint="eastAsia" w:ascii="Times New Roman" w:hAnsi="Times New Roman" w:eastAsia="宋体" w:cs="Times New Roman"/>
                      <w:color w:val="auto"/>
                      <w:sz w:val="21"/>
                      <w:szCs w:val="21"/>
                      <w:highlight w:val="none"/>
                      <w:lang w:val="en-US" w:eastAsia="zh-CN"/>
                    </w:rPr>
                    <w:t>紫外光固化</w:t>
                  </w:r>
                </w:p>
              </w:tc>
              <w:tc>
                <w:tcPr>
                  <w:tcW w:w="552" w:type="pct"/>
                  <w:noWrap w:val="0"/>
                  <w:vAlign w:val="center"/>
                </w:tcPr>
                <w:p w14:paraId="5E067521">
                  <w:pPr>
                    <w:spacing w:line="240" w:lineRule="auto"/>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挥发性有机物</w:t>
                  </w:r>
                </w:p>
              </w:tc>
              <w:tc>
                <w:tcPr>
                  <w:tcW w:w="533" w:type="pct"/>
                  <w:noWrap w:val="0"/>
                  <w:vAlign w:val="center"/>
                </w:tcPr>
                <w:p w14:paraId="746654F4">
                  <w:pPr>
                    <w:spacing w:line="240" w:lineRule="auto"/>
                    <w:jc w:val="center"/>
                    <w:rPr>
                      <w:rFonts w:hint="eastAsia"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DA00</w:t>
                  </w:r>
                  <w:r>
                    <w:rPr>
                      <w:rFonts w:hint="eastAsia" w:ascii="Times New Roman" w:hAnsi="Times New Roman" w:eastAsia="宋体" w:cs="Times New Roman"/>
                      <w:color w:val="auto"/>
                      <w:sz w:val="21"/>
                      <w:szCs w:val="21"/>
                      <w:lang w:val="en-US" w:eastAsia="zh-CN"/>
                    </w:rPr>
                    <w:t>5</w:t>
                  </w:r>
                </w:p>
              </w:tc>
              <w:tc>
                <w:tcPr>
                  <w:tcW w:w="808" w:type="dxa"/>
                  <w:noWrap w:val="0"/>
                  <w:vAlign w:val="center"/>
                </w:tcPr>
                <w:p w14:paraId="5AB43A93">
                  <w:pPr>
                    <w:widowControl/>
                    <w:spacing w:line="240" w:lineRule="auto"/>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kern w:val="0"/>
                      <w:sz w:val="21"/>
                      <w:szCs w:val="21"/>
                      <w:lang w:val="en-US" w:eastAsia="zh-CN" w:bidi="ar"/>
                    </w:rPr>
                    <w:t>13000</w:t>
                  </w:r>
                </w:p>
              </w:tc>
              <w:tc>
                <w:tcPr>
                  <w:tcW w:w="784" w:type="dxa"/>
                  <w:noWrap w:val="0"/>
                  <w:vAlign w:val="center"/>
                </w:tcPr>
                <w:p w14:paraId="6F68645F">
                  <w:pPr>
                    <w:widowControl/>
                    <w:spacing w:line="240" w:lineRule="auto"/>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0.646</w:t>
                  </w:r>
                </w:p>
              </w:tc>
              <w:tc>
                <w:tcPr>
                  <w:tcW w:w="786" w:type="dxa"/>
                  <w:noWrap w:val="0"/>
                  <w:vAlign w:val="center"/>
                </w:tcPr>
                <w:p w14:paraId="31E00310">
                  <w:pPr>
                    <w:widowControl/>
                    <w:spacing w:line="240" w:lineRule="auto"/>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0.218</w:t>
                  </w:r>
                </w:p>
              </w:tc>
              <w:tc>
                <w:tcPr>
                  <w:tcW w:w="1001" w:type="dxa"/>
                  <w:noWrap w:val="0"/>
                  <w:vAlign w:val="center"/>
                </w:tcPr>
                <w:p w14:paraId="38FFE776">
                  <w:pPr>
                    <w:widowControl/>
                    <w:spacing w:line="240" w:lineRule="auto"/>
                    <w:jc w:val="center"/>
                    <w:textAlignment w:val="center"/>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16.73</w:t>
                  </w:r>
                </w:p>
              </w:tc>
              <w:tc>
                <w:tcPr>
                  <w:tcW w:w="723" w:type="dxa"/>
                  <w:noWrap w:val="0"/>
                  <w:vAlign w:val="center"/>
                </w:tcPr>
                <w:p w14:paraId="30308C16">
                  <w:pPr>
                    <w:widowControl/>
                    <w:spacing w:line="240" w:lineRule="auto"/>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0.26</w:t>
                  </w:r>
                </w:p>
              </w:tc>
              <w:tc>
                <w:tcPr>
                  <w:tcW w:w="794" w:type="dxa"/>
                  <w:noWrap w:val="0"/>
                  <w:vAlign w:val="center"/>
                </w:tcPr>
                <w:p w14:paraId="0B3619C7">
                  <w:pPr>
                    <w:widowControl/>
                    <w:spacing w:line="240" w:lineRule="auto"/>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0.088</w:t>
                  </w:r>
                </w:p>
              </w:tc>
              <w:tc>
                <w:tcPr>
                  <w:tcW w:w="887" w:type="dxa"/>
                  <w:noWrap w:val="0"/>
                  <w:vAlign w:val="center"/>
                </w:tcPr>
                <w:p w14:paraId="3DE1640E">
                  <w:pPr>
                    <w:widowControl/>
                    <w:spacing w:line="240" w:lineRule="auto"/>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6.73</w:t>
                  </w:r>
                </w:p>
              </w:tc>
            </w:tr>
          </w:tbl>
          <w:p w14:paraId="430DCA87">
            <w:pPr>
              <w:pStyle w:val="68"/>
              <w:numPr>
                <w:ilvl w:val="0"/>
                <w:numId w:val="0"/>
              </w:numPr>
              <w:tabs>
                <w:tab w:val="left" w:pos="0"/>
              </w:tabs>
              <w:spacing w:line="360" w:lineRule="auto"/>
              <w:ind w:leftChars="0"/>
              <w:jc w:val="both"/>
              <w:rPr>
                <w:rFonts w:hint="eastAsia" w:ascii="Times New Roman" w:hAnsi="Times New Roman" w:eastAsia="宋体" w:cs="Times New Roman"/>
                <w:color w:val="auto"/>
                <w:highlight w:val="none"/>
                <w:lang w:val="en-US" w:eastAsia="zh-CN"/>
              </w:rPr>
            </w:pPr>
          </w:p>
          <w:p w14:paraId="0E63267D">
            <w:pPr>
              <w:pStyle w:val="68"/>
              <w:numPr>
                <w:ilvl w:val="0"/>
                <w:numId w:val="20"/>
              </w:numPr>
              <w:tabs>
                <w:tab w:val="left" w:pos="0"/>
              </w:tabs>
              <w:spacing w:line="360" w:lineRule="auto"/>
              <w:ind w:leftChars="0" w:firstLine="482" w:firstLineChars="200"/>
              <w:jc w:val="both"/>
              <w:rPr>
                <w:rFonts w:hint="eastAsia"/>
                <w:b/>
                <w:color w:val="auto"/>
                <w:kern w:val="44"/>
                <w:sz w:val="24"/>
                <w:szCs w:val="44"/>
                <w:highlight w:val="none"/>
                <w:lang w:val="en-US" w:eastAsia="zh-CN"/>
              </w:rPr>
            </w:pPr>
            <w:r>
              <w:rPr>
                <w:rFonts w:hint="eastAsia"/>
                <w:b/>
                <w:color w:val="auto"/>
                <w:kern w:val="44"/>
                <w:sz w:val="24"/>
                <w:szCs w:val="44"/>
                <w:highlight w:val="none"/>
                <w:lang w:val="en-US" w:eastAsia="zh-CN"/>
              </w:rPr>
              <w:t>废气产生源强及排放情况</w:t>
            </w:r>
          </w:p>
          <w:p w14:paraId="06B066E0">
            <w:pPr>
              <w:pStyle w:val="75"/>
              <w:ind w:firstLine="472" w:firstLineChars="200"/>
              <w:rPr>
                <w:rFonts w:hint="eastAsia"/>
                <w:b/>
                <w:color w:val="auto"/>
                <w:kern w:val="44"/>
                <w:sz w:val="24"/>
                <w:szCs w:val="44"/>
                <w:highlight w:val="none"/>
                <w:lang w:val="en-US" w:eastAsia="zh-CN"/>
              </w:rPr>
            </w:pPr>
            <w:r>
              <w:rPr>
                <w:rFonts w:ascii="Times New Roman" w:hAnsi="Times New Roman" w:cs="Times New Roman"/>
                <w:color w:val="auto"/>
                <w:spacing w:val="-2"/>
                <w:highlight w:val="none"/>
                <w:lang w:eastAsia="zh-CN"/>
              </w:rPr>
              <w:t>本项目</w:t>
            </w:r>
            <w:r>
              <w:rPr>
                <w:rFonts w:hint="eastAsia" w:ascii="Times New Roman" w:hAnsi="Times New Roman" w:cs="Times New Roman"/>
                <w:color w:val="auto"/>
                <w:spacing w:val="-2"/>
                <w:highlight w:val="none"/>
                <w:lang w:eastAsia="zh-CN"/>
              </w:rPr>
              <w:t>排放口信息、废气污染物</w:t>
            </w:r>
            <w:r>
              <w:rPr>
                <w:rFonts w:ascii="Times New Roman" w:hAnsi="Times New Roman" w:cs="Times New Roman"/>
                <w:color w:val="auto"/>
                <w:spacing w:val="-2"/>
                <w:highlight w:val="none"/>
                <w:lang w:eastAsia="zh-CN"/>
              </w:rPr>
              <w:t>产生</w:t>
            </w:r>
            <w:r>
              <w:rPr>
                <w:rFonts w:hint="eastAsia" w:ascii="Times New Roman" w:hAnsi="Times New Roman" w:cs="Times New Roman"/>
                <w:color w:val="auto"/>
                <w:spacing w:val="-2"/>
                <w:highlight w:val="none"/>
                <w:lang w:eastAsia="zh-CN"/>
              </w:rPr>
              <w:t>和排放</w:t>
            </w:r>
            <w:r>
              <w:rPr>
                <w:rFonts w:ascii="Times New Roman" w:hAnsi="Times New Roman" w:cs="Times New Roman"/>
                <w:color w:val="auto"/>
                <w:spacing w:val="-2"/>
                <w:highlight w:val="none"/>
                <w:lang w:eastAsia="zh-CN"/>
              </w:rPr>
              <w:t>情况详</w:t>
            </w:r>
            <w:r>
              <w:rPr>
                <w:rFonts w:hint="eastAsia" w:ascii="Times New Roman" w:hAnsi="Times New Roman" w:cs="Times New Roman"/>
                <w:color w:val="auto"/>
                <w:spacing w:val="-2"/>
                <w:highlight w:val="none"/>
                <w:lang w:val="en-US" w:eastAsia="zh-CN"/>
              </w:rPr>
              <w:t>见</w:t>
            </w:r>
            <w:r>
              <w:rPr>
                <w:rFonts w:hint="eastAsia" w:ascii="Times New Roman" w:hAnsi="Times New Roman" w:cs="Times New Roman"/>
                <w:color w:val="auto"/>
                <w:spacing w:val="-2"/>
                <w:highlight w:val="none"/>
                <w:lang w:eastAsia="zh-CN"/>
              </w:rPr>
              <w:t>下表</w:t>
            </w:r>
            <w:r>
              <w:rPr>
                <w:rFonts w:ascii="Times New Roman" w:hAnsi="Times New Roman" w:cs="Times New Roman"/>
                <w:color w:val="auto"/>
                <w:spacing w:val="-2"/>
                <w:highlight w:val="none"/>
                <w:lang w:eastAsia="zh-CN"/>
              </w:rPr>
              <w:t>。</w:t>
            </w:r>
          </w:p>
          <w:p w14:paraId="04E8C81E">
            <w:pPr>
              <w:pStyle w:val="68"/>
              <w:numPr>
                <w:ilvl w:val="0"/>
                <w:numId w:val="19"/>
              </w:numPr>
              <w:spacing w:line="360" w:lineRule="auto"/>
              <w:ind w:left="0" w:leftChars="0" w:firstLine="0" w:firstLineChars="0"/>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  本项目</w:t>
            </w:r>
            <w:r>
              <w:rPr>
                <w:b/>
                <w:bCs/>
                <w:color w:val="auto"/>
                <w:szCs w:val="24"/>
              </w:rPr>
              <w:t>产排污环节、污染物及对应排放口类型信息</w:t>
            </w:r>
            <w:r>
              <w:rPr>
                <w:rFonts w:hint="eastAsia" w:ascii="Times New Roman" w:hAnsi="Times New Roman" w:eastAsia="宋体" w:cs="Times New Roman"/>
                <w:color w:val="auto"/>
                <w:highlight w:val="none"/>
                <w:lang w:val="en-US" w:eastAsia="zh-CN"/>
              </w:rPr>
              <w:t>表</w:t>
            </w:r>
          </w:p>
          <w:tbl>
            <w:tblPr>
              <w:tblStyle w:val="2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94"/>
              <w:gridCol w:w="958"/>
              <w:gridCol w:w="911"/>
              <w:gridCol w:w="1129"/>
              <w:gridCol w:w="748"/>
              <w:gridCol w:w="759"/>
              <w:gridCol w:w="896"/>
              <w:gridCol w:w="808"/>
              <w:gridCol w:w="958"/>
            </w:tblGrid>
            <w:tr w14:paraId="590AB4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764" w:type="pct"/>
                  <w:vMerge w:val="restart"/>
                  <w:noWrap w:val="0"/>
                  <w:vAlign w:val="center"/>
                </w:tcPr>
                <w:p w14:paraId="3B0053D0">
                  <w:pPr>
                    <w:spacing w:line="240" w:lineRule="auto"/>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产污环节名称</w:t>
                  </w:r>
                </w:p>
              </w:tc>
              <w:tc>
                <w:tcPr>
                  <w:tcW w:w="566" w:type="pct"/>
                  <w:vMerge w:val="restart"/>
                  <w:noWrap w:val="0"/>
                  <w:vAlign w:val="center"/>
                </w:tcPr>
                <w:p w14:paraId="5A1C685C">
                  <w:pPr>
                    <w:spacing w:line="240" w:lineRule="auto"/>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污染物种类</w:t>
                  </w:r>
                </w:p>
              </w:tc>
              <w:tc>
                <w:tcPr>
                  <w:tcW w:w="538" w:type="pct"/>
                  <w:vMerge w:val="restart"/>
                  <w:noWrap w:val="0"/>
                  <w:vAlign w:val="center"/>
                </w:tcPr>
                <w:p w14:paraId="6E048378">
                  <w:pPr>
                    <w:spacing w:line="240" w:lineRule="auto"/>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排放</w:t>
                  </w:r>
                </w:p>
                <w:p w14:paraId="525576F8">
                  <w:pPr>
                    <w:spacing w:line="240" w:lineRule="auto"/>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形式</w:t>
                  </w:r>
                </w:p>
              </w:tc>
              <w:tc>
                <w:tcPr>
                  <w:tcW w:w="2086" w:type="pct"/>
                  <w:gridSpan w:val="4"/>
                  <w:noWrap w:val="0"/>
                  <w:vAlign w:val="center"/>
                </w:tcPr>
                <w:p w14:paraId="2DC6F0CB">
                  <w:pPr>
                    <w:spacing w:line="240" w:lineRule="auto"/>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污染治理设施</w:t>
                  </w:r>
                </w:p>
              </w:tc>
              <w:tc>
                <w:tcPr>
                  <w:tcW w:w="477" w:type="pct"/>
                  <w:vMerge w:val="restart"/>
                  <w:noWrap w:val="0"/>
                  <w:vAlign w:val="center"/>
                </w:tcPr>
                <w:p w14:paraId="56B7ED53">
                  <w:pPr>
                    <w:spacing w:line="240" w:lineRule="auto"/>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排放口类型</w:t>
                  </w:r>
                </w:p>
              </w:tc>
              <w:tc>
                <w:tcPr>
                  <w:tcW w:w="566" w:type="pct"/>
                  <w:vMerge w:val="restart"/>
                  <w:noWrap w:val="0"/>
                  <w:vAlign w:val="center"/>
                </w:tcPr>
                <w:p w14:paraId="31CF17D8">
                  <w:pPr>
                    <w:spacing w:line="240" w:lineRule="auto"/>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排放口编号</w:t>
                  </w:r>
                </w:p>
              </w:tc>
            </w:tr>
            <w:tr w14:paraId="1FC8D8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764" w:type="pct"/>
                  <w:vMerge w:val="continue"/>
                  <w:noWrap w:val="0"/>
                  <w:vAlign w:val="center"/>
                </w:tcPr>
                <w:p w14:paraId="354B2C0B">
                  <w:pPr>
                    <w:spacing w:line="240" w:lineRule="auto"/>
                    <w:jc w:val="center"/>
                    <w:rPr>
                      <w:rFonts w:hint="default" w:ascii="Times New Roman" w:hAnsi="Times New Roman" w:eastAsia="宋体" w:cs="Times New Roman"/>
                      <w:color w:val="auto"/>
                      <w:sz w:val="21"/>
                      <w:szCs w:val="21"/>
                    </w:rPr>
                  </w:pPr>
                </w:p>
              </w:tc>
              <w:tc>
                <w:tcPr>
                  <w:tcW w:w="566" w:type="pct"/>
                  <w:vMerge w:val="continue"/>
                  <w:noWrap w:val="0"/>
                  <w:vAlign w:val="center"/>
                </w:tcPr>
                <w:p w14:paraId="730045BD">
                  <w:pPr>
                    <w:spacing w:line="240" w:lineRule="auto"/>
                    <w:jc w:val="center"/>
                    <w:rPr>
                      <w:rFonts w:hint="default" w:ascii="Times New Roman" w:hAnsi="Times New Roman" w:eastAsia="宋体" w:cs="Times New Roman"/>
                      <w:color w:val="auto"/>
                      <w:sz w:val="21"/>
                      <w:szCs w:val="21"/>
                    </w:rPr>
                  </w:pPr>
                </w:p>
              </w:tc>
              <w:tc>
                <w:tcPr>
                  <w:tcW w:w="538" w:type="pct"/>
                  <w:vMerge w:val="continue"/>
                  <w:noWrap w:val="0"/>
                  <w:vAlign w:val="center"/>
                </w:tcPr>
                <w:p w14:paraId="4C4BF8F0">
                  <w:pPr>
                    <w:spacing w:line="240" w:lineRule="auto"/>
                    <w:jc w:val="center"/>
                    <w:rPr>
                      <w:rFonts w:hint="default" w:ascii="Times New Roman" w:hAnsi="Times New Roman" w:eastAsia="宋体" w:cs="Times New Roman"/>
                      <w:color w:val="auto"/>
                      <w:sz w:val="21"/>
                      <w:szCs w:val="21"/>
                    </w:rPr>
                  </w:pPr>
                </w:p>
              </w:tc>
              <w:tc>
                <w:tcPr>
                  <w:tcW w:w="667" w:type="pct"/>
                  <w:noWrap w:val="0"/>
                  <w:vAlign w:val="center"/>
                </w:tcPr>
                <w:p w14:paraId="7B5EFA0A">
                  <w:pPr>
                    <w:spacing w:line="240" w:lineRule="auto"/>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治理工艺</w:t>
                  </w:r>
                </w:p>
              </w:tc>
              <w:tc>
                <w:tcPr>
                  <w:tcW w:w="442" w:type="pct"/>
                  <w:noWrap w:val="0"/>
                  <w:vAlign w:val="center"/>
                </w:tcPr>
                <w:p w14:paraId="406F7C31">
                  <w:pPr>
                    <w:spacing w:line="240" w:lineRule="auto"/>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收集效率</w:t>
                  </w:r>
                </w:p>
              </w:tc>
              <w:tc>
                <w:tcPr>
                  <w:tcW w:w="448" w:type="pct"/>
                  <w:noWrap w:val="0"/>
                  <w:vAlign w:val="center"/>
                </w:tcPr>
                <w:p w14:paraId="0D435059">
                  <w:pPr>
                    <w:spacing w:line="240" w:lineRule="auto"/>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处理效率</w:t>
                  </w:r>
                </w:p>
              </w:tc>
              <w:tc>
                <w:tcPr>
                  <w:tcW w:w="528" w:type="pct"/>
                  <w:noWrap w:val="0"/>
                  <w:vAlign w:val="center"/>
                </w:tcPr>
                <w:p w14:paraId="4FD8CB9F">
                  <w:pPr>
                    <w:spacing w:line="240" w:lineRule="auto"/>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是否为可行技术</w:t>
                  </w:r>
                </w:p>
              </w:tc>
              <w:tc>
                <w:tcPr>
                  <w:tcW w:w="477" w:type="pct"/>
                  <w:vMerge w:val="continue"/>
                  <w:noWrap w:val="0"/>
                  <w:vAlign w:val="center"/>
                </w:tcPr>
                <w:p w14:paraId="49EB8508">
                  <w:pPr>
                    <w:spacing w:line="240" w:lineRule="auto"/>
                    <w:jc w:val="center"/>
                    <w:rPr>
                      <w:rFonts w:hint="default" w:ascii="Times New Roman" w:hAnsi="Times New Roman" w:eastAsia="宋体" w:cs="Times New Roman"/>
                      <w:color w:val="auto"/>
                      <w:sz w:val="21"/>
                      <w:szCs w:val="21"/>
                    </w:rPr>
                  </w:pPr>
                </w:p>
              </w:tc>
              <w:tc>
                <w:tcPr>
                  <w:tcW w:w="566" w:type="pct"/>
                  <w:vMerge w:val="continue"/>
                  <w:noWrap w:val="0"/>
                  <w:vAlign w:val="center"/>
                </w:tcPr>
                <w:p w14:paraId="56EFC095">
                  <w:pPr>
                    <w:spacing w:line="240" w:lineRule="auto"/>
                    <w:jc w:val="center"/>
                    <w:rPr>
                      <w:rFonts w:hint="default" w:ascii="Times New Roman" w:hAnsi="Times New Roman" w:eastAsia="宋体" w:cs="Times New Roman"/>
                      <w:color w:val="auto"/>
                      <w:sz w:val="21"/>
                      <w:szCs w:val="21"/>
                    </w:rPr>
                  </w:pPr>
                </w:p>
              </w:tc>
            </w:tr>
            <w:tr w14:paraId="5FB59D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764" w:type="pct"/>
                  <w:noWrap w:val="0"/>
                  <w:vAlign w:val="center"/>
                </w:tcPr>
                <w:p w14:paraId="5A2D6193">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木加工（</w:t>
                  </w:r>
                  <w:r>
                    <w:rPr>
                      <w:rFonts w:hint="default" w:ascii="Times New Roman" w:hAnsi="Times New Roman" w:eastAsia="宋体" w:cs="Times New Roman"/>
                      <w:color w:val="auto"/>
                      <w:sz w:val="21"/>
                      <w:szCs w:val="21"/>
                    </w:rPr>
                    <w:t>下料、刨光、</w:t>
                  </w:r>
                  <w:r>
                    <w:rPr>
                      <w:rFonts w:hint="eastAsia" w:ascii="Times New Roman" w:hAnsi="Times New Roman" w:eastAsia="宋体" w:cs="Times New Roman"/>
                      <w:color w:val="auto"/>
                      <w:sz w:val="21"/>
                      <w:szCs w:val="21"/>
                      <w:lang w:eastAsia="zh-CN"/>
                    </w:rPr>
                    <w:t>梳齿指接</w:t>
                  </w:r>
                  <w:r>
                    <w:rPr>
                      <w:rFonts w:hint="default" w:ascii="Times New Roman" w:hAnsi="Times New Roman" w:eastAsia="宋体" w:cs="Times New Roman"/>
                      <w:color w:val="auto"/>
                      <w:sz w:val="21"/>
                      <w:szCs w:val="21"/>
                    </w:rPr>
                    <w:t>等）</w:t>
                  </w:r>
                </w:p>
              </w:tc>
              <w:tc>
                <w:tcPr>
                  <w:tcW w:w="566" w:type="pct"/>
                  <w:noWrap w:val="0"/>
                  <w:vAlign w:val="center"/>
                </w:tcPr>
                <w:p w14:paraId="56E6C32F">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颗粒物</w:t>
                  </w:r>
                </w:p>
              </w:tc>
              <w:tc>
                <w:tcPr>
                  <w:tcW w:w="538" w:type="pct"/>
                  <w:noWrap w:val="0"/>
                  <w:vAlign w:val="center"/>
                </w:tcPr>
                <w:p w14:paraId="50A068B8">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有组织</w:t>
                  </w:r>
                </w:p>
              </w:tc>
              <w:tc>
                <w:tcPr>
                  <w:tcW w:w="667" w:type="pct"/>
                  <w:noWrap w:val="0"/>
                  <w:vAlign w:val="center"/>
                </w:tcPr>
                <w:p w14:paraId="35C6FE1E">
                  <w:pPr>
                    <w:spacing w:line="240" w:lineRule="auto"/>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布袋除尘器</w:t>
                  </w:r>
                </w:p>
              </w:tc>
              <w:tc>
                <w:tcPr>
                  <w:tcW w:w="442" w:type="pct"/>
                  <w:noWrap w:val="0"/>
                  <w:vAlign w:val="center"/>
                </w:tcPr>
                <w:p w14:paraId="16240F77">
                  <w:pPr>
                    <w:spacing w:line="240" w:lineRule="auto"/>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80</w:t>
                  </w:r>
                  <w:r>
                    <w:rPr>
                      <w:rFonts w:hint="default" w:ascii="Times New Roman" w:hAnsi="Times New Roman" w:eastAsia="宋体" w:cs="Times New Roman"/>
                      <w:color w:val="auto"/>
                      <w:sz w:val="21"/>
                      <w:szCs w:val="21"/>
                    </w:rPr>
                    <w:t>%</w:t>
                  </w:r>
                </w:p>
              </w:tc>
              <w:tc>
                <w:tcPr>
                  <w:tcW w:w="448" w:type="pct"/>
                  <w:noWrap w:val="0"/>
                  <w:vAlign w:val="center"/>
                </w:tcPr>
                <w:p w14:paraId="59D244A9">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99%</w:t>
                  </w:r>
                </w:p>
              </w:tc>
              <w:tc>
                <w:tcPr>
                  <w:tcW w:w="528" w:type="pct"/>
                  <w:noWrap w:val="0"/>
                  <w:vAlign w:val="center"/>
                </w:tcPr>
                <w:p w14:paraId="56E64F9C">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是</w:t>
                  </w:r>
                </w:p>
              </w:tc>
              <w:tc>
                <w:tcPr>
                  <w:tcW w:w="477" w:type="pct"/>
                  <w:noWrap w:val="0"/>
                  <w:vAlign w:val="center"/>
                </w:tcPr>
                <w:p w14:paraId="60BB3C9D">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一般排放口</w:t>
                  </w:r>
                </w:p>
              </w:tc>
              <w:tc>
                <w:tcPr>
                  <w:tcW w:w="566" w:type="pct"/>
                  <w:noWrap w:val="0"/>
                  <w:vAlign w:val="center"/>
                </w:tcPr>
                <w:p w14:paraId="70BF4441">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DA001</w:t>
                  </w:r>
                </w:p>
              </w:tc>
            </w:tr>
            <w:tr w14:paraId="3CF8BE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294" w:type="dxa"/>
                  <w:noWrap w:val="0"/>
                  <w:vAlign w:val="center"/>
                </w:tcPr>
                <w:p w14:paraId="3422991D">
                  <w:pPr>
                    <w:spacing w:line="240" w:lineRule="auto"/>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eastAsia="zh-CN"/>
                    </w:rPr>
                    <w:t>砂光</w:t>
                  </w:r>
                </w:p>
              </w:tc>
              <w:tc>
                <w:tcPr>
                  <w:tcW w:w="958" w:type="dxa"/>
                  <w:noWrap w:val="0"/>
                  <w:vAlign w:val="center"/>
                </w:tcPr>
                <w:p w14:paraId="75682DC9">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颗粒物</w:t>
                  </w:r>
                </w:p>
              </w:tc>
              <w:tc>
                <w:tcPr>
                  <w:tcW w:w="911" w:type="dxa"/>
                  <w:noWrap w:val="0"/>
                  <w:vAlign w:val="center"/>
                </w:tcPr>
                <w:p w14:paraId="31F0F5A2">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有组织</w:t>
                  </w:r>
                </w:p>
              </w:tc>
              <w:tc>
                <w:tcPr>
                  <w:tcW w:w="1129" w:type="dxa"/>
                  <w:noWrap w:val="0"/>
                  <w:vAlign w:val="center"/>
                </w:tcPr>
                <w:p w14:paraId="36277AD2">
                  <w:pPr>
                    <w:spacing w:line="240" w:lineRule="auto"/>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布袋除尘器</w:t>
                  </w:r>
                </w:p>
              </w:tc>
              <w:tc>
                <w:tcPr>
                  <w:tcW w:w="748" w:type="dxa"/>
                  <w:noWrap w:val="0"/>
                  <w:vAlign w:val="center"/>
                </w:tcPr>
                <w:p w14:paraId="4391CBD2">
                  <w:pPr>
                    <w:spacing w:line="240" w:lineRule="auto"/>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80</w:t>
                  </w:r>
                  <w:r>
                    <w:rPr>
                      <w:rFonts w:hint="default" w:ascii="Times New Roman" w:hAnsi="Times New Roman" w:eastAsia="宋体" w:cs="Times New Roman"/>
                      <w:color w:val="auto"/>
                      <w:sz w:val="21"/>
                      <w:szCs w:val="21"/>
                    </w:rPr>
                    <w:t>%</w:t>
                  </w:r>
                </w:p>
              </w:tc>
              <w:tc>
                <w:tcPr>
                  <w:tcW w:w="759" w:type="dxa"/>
                  <w:noWrap w:val="0"/>
                  <w:vAlign w:val="center"/>
                </w:tcPr>
                <w:p w14:paraId="40C8CF9D">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99%</w:t>
                  </w:r>
                </w:p>
              </w:tc>
              <w:tc>
                <w:tcPr>
                  <w:tcW w:w="896" w:type="dxa"/>
                  <w:noWrap w:val="0"/>
                  <w:vAlign w:val="center"/>
                </w:tcPr>
                <w:p w14:paraId="720D983D">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是</w:t>
                  </w:r>
                </w:p>
              </w:tc>
              <w:tc>
                <w:tcPr>
                  <w:tcW w:w="808" w:type="dxa"/>
                  <w:noWrap w:val="0"/>
                  <w:vAlign w:val="center"/>
                </w:tcPr>
                <w:p w14:paraId="120B68F4">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一般排放口</w:t>
                  </w:r>
                </w:p>
              </w:tc>
              <w:tc>
                <w:tcPr>
                  <w:tcW w:w="958" w:type="dxa"/>
                  <w:noWrap w:val="0"/>
                  <w:vAlign w:val="center"/>
                </w:tcPr>
                <w:p w14:paraId="4859454A">
                  <w:pPr>
                    <w:spacing w:line="240" w:lineRule="auto"/>
                    <w:jc w:val="center"/>
                    <w:rPr>
                      <w:rFonts w:hint="eastAsia"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DA00</w:t>
                  </w:r>
                  <w:r>
                    <w:rPr>
                      <w:rFonts w:hint="eastAsia" w:ascii="Times New Roman" w:hAnsi="Times New Roman" w:eastAsia="宋体" w:cs="Times New Roman"/>
                      <w:color w:val="auto"/>
                      <w:sz w:val="21"/>
                      <w:szCs w:val="21"/>
                      <w:lang w:val="en-US" w:eastAsia="zh-CN"/>
                    </w:rPr>
                    <w:t>2</w:t>
                  </w:r>
                </w:p>
              </w:tc>
            </w:tr>
            <w:tr w14:paraId="6DFCFD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294" w:type="dxa"/>
                  <w:noWrap w:val="0"/>
                  <w:vAlign w:val="center"/>
                </w:tcPr>
                <w:p w14:paraId="35499775">
                  <w:pPr>
                    <w:spacing w:line="240" w:lineRule="auto"/>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轻</w:t>
                  </w:r>
                  <w:r>
                    <w:rPr>
                      <w:rFonts w:hint="default" w:ascii="Times New Roman" w:hAnsi="Times New Roman" w:eastAsia="宋体" w:cs="Times New Roman"/>
                      <w:color w:val="auto"/>
                      <w:sz w:val="21"/>
                      <w:szCs w:val="21"/>
                      <w:lang w:val="en-US" w:eastAsia="zh-CN"/>
                    </w:rPr>
                    <w:t>砂光</w:t>
                  </w:r>
                  <w:r>
                    <w:rPr>
                      <w:rFonts w:hint="eastAsia" w:ascii="Times New Roman" w:hAnsi="Times New Roman" w:eastAsia="宋体" w:cs="Times New Roman"/>
                      <w:color w:val="auto"/>
                      <w:sz w:val="21"/>
                      <w:szCs w:val="21"/>
                      <w:lang w:val="en-US" w:eastAsia="zh-CN"/>
                    </w:rPr>
                    <w:t>、油砂砂光</w:t>
                  </w:r>
                </w:p>
              </w:tc>
              <w:tc>
                <w:tcPr>
                  <w:tcW w:w="958" w:type="dxa"/>
                  <w:noWrap w:val="0"/>
                  <w:vAlign w:val="center"/>
                </w:tcPr>
                <w:p w14:paraId="3BDB2BD5">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颗粒物</w:t>
                  </w:r>
                </w:p>
              </w:tc>
              <w:tc>
                <w:tcPr>
                  <w:tcW w:w="911" w:type="dxa"/>
                  <w:noWrap w:val="0"/>
                  <w:vAlign w:val="center"/>
                </w:tcPr>
                <w:p w14:paraId="4AAFBCE0">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有组织</w:t>
                  </w:r>
                </w:p>
              </w:tc>
              <w:tc>
                <w:tcPr>
                  <w:tcW w:w="1129" w:type="dxa"/>
                  <w:noWrap w:val="0"/>
                  <w:vAlign w:val="center"/>
                </w:tcPr>
                <w:p w14:paraId="5B16599E">
                  <w:pPr>
                    <w:spacing w:line="240" w:lineRule="auto"/>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布袋除尘器</w:t>
                  </w:r>
                </w:p>
              </w:tc>
              <w:tc>
                <w:tcPr>
                  <w:tcW w:w="748" w:type="dxa"/>
                  <w:noWrap w:val="0"/>
                  <w:vAlign w:val="center"/>
                </w:tcPr>
                <w:p w14:paraId="23A37278">
                  <w:pPr>
                    <w:spacing w:line="240" w:lineRule="auto"/>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80</w:t>
                  </w:r>
                  <w:r>
                    <w:rPr>
                      <w:rFonts w:hint="default" w:ascii="Times New Roman" w:hAnsi="Times New Roman" w:eastAsia="宋体" w:cs="Times New Roman"/>
                      <w:color w:val="auto"/>
                      <w:sz w:val="21"/>
                      <w:szCs w:val="21"/>
                    </w:rPr>
                    <w:t>%</w:t>
                  </w:r>
                </w:p>
              </w:tc>
              <w:tc>
                <w:tcPr>
                  <w:tcW w:w="759" w:type="dxa"/>
                  <w:noWrap w:val="0"/>
                  <w:vAlign w:val="center"/>
                </w:tcPr>
                <w:p w14:paraId="73ECC2C6">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99%</w:t>
                  </w:r>
                </w:p>
              </w:tc>
              <w:tc>
                <w:tcPr>
                  <w:tcW w:w="896" w:type="dxa"/>
                  <w:noWrap w:val="0"/>
                  <w:vAlign w:val="center"/>
                </w:tcPr>
                <w:p w14:paraId="60F9F833">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是</w:t>
                  </w:r>
                </w:p>
              </w:tc>
              <w:tc>
                <w:tcPr>
                  <w:tcW w:w="808" w:type="dxa"/>
                  <w:noWrap w:val="0"/>
                  <w:vAlign w:val="center"/>
                </w:tcPr>
                <w:p w14:paraId="0269FBCA">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一般排放口</w:t>
                  </w:r>
                </w:p>
              </w:tc>
              <w:tc>
                <w:tcPr>
                  <w:tcW w:w="958" w:type="dxa"/>
                  <w:noWrap w:val="0"/>
                  <w:vAlign w:val="center"/>
                </w:tcPr>
                <w:p w14:paraId="50E16ADC">
                  <w:pPr>
                    <w:spacing w:line="240" w:lineRule="auto"/>
                    <w:jc w:val="center"/>
                    <w:rPr>
                      <w:rFonts w:hint="eastAsia"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DA00</w:t>
                  </w:r>
                  <w:r>
                    <w:rPr>
                      <w:rFonts w:hint="eastAsia" w:ascii="Times New Roman" w:hAnsi="Times New Roman" w:eastAsia="宋体" w:cs="Times New Roman"/>
                      <w:color w:val="auto"/>
                      <w:sz w:val="21"/>
                      <w:szCs w:val="21"/>
                      <w:lang w:val="en-US" w:eastAsia="zh-CN"/>
                    </w:rPr>
                    <w:t>3</w:t>
                  </w:r>
                </w:p>
              </w:tc>
            </w:tr>
            <w:tr w14:paraId="25A60B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294" w:type="dxa"/>
                  <w:noWrap w:val="0"/>
                  <w:vAlign w:val="center"/>
                </w:tcPr>
                <w:p w14:paraId="1DC14EEC">
                  <w:pPr>
                    <w:spacing w:line="240" w:lineRule="auto"/>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开槽</w:t>
                  </w:r>
                </w:p>
              </w:tc>
              <w:tc>
                <w:tcPr>
                  <w:tcW w:w="958" w:type="dxa"/>
                  <w:noWrap w:val="0"/>
                  <w:vAlign w:val="center"/>
                </w:tcPr>
                <w:p w14:paraId="3D9CE32F">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颗粒物</w:t>
                  </w:r>
                </w:p>
              </w:tc>
              <w:tc>
                <w:tcPr>
                  <w:tcW w:w="911" w:type="dxa"/>
                  <w:noWrap w:val="0"/>
                  <w:vAlign w:val="center"/>
                </w:tcPr>
                <w:p w14:paraId="29727303">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有组织</w:t>
                  </w:r>
                </w:p>
              </w:tc>
              <w:tc>
                <w:tcPr>
                  <w:tcW w:w="1129" w:type="dxa"/>
                  <w:noWrap w:val="0"/>
                  <w:vAlign w:val="center"/>
                </w:tcPr>
                <w:p w14:paraId="690CAE00">
                  <w:pPr>
                    <w:spacing w:line="240" w:lineRule="auto"/>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布袋除尘器</w:t>
                  </w:r>
                </w:p>
              </w:tc>
              <w:tc>
                <w:tcPr>
                  <w:tcW w:w="748" w:type="dxa"/>
                  <w:noWrap w:val="0"/>
                  <w:vAlign w:val="center"/>
                </w:tcPr>
                <w:p w14:paraId="7F55C4C8">
                  <w:pPr>
                    <w:spacing w:line="240" w:lineRule="auto"/>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80</w:t>
                  </w:r>
                  <w:r>
                    <w:rPr>
                      <w:rFonts w:hint="default" w:ascii="Times New Roman" w:hAnsi="Times New Roman" w:eastAsia="宋体" w:cs="Times New Roman"/>
                      <w:color w:val="auto"/>
                      <w:sz w:val="21"/>
                      <w:szCs w:val="21"/>
                    </w:rPr>
                    <w:t>%</w:t>
                  </w:r>
                </w:p>
              </w:tc>
              <w:tc>
                <w:tcPr>
                  <w:tcW w:w="759" w:type="dxa"/>
                  <w:noWrap w:val="0"/>
                  <w:vAlign w:val="center"/>
                </w:tcPr>
                <w:p w14:paraId="63D83076">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99%</w:t>
                  </w:r>
                </w:p>
              </w:tc>
              <w:tc>
                <w:tcPr>
                  <w:tcW w:w="896" w:type="dxa"/>
                  <w:noWrap w:val="0"/>
                  <w:vAlign w:val="center"/>
                </w:tcPr>
                <w:p w14:paraId="3EEE9557">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是</w:t>
                  </w:r>
                </w:p>
              </w:tc>
              <w:tc>
                <w:tcPr>
                  <w:tcW w:w="808" w:type="dxa"/>
                  <w:noWrap w:val="0"/>
                  <w:vAlign w:val="center"/>
                </w:tcPr>
                <w:p w14:paraId="0F998782">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一般排放口</w:t>
                  </w:r>
                </w:p>
              </w:tc>
              <w:tc>
                <w:tcPr>
                  <w:tcW w:w="958" w:type="dxa"/>
                  <w:noWrap w:val="0"/>
                  <w:vAlign w:val="center"/>
                </w:tcPr>
                <w:p w14:paraId="692A10E2">
                  <w:pPr>
                    <w:spacing w:line="240" w:lineRule="auto"/>
                    <w:jc w:val="center"/>
                    <w:rPr>
                      <w:rFonts w:hint="eastAsia"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DA00</w:t>
                  </w:r>
                  <w:r>
                    <w:rPr>
                      <w:rFonts w:hint="eastAsia" w:ascii="Times New Roman" w:hAnsi="Times New Roman" w:eastAsia="宋体" w:cs="Times New Roman"/>
                      <w:color w:val="auto"/>
                      <w:sz w:val="21"/>
                      <w:szCs w:val="21"/>
                      <w:lang w:val="en-US" w:eastAsia="zh-CN"/>
                    </w:rPr>
                    <w:t>4</w:t>
                  </w:r>
                </w:p>
              </w:tc>
            </w:tr>
            <w:tr w14:paraId="027779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764" w:type="pct"/>
                  <w:noWrap w:val="0"/>
                  <w:vAlign w:val="center"/>
                </w:tcPr>
                <w:p w14:paraId="607CBE30">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辊涂、</w:t>
                  </w:r>
                  <w:r>
                    <w:rPr>
                      <w:rFonts w:hint="eastAsia" w:ascii="Times New Roman" w:hAnsi="Times New Roman" w:eastAsia="宋体" w:cs="Times New Roman"/>
                      <w:color w:val="auto"/>
                      <w:sz w:val="21"/>
                      <w:szCs w:val="21"/>
                      <w:highlight w:val="none"/>
                      <w:lang w:val="en-US" w:eastAsia="zh-CN"/>
                    </w:rPr>
                    <w:t>紫外光固化</w:t>
                  </w:r>
                </w:p>
              </w:tc>
              <w:tc>
                <w:tcPr>
                  <w:tcW w:w="566" w:type="pct"/>
                  <w:noWrap w:val="0"/>
                  <w:vAlign w:val="center"/>
                </w:tcPr>
                <w:p w14:paraId="75C940D9">
                  <w:pPr>
                    <w:spacing w:line="240" w:lineRule="auto"/>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挥发性有机物</w:t>
                  </w:r>
                </w:p>
              </w:tc>
              <w:tc>
                <w:tcPr>
                  <w:tcW w:w="538" w:type="pct"/>
                  <w:noWrap w:val="0"/>
                  <w:vAlign w:val="center"/>
                </w:tcPr>
                <w:p w14:paraId="38D803CD">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有组织</w:t>
                  </w:r>
                </w:p>
              </w:tc>
              <w:tc>
                <w:tcPr>
                  <w:tcW w:w="667" w:type="pct"/>
                  <w:noWrap w:val="0"/>
                  <w:vAlign w:val="center"/>
                </w:tcPr>
                <w:p w14:paraId="501126BE">
                  <w:pPr>
                    <w:spacing w:line="240" w:lineRule="auto"/>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eastAsia="zh-CN"/>
                    </w:rPr>
                    <w:t>带有自动控制系统的</w:t>
                  </w:r>
                  <w:r>
                    <w:rPr>
                      <w:rFonts w:hint="default" w:ascii="Times New Roman" w:hAnsi="Times New Roman" w:eastAsia="宋体" w:cs="Times New Roman"/>
                      <w:color w:val="auto"/>
                      <w:sz w:val="21"/>
                      <w:szCs w:val="21"/>
                    </w:rPr>
                    <w:t>二级活性炭吸附装置</w:t>
                  </w:r>
                </w:p>
              </w:tc>
              <w:tc>
                <w:tcPr>
                  <w:tcW w:w="442" w:type="pct"/>
                  <w:noWrap w:val="0"/>
                  <w:vAlign w:val="center"/>
                </w:tcPr>
                <w:p w14:paraId="3F30E208">
                  <w:pPr>
                    <w:spacing w:line="240" w:lineRule="auto"/>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80</w:t>
                  </w:r>
                  <w:r>
                    <w:rPr>
                      <w:rFonts w:hint="default" w:ascii="Times New Roman" w:hAnsi="Times New Roman" w:eastAsia="宋体" w:cs="Times New Roman"/>
                      <w:color w:val="auto"/>
                      <w:sz w:val="21"/>
                      <w:szCs w:val="21"/>
                    </w:rPr>
                    <w:t>%</w:t>
                  </w:r>
                </w:p>
              </w:tc>
              <w:tc>
                <w:tcPr>
                  <w:tcW w:w="448" w:type="pct"/>
                  <w:noWrap w:val="0"/>
                  <w:vAlign w:val="center"/>
                </w:tcPr>
                <w:p w14:paraId="44A14E58">
                  <w:pPr>
                    <w:spacing w:line="240" w:lineRule="auto"/>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5</w:t>
                  </w:r>
                  <w:r>
                    <w:rPr>
                      <w:rFonts w:hint="default" w:ascii="Times New Roman" w:hAnsi="Times New Roman" w:eastAsia="宋体" w:cs="Times New Roman"/>
                      <w:color w:val="auto"/>
                      <w:sz w:val="21"/>
                      <w:szCs w:val="21"/>
                    </w:rPr>
                    <w:t>0%</w:t>
                  </w:r>
                </w:p>
              </w:tc>
              <w:tc>
                <w:tcPr>
                  <w:tcW w:w="528" w:type="pct"/>
                  <w:noWrap w:val="0"/>
                  <w:vAlign w:val="center"/>
                </w:tcPr>
                <w:p w14:paraId="15448F41">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是</w:t>
                  </w:r>
                </w:p>
              </w:tc>
              <w:tc>
                <w:tcPr>
                  <w:tcW w:w="477" w:type="pct"/>
                  <w:noWrap w:val="0"/>
                  <w:vAlign w:val="center"/>
                </w:tcPr>
                <w:p w14:paraId="0EC3A084">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一般排放口</w:t>
                  </w:r>
                </w:p>
              </w:tc>
              <w:tc>
                <w:tcPr>
                  <w:tcW w:w="566" w:type="pct"/>
                  <w:noWrap w:val="0"/>
                  <w:vAlign w:val="center"/>
                </w:tcPr>
                <w:p w14:paraId="7D96BA6B">
                  <w:pPr>
                    <w:spacing w:line="240" w:lineRule="auto"/>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DA00</w:t>
                  </w:r>
                  <w:r>
                    <w:rPr>
                      <w:rFonts w:hint="eastAsia" w:ascii="Times New Roman" w:hAnsi="Times New Roman" w:eastAsia="宋体" w:cs="Times New Roman"/>
                      <w:color w:val="auto"/>
                      <w:sz w:val="21"/>
                      <w:szCs w:val="21"/>
                      <w:lang w:val="en-US" w:eastAsia="zh-CN"/>
                    </w:rPr>
                    <w:t>5</w:t>
                  </w:r>
                </w:p>
              </w:tc>
            </w:tr>
          </w:tbl>
          <w:p w14:paraId="0A225629">
            <w:pPr>
              <w:spacing w:line="240" w:lineRule="auto"/>
              <w:jc w:val="both"/>
              <w:rPr>
                <w:b/>
                <w:bCs/>
                <w:color w:val="auto"/>
                <w:sz w:val="24"/>
                <w:szCs w:val="24"/>
              </w:rPr>
            </w:pPr>
          </w:p>
          <w:p w14:paraId="553E57EE">
            <w:pPr>
              <w:spacing w:line="240" w:lineRule="auto"/>
              <w:jc w:val="both"/>
              <w:rPr>
                <w:b/>
                <w:bCs/>
                <w:color w:val="auto"/>
                <w:sz w:val="24"/>
                <w:szCs w:val="24"/>
              </w:rPr>
            </w:pPr>
          </w:p>
          <w:p w14:paraId="5EDA0CA9">
            <w:pPr>
              <w:pStyle w:val="68"/>
              <w:numPr>
                <w:ilvl w:val="0"/>
                <w:numId w:val="19"/>
              </w:numPr>
              <w:spacing w:line="360" w:lineRule="auto"/>
              <w:ind w:left="0" w:leftChars="0" w:firstLine="0" w:firstLineChars="0"/>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  排放口基本情况一览表</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29"/>
              <w:gridCol w:w="892"/>
              <w:gridCol w:w="806"/>
              <w:gridCol w:w="930"/>
              <w:gridCol w:w="1262"/>
              <w:gridCol w:w="1626"/>
              <w:gridCol w:w="1519"/>
            </w:tblGrid>
            <w:tr w14:paraId="3187ED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844" w:type="pct"/>
                  <w:vMerge w:val="restart"/>
                  <w:noWrap w:val="0"/>
                  <w:vAlign w:val="center"/>
                </w:tcPr>
                <w:p w14:paraId="5F0D542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lang w:eastAsia="zh-CN"/>
                    </w:rPr>
                  </w:pPr>
                  <w:r>
                    <w:rPr>
                      <w:rFonts w:hint="default" w:ascii="Times New Roman" w:hAnsi="Times New Roman" w:eastAsia="宋体" w:cs="Times New Roman"/>
                      <w:b/>
                      <w:bCs/>
                      <w:color w:val="auto"/>
                      <w:sz w:val="21"/>
                      <w:szCs w:val="21"/>
                    </w:rPr>
                    <w:t>编号</w:t>
                  </w:r>
                  <w:r>
                    <w:rPr>
                      <w:rFonts w:hint="default" w:ascii="Times New Roman" w:hAnsi="Times New Roman" w:eastAsia="宋体" w:cs="Times New Roman"/>
                      <w:b/>
                      <w:bCs/>
                      <w:color w:val="auto"/>
                      <w:sz w:val="21"/>
                      <w:szCs w:val="21"/>
                      <w:lang w:eastAsia="zh-CN"/>
                    </w:rPr>
                    <w:t>及名称</w:t>
                  </w:r>
                </w:p>
              </w:tc>
              <w:tc>
                <w:tcPr>
                  <w:tcW w:w="527" w:type="pct"/>
                  <w:vMerge w:val="restart"/>
                  <w:noWrap w:val="0"/>
                  <w:vAlign w:val="center"/>
                </w:tcPr>
                <w:p w14:paraId="2E676F7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排气筒高度</w:t>
                  </w:r>
                </w:p>
              </w:tc>
              <w:tc>
                <w:tcPr>
                  <w:tcW w:w="476" w:type="pct"/>
                  <w:vMerge w:val="restart"/>
                  <w:noWrap w:val="0"/>
                  <w:vAlign w:val="center"/>
                </w:tcPr>
                <w:p w14:paraId="4A14617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内径</w:t>
                  </w:r>
                </w:p>
              </w:tc>
              <w:tc>
                <w:tcPr>
                  <w:tcW w:w="549" w:type="pct"/>
                  <w:vMerge w:val="restart"/>
                  <w:noWrap w:val="0"/>
                  <w:vAlign w:val="center"/>
                </w:tcPr>
                <w:p w14:paraId="5BCFC5A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类型</w:t>
                  </w:r>
                </w:p>
              </w:tc>
              <w:tc>
                <w:tcPr>
                  <w:tcW w:w="745" w:type="pct"/>
                  <w:vMerge w:val="restart"/>
                  <w:noWrap w:val="0"/>
                  <w:vAlign w:val="center"/>
                </w:tcPr>
                <w:p w14:paraId="5152817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烟气出口温度（℃）</w:t>
                  </w:r>
                </w:p>
              </w:tc>
              <w:tc>
                <w:tcPr>
                  <w:tcW w:w="1857" w:type="pct"/>
                  <w:gridSpan w:val="2"/>
                  <w:noWrap w:val="0"/>
                  <w:vAlign w:val="center"/>
                </w:tcPr>
                <w:p w14:paraId="6AD90BD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lang w:eastAsia="zh-CN"/>
                    </w:rPr>
                    <w:t>地理</w:t>
                  </w:r>
                  <w:r>
                    <w:rPr>
                      <w:rFonts w:hint="default" w:ascii="Times New Roman" w:hAnsi="Times New Roman" w:eastAsia="宋体" w:cs="Times New Roman"/>
                      <w:b/>
                      <w:bCs/>
                      <w:color w:val="auto"/>
                      <w:sz w:val="21"/>
                      <w:szCs w:val="21"/>
                    </w:rPr>
                    <w:t>坐标</w:t>
                  </w:r>
                </w:p>
              </w:tc>
            </w:tr>
            <w:tr w14:paraId="65E8CB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844" w:type="pct"/>
                  <w:vMerge w:val="continue"/>
                  <w:noWrap w:val="0"/>
                  <w:vAlign w:val="center"/>
                </w:tcPr>
                <w:p w14:paraId="129AC13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p>
              </w:tc>
              <w:tc>
                <w:tcPr>
                  <w:tcW w:w="527" w:type="pct"/>
                  <w:vMerge w:val="continue"/>
                  <w:noWrap w:val="0"/>
                  <w:vAlign w:val="center"/>
                </w:tcPr>
                <w:p w14:paraId="42E71B4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p>
              </w:tc>
              <w:tc>
                <w:tcPr>
                  <w:tcW w:w="476" w:type="pct"/>
                  <w:vMerge w:val="continue"/>
                  <w:noWrap w:val="0"/>
                  <w:vAlign w:val="center"/>
                </w:tcPr>
                <w:p w14:paraId="2922235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p>
              </w:tc>
              <w:tc>
                <w:tcPr>
                  <w:tcW w:w="549" w:type="pct"/>
                  <w:vMerge w:val="continue"/>
                  <w:noWrap w:val="0"/>
                  <w:vAlign w:val="center"/>
                </w:tcPr>
                <w:p w14:paraId="3B620DD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p>
              </w:tc>
              <w:tc>
                <w:tcPr>
                  <w:tcW w:w="745" w:type="pct"/>
                  <w:vMerge w:val="continue"/>
                  <w:noWrap w:val="0"/>
                  <w:vAlign w:val="center"/>
                </w:tcPr>
                <w:p w14:paraId="666A2EC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p>
              </w:tc>
              <w:tc>
                <w:tcPr>
                  <w:tcW w:w="960" w:type="pct"/>
                  <w:noWrap w:val="0"/>
                  <w:vAlign w:val="center"/>
                </w:tcPr>
                <w:p w14:paraId="603925C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经度</w:t>
                  </w:r>
                </w:p>
              </w:tc>
              <w:tc>
                <w:tcPr>
                  <w:tcW w:w="896" w:type="pct"/>
                  <w:noWrap w:val="0"/>
                  <w:vAlign w:val="center"/>
                </w:tcPr>
                <w:p w14:paraId="3723A60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纬度</w:t>
                  </w:r>
                </w:p>
              </w:tc>
            </w:tr>
            <w:tr w14:paraId="4C11EA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844" w:type="pct"/>
                  <w:noWrap w:val="0"/>
                  <w:vAlign w:val="center"/>
                </w:tcPr>
                <w:p w14:paraId="63A3E5F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DA001</w:t>
                  </w:r>
                </w:p>
              </w:tc>
              <w:tc>
                <w:tcPr>
                  <w:tcW w:w="527" w:type="pct"/>
                  <w:noWrap w:val="0"/>
                  <w:vAlign w:val="center"/>
                </w:tcPr>
                <w:p w14:paraId="7C15159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15m</w:t>
                  </w:r>
                </w:p>
              </w:tc>
              <w:tc>
                <w:tcPr>
                  <w:tcW w:w="476" w:type="pct"/>
                  <w:noWrap w:val="0"/>
                  <w:vAlign w:val="center"/>
                </w:tcPr>
                <w:p w14:paraId="1A73C20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r>
                    <w:rPr>
                      <w:rFonts w:hint="eastAsia" w:ascii="Times New Roman" w:hAnsi="Times New Roman" w:eastAsia="宋体" w:cs="Times New Roman"/>
                      <w:color w:val="auto"/>
                      <w:sz w:val="21"/>
                      <w:szCs w:val="21"/>
                      <w:lang w:val="en-US" w:eastAsia="zh-CN"/>
                    </w:rPr>
                    <w:t>8</w:t>
                  </w:r>
                  <w:r>
                    <w:rPr>
                      <w:rFonts w:hint="default" w:ascii="Times New Roman" w:hAnsi="Times New Roman" w:eastAsia="宋体" w:cs="Times New Roman"/>
                      <w:color w:val="auto"/>
                      <w:sz w:val="21"/>
                      <w:szCs w:val="21"/>
                    </w:rPr>
                    <w:t>m</w:t>
                  </w:r>
                </w:p>
              </w:tc>
              <w:tc>
                <w:tcPr>
                  <w:tcW w:w="549" w:type="pct"/>
                  <w:noWrap w:val="0"/>
                  <w:vAlign w:val="center"/>
                </w:tcPr>
                <w:p w14:paraId="376C20E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一般排放口</w:t>
                  </w:r>
                </w:p>
              </w:tc>
              <w:tc>
                <w:tcPr>
                  <w:tcW w:w="745" w:type="pct"/>
                  <w:noWrap w:val="0"/>
                  <w:vAlign w:val="center"/>
                </w:tcPr>
                <w:p w14:paraId="5F4A5CB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25</w:t>
                  </w:r>
                </w:p>
              </w:tc>
              <w:tc>
                <w:tcPr>
                  <w:tcW w:w="960" w:type="pct"/>
                  <w:noWrap w:val="0"/>
                  <w:vAlign w:val="center"/>
                </w:tcPr>
                <w:p w14:paraId="0AC3415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124°0′52.25</w:t>
                  </w:r>
                  <w:r>
                    <w:rPr>
                      <w:rFonts w:hint="eastAsia" w:ascii="Times New Roman" w:hAnsi="Times New Roman" w:eastAsia="宋体" w:cs="Times New Roman"/>
                      <w:color w:val="auto"/>
                      <w:sz w:val="21"/>
                      <w:szCs w:val="21"/>
                      <w:lang w:val="en-US" w:eastAsia="zh-CN"/>
                    </w:rPr>
                    <w:t>8</w:t>
                  </w:r>
                  <w:r>
                    <w:rPr>
                      <w:rFonts w:hint="default" w:ascii="Times New Roman" w:hAnsi="Times New Roman" w:eastAsia="宋体" w:cs="Times New Roman"/>
                      <w:color w:val="auto"/>
                      <w:sz w:val="21"/>
                      <w:szCs w:val="21"/>
                    </w:rPr>
                    <w:t>″</w:t>
                  </w:r>
                </w:p>
              </w:tc>
              <w:tc>
                <w:tcPr>
                  <w:tcW w:w="896" w:type="pct"/>
                  <w:noWrap w:val="0"/>
                  <w:vAlign w:val="center"/>
                </w:tcPr>
                <w:p w14:paraId="5D60F44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41°43′22.5</w:t>
                  </w:r>
                  <w:r>
                    <w:rPr>
                      <w:rFonts w:hint="eastAsia" w:ascii="Times New Roman" w:hAnsi="Times New Roman" w:eastAsia="宋体" w:cs="Times New Roman"/>
                      <w:color w:val="auto"/>
                      <w:sz w:val="21"/>
                      <w:szCs w:val="21"/>
                      <w:lang w:val="en-US" w:eastAsia="zh-CN"/>
                    </w:rPr>
                    <w:t>8</w:t>
                  </w:r>
                  <w:r>
                    <w:rPr>
                      <w:rFonts w:hint="default" w:ascii="Times New Roman" w:hAnsi="Times New Roman" w:eastAsia="宋体" w:cs="Times New Roman"/>
                      <w:color w:val="auto"/>
                      <w:sz w:val="21"/>
                      <w:szCs w:val="21"/>
                    </w:rPr>
                    <w:t>″</w:t>
                  </w:r>
                </w:p>
              </w:tc>
            </w:tr>
            <w:tr w14:paraId="2D8636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844" w:type="pct"/>
                  <w:noWrap w:val="0"/>
                  <w:vAlign w:val="center"/>
                </w:tcPr>
                <w:p w14:paraId="0469095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DA002</w:t>
                  </w:r>
                </w:p>
              </w:tc>
              <w:tc>
                <w:tcPr>
                  <w:tcW w:w="527" w:type="pct"/>
                  <w:noWrap w:val="0"/>
                  <w:vAlign w:val="center"/>
                </w:tcPr>
                <w:p w14:paraId="039DD22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15m</w:t>
                  </w:r>
                </w:p>
              </w:tc>
              <w:tc>
                <w:tcPr>
                  <w:tcW w:w="476" w:type="pct"/>
                  <w:noWrap w:val="0"/>
                  <w:vAlign w:val="center"/>
                </w:tcPr>
                <w:p w14:paraId="54E7D32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r>
                    <w:rPr>
                      <w:rFonts w:hint="default" w:ascii="Times New Roman" w:hAnsi="Times New Roman" w:eastAsia="宋体" w:cs="Times New Roman"/>
                      <w:color w:val="auto"/>
                      <w:sz w:val="21"/>
                      <w:szCs w:val="21"/>
                      <w:lang w:val="en-US" w:eastAsia="zh-CN"/>
                    </w:rPr>
                    <w:t>6</w:t>
                  </w:r>
                  <w:r>
                    <w:rPr>
                      <w:rFonts w:hint="default" w:ascii="Times New Roman" w:hAnsi="Times New Roman" w:eastAsia="宋体" w:cs="Times New Roman"/>
                      <w:color w:val="auto"/>
                      <w:sz w:val="21"/>
                      <w:szCs w:val="21"/>
                    </w:rPr>
                    <w:t>m</w:t>
                  </w:r>
                </w:p>
              </w:tc>
              <w:tc>
                <w:tcPr>
                  <w:tcW w:w="549" w:type="pct"/>
                  <w:noWrap w:val="0"/>
                  <w:vAlign w:val="center"/>
                </w:tcPr>
                <w:p w14:paraId="4653003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一般排放口</w:t>
                  </w:r>
                </w:p>
              </w:tc>
              <w:tc>
                <w:tcPr>
                  <w:tcW w:w="745" w:type="pct"/>
                  <w:noWrap w:val="0"/>
                  <w:vAlign w:val="center"/>
                </w:tcPr>
                <w:p w14:paraId="6706F5F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25</w:t>
                  </w:r>
                </w:p>
              </w:tc>
              <w:tc>
                <w:tcPr>
                  <w:tcW w:w="960" w:type="pct"/>
                  <w:noWrap w:val="0"/>
                  <w:vAlign w:val="center"/>
                </w:tcPr>
                <w:p w14:paraId="2F1E49C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124°0′48.9</w:t>
                  </w:r>
                  <w:r>
                    <w:rPr>
                      <w:rFonts w:hint="eastAsia" w:ascii="Times New Roman" w:hAnsi="Times New Roman" w:eastAsia="宋体" w:cs="Times New Roman"/>
                      <w:color w:val="auto"/>
                      <w:sz w:val="21"/>
                      <w:szCs w:val="21"/>
                      <w:lang w:val="en-US" w:eastAsia="zh-CN"/>
                    </w:rPr>
                    <w:t>6</w:t>
                  </w:r>
                  <w:r>
                    <w:rPr>
                      <w:rFonts w:hint="default" w:ascii="Times New Roman" w:hAnsi="Times New Roman" w:eastAsia="宋体" w:cs="Times New Roman"/>
                      <w:color w:val="auto"/>
                      <w:sz w:val="21"/>
                      <w:szCs w:val="21"/>
                    </w:rPr>
                    <w:t>″</w:t>
                  </w:r>
                </w:p>
              </w:tc>
              <w:tc>
                <w:tcPr>
                  <w:tcW w:w="896" w:type="pct"/>
                  <w:noWrap w:val="0"/>
                  <w:vAlign w:val="center"/>
                </w:tcPr>
                <w:p w14:paraId="08E9143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41°43′24.10″</w:t>
                  </w:r>
                </w:p>
              </w:tc>
            </w:tr>
            <w:tr w14:paraId="155835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844" w:type="pct"/>
                  <w:noWrap w:val="0"/>
                  <w:vAlign w:val="center"/>
                </w:tcPr>
                <w:p w14:paraId="4F641CF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DA00</w:t>
                  </w:r>
                  <w:r>
                    <w:rPr>
                      <w:rFonts w:hint="default" w:ascii="Times New Roman" w:hAnsi="Times New Roman" w:eastAsia="宋体" w:cs="Times New Roman"/>
                      <w:color w:val="auto"/>
                      <w:sz w:val="21"/>
                      <w:szCs w:val="21"/>
                      <w:lang w:val="en-US" w:eastAsia="zh-CN"/>
                    </w:rPr>
                    <w:t>3</w:t>
                  </w:r>
                </w:p>
              </w:tc>
              <w:tc>
                <w:tcPr>
                  <w:tcW w:w="527" w:type="pct"/>
                  <w:noWrap w:val="0"/>
                  <w:vAlign w:val="center"/>
                </w:tcPr>
                <w:p w14:paraId="1324124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15m</w:t>
                  </w:r>
                </w:p>
              </w:tc>
              <w:tc>
                <w:tcPr>
                  <w:tcW w:w="476" w:type="pct"/>
                  <w:noWrap w:val="0"/>
                  <w:vAlign w:val="center"/>
                </w:tcPr>
                <w:p w14:paraId="01C7E04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r>
                    <w:rPr>
                      <w:rFonts w:hint="default" w:ascii="Times New Roman" w:hAnsi="Times New Roman" w:eastAsia="宋体" w:cs="Times New Roman"/>
                      <w:color w:val="auto"/>
                      <w:sz w:val="21"/>
                      <w:szCs w:val="21"/>
                      <w:lang w:val="en-US" w:eastAsia="zh-CN"/>
                    </w:rPr>
                    <w:t>6</w:t>
                  </w:r>
                  <w:r>
                    <w:rPr>
                      <w:rFonts w:hint="default" w:ascii="Times New Roman" w:hAnsi="Times New Roman" w:eastAsia="宋体" w:cs="Times New Roman"/>
                      <w:color w:val="auto"/>
                      <w:sz w:val="21"/>
                      <w:szCs w:val="21"/>
                    </w:rPr>
                    <w:t>m</w:t>
                  </w:r>
                </w:p>
              </w:tc>
              <w:tc>
                <w:tcPr>
                  <w:tcW w:w="549" w:type="pct"/>
                  <w:noWrap w:val="0"/>
                  <w:vAlign w:val="center"/>
                </w:tcPr>
                <w:p w14:paraId="2B459C4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一般排放口</w:t>
                  </w:r>
                </w:p>
              </w:tc>
              <w:tc>
                <w:tcPr>
                  <w:tcW w:w="745" w:type="pct"/>
                  <w:noWrap w:val="0"/>
                  <w:vAlign w:val="center"/>
                </w:tcPr>
                <w:p w14:paraId="17327BE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25</w:t>
                  </w:r>
                </w:p>
              </w:tc>
              <w:tc>
                <w:tcPr>
                  <w:tcW w:w="960" w:type="pct"/>
                  <w:noWrap w:val="0"/>
                  <w:vAlign w:val="center"/>
                </w:tcPr>
                <w:p w14:paraId="2BAC1ED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124°0′48.7</w:t>
                  </w:r>
                  <w:r>
                    <w:rPr>
                      <w:rFonts w:hint="eastAsia" w:ascii="Times New Roman" w:hAnsi="Times New Roman" w:eastAsia="宋体" w:cs="Times New Roman"/>
                      <w:color w:val="auto"/>
                      <w:sz w:val="21"/>
                      <w:szCs w:val="21"/>
                      <w:lang w:val="en-US" w:eastAsia="zh-CN"/>
                    </w:rPr>
                    <w:t>2</w:t>
                  </w:r>
                  <w:r>
                    <w:rPr>
                      <w:rFonts w:hint="default" w:ascii="Times New Roman" w:hAnsi="Times New Roman" w:eastAsia="宋体" w:cs="Times New Roman"/>
                      <w:color w:val="auto"/>
                      <w:sz w:val="21"/>
                      <w:szCs w:val="21"/>
                    </w:rPr>
                    <w:t>″</w:t>
                  </w:r>
                </w:p>
              </w:tc>
              <w:tc>
                <w:tcPr>
                  <w:tcW w:w="896" w:type="pct"/>
                  <w:noWrap w:val="0"/>
                  <w:vAlign w:val="center"/>
                </w:tcPr>
                <w:p w14:paraId="2A5BBCE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41°43′24.</w:t>
                  </w:r>
                  <w:r>
                    <w:rPr>
                      <w:rFonts w:hint="eastAsia" w:ascii="Times New Roman" w:hAnsi="Times New Roman" w:eastAsia="宋体" w:cs="Times New Roman"/>
                      <w:color w:val="auto"/>
                      <w:sz w:val="21"/>
                      <w:szCs w:val="21"/>
                      <w:lang w:val="en-US" w:eastAsia="zh-CN"/>
                    </w:rPr>
                    <w:t>30</w:t>
                  </w:r>
                  <w:r>
                    <w:rPr>
                      <w:rFonts w:hint="default" w:ascii="Times New Roman" w:hAnsi="Times New Roman" w:eastAsia="宋体" w:cs="Times New Roman"/>
                      <w:color w:val="auto"/>
                      <w:sz w:val="21"/>
                      <w:szCs w:val="21"/>
                    </w:rPr>
                    <w:t>″</w:t>
                  </w:r>
                </w:p>
              </w:tc>
            </w:tr>
            <w:tr w14:paraId="2396E9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844" w:type="pct"/>
                  <w:noWrap w:val="0"/>
                  <w:vAlign w:val="center"/>
                </w:tcPr>
                <w:p w14:paraId="7023288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DA00</w:t>
                  </w:r>
                  <w:r>
                    <w:rPr>
                      <w:rFonts w:hint="eastAsia" w:ascii="Times New Roman" w:hAnsi="Times New Roman" w:eastAsia="宋体" w:cs="Times New Roman"/>
                      <w:color w:val="auto"/>
                      <w:sz w:val="21"/>
                      <w:szCs w:val="21"/>
                      <w:lang w:val="en-US" w:eastAsia="zh-CN"/>
                    </w:rPr>
                    <w:t>4</w:t>
                  </w:r>
                </w:p>
              </w:tc>
              <w:tc>
                <w:tcPr>
                  <w:tcW w:w="527" w:type="pct"/>
                  <w:noWrap w:val="0"/>
                  <w:vAlign w:val="center"/>
                </w:tcPr>
                <w:p w14:paraId="67A8C6B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15m</w:t>
                  </w:r>
                </w:p>
              </w:tc>
              <w:tc>
                <w:tcPr>
                  <w:tcW w:w="476" w:type="pct"/>
                  <w:noWrap w:val="0"/>
                  <w:vAlign w:val="center"/>
                </w:tcPr>
                <w:p w14:paraId="5840C81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r>
                    <w:rPr>
                      <w:rFonts w:hint="eastAsia" w:ascii="Times New Roman" w:hAnsi="Times New Roman" w:eastAsia="宋体" w:cs="Times New Roman"/>
                      <w:color w:val="auto"/>
                      <w:sz w:val="21"/>
                      <w:szCs w:val="21"/>
                      <w:lang w:val="en-US" w:eastAsia="zh-CN"/>
                    </w:rPr>
                    <w:t>8</w:t>
                  </w:r>
                  <w:r>
                    <w:rPr>
                      <w:rFonts w:hint="default" w:ascii="Times New Roman" w:hAnsi="Times New Roman" w:eastAsia="宋体" w:cs="Times New Roman"/>
                      <w:color w:val="auto"/>
                      <w:sz w:val="21"/>
                      <w:szCs w:val="21"/>
                    </w:rPr>
                    <w:t>m</w:t>
                  </w:r>
                </w:p>
              </w:tc>
              <w:tc>
                <w:tcPr>
                  <w:tcW w:w="549" w:type="pct"/>
                  <w:noWrap w:val="0"/>
                  <w:vAlign w:val="center"/>
                </w:tcPr>
                <w:p w14:paraId="4663649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一般排放口</w:t>
                  </w:r>
                </w:p>
              </w:tc>
              <w:tc>
                <w:tcPr>
                  <w:tcW w:w="745" w:type="pct"/>
                  <w:noWrap w:val="0"/>
                  <w:vAlign w:val="center"/>
                </w:tcPr>
                <w:p w14:paraId="3E8FC5A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25</w:t>
                  </w:r>
                </w:p>
              </w:tc>
              <w:tc>
                <w:tcPr>
                  <w:tcW w:w="960" w:type="pct"/>
                  <w:noWrap w:val="0"/>
                  <w:vAlign w:val="center"/>
                </w:tcPr>
                <w:p w14:paraId="1477ED6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124°0′48.57″</w:t>
                  </w:r>
                </w:p>
              </w:tc>
              <w:tc>
                <w:tcPr>
                  <w:tcW w:w="896" w:type="pct"/>
                  <w:noWrap w:val="0"/>
                  <w:vAlign w:val="center"/>
                </w:tcPr>
                <w:p w14:paraId="49438FB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41°43′24.74″</w:t>
                  </w:r>
                </w:p>
              </w:tc>
            </w:tr>
            <w:tr w14:paraId="3012A6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844" w:type="pct"/>
                  <w:noWrap w:val="0"/>
                  <w:vAlign w:val="center"/>
                </w:tcPr>
                <w:p w14:paraId="7454E5C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DA0</w:t>
                  </w:r>
                  <w:r>
                    <w:rPr>
                      <w:rFonts w:hint="eastAsia" w:ascii="Times New Roman" w:hAnsi="Times New Roman" w:eastAsia="宋体" w:cs="Times New Roman"/>
                      <w:color w:val="auto"/>
                      <w:sz w:val="21"/>
                      <w:szCs w:val="21"/>
                      <w:lang w:val="en-US" w:eastAsia="zh-CN"/>
                    </w:rPr>
                    <w:t>05</w:t>
                  </w:r>
                </w:p>
              </w:tc>
              <w:tc>
                <w:tcPr>
                  <w:tcW w:w="527" w:type="pct"/>
                  <w:noWrap w:val="0"/>
                  <w:vAlign w:val="center"/>
                </w:tcPr>
                <w:p w14:paraId="136BE87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15m</w:t>
                  </w:r>
                </w:p>
              </w:tc>
              <w:tc>
                <w:tcPr>
                  <w:tcW w:w="476" w:type="pct"/>
                  <w:noWrap w:val="0"/>
                  <w:vAlign w:val="center"/>
                </w:tcPr>
                <w:p w14:paraId="1470D27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r>
                    <w:rPr>
                      <w:rFonts w:hint="default" w:ascii="Times New Roman" w:hAnsi="Times New Roman" w:eastAsia="宋体" w:cs="Times New Roman"/>
                      <w:color w:val="auto"/>
                      <w:sz w:val="21"/>
                      <w:szCs w:val="21"/>
                      <w:lang w:val="en-US" w:eastAsia="zh-CN"/>
                    </w:rPr>
                    <w:t>6</w:t>
                  </w:r>
                  <w:r>
                    <w:rPr>
                      <w:rFonts w:hint="default" w:ascii="Times New Roman" w:hAnsi="Times New Roman" w:eastAsia="宋体" w:cs="Times New Roman"/>
                      <w:color w:val="auto"/>
                      <w:sz w:val="21"/>
                      <w:szCs w:val="21"/>
                    </w:rPr>
                    <w:t>m</w:t>
                  </w:r>
                </w:p>
              </w:tc>
              <w:tc>
                <w:tcPr>
                  <w:tcW w:w="549" w:type="pct"/>
                  <w:noWrap w:val="0"/>
                  <w:vAlign w:val="center"/>
                </w:tcPr>
                <w:p w14:paraId="346A97E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一般排放口</w:t>
                  </w:r>
                </w:p>
              </w:tc>
              <w:tc>
                <w:tcPr>
                  <w:tcW w:w="745" w:type="pct"/>
                  <w:noWrap w:val="0"/>
                  <w:vAlign w:val="center"/>
                </w:tcPr>
                <w:p w14:paraId="291F73A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25</w:t>
                  </w:r>
                </w:p>
              </w:tc>
              <w:tc>
                <w:tcPr>
                  <w:tcW w:w="960" w:type="pct"/>
                  <w:noWrap w:val="0"/>
                  <w:vAlign w:val="center"/>
                </w:tcPr>
                <w:p w14:paraId="271F6B6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124°0′50.1</w:t>
                  </w:r>
                  <w:r>
                    <w:rPr>
                      <w:rFonts w:hint="eastAsia" w:ascii="Times New Roman" w:hAnsi="Times New Roman" w:eastAsia="宋体" w:cs="Times New Roman"/>
                      <w:color w:val="auto"/>
                      <w:sz w:val="21"/>
                      <w:szCs w:val="21"/>
                      <w:lang w:val="en-US" w:eastAsia="zh-CN"/>
                    </w:rPr>
                    <w:t>5</w:t>
                  </w:r>
                  <w:r>
                    <w:rPr>
                      <w:rFonts w:hint="default" w:ascii="Times New Roman" w:hAnsi="Times New Roman" w:eastAsia="宋体" w:cs="Times New Roman"/>
                      <w:color w:val="auto"/>
                      <w:sz w:val="21"/>
                      <w:szCs w:val="21"/>
                    </w:rPr>
                    <w:t>″</w:t>
                  </w:r>
                </w:p>
              </w:tc>
              <w:tc>
                <w:tcPr>
                  <w:tcW w:w="896" w:type="pct"/>
                  <w:noWrap w:val="0"/>
                  <w:vAlign w:val="center"/>
                </w:tcPr>
                <w:p w14:paraId="3969E54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41°43′26.2</w:t>
                  </w:r>
                  <w:r>
                    <w:rPr>
                      <w:rFonts w:hint="eastAsia" w:ascii="Times New Roman" w:hAnsi="Times New Roman" w:eastAsia="宋体" w:cs="Times New Roman"/>
                      <w:color w:val="auto"/>
                      <w:sz w:val="21"/>
                      <w:szCs w:val="21"/>
                      <w:lang w:val="en-US" w:eastAsia="zh-CN"/>
                    </w:rPr>
                    <w:t>5</w:t>
                  </w:r>
                  <w:r>
                    <w:rPr>
                      <w:rFonts w:hint="default" w:ascii="Times New Roman" w:hAnsi="Times New Roman" w:eastAsia="宋体" w:cs="Times New Roman"/>
                      <w:color w:val="auto"/>
                      <w:sz w:val="21"/>
                      <w:szCs w:val="21"/>
                    </w:rPr>
                    <w:t>″</w:t>
                  </w:r>
                </w:p>
              </w:tc>
            </w:tr>
          </w:tbl>
          <w:p w14:paraId="4BA021F7">
            <w:pPr>
              <w:tabs>
                <w:tab w:val="left" w:pos="1275"/>
              </w:tabs>
              <w:spacing w:line="240" w:lineRule="auto"/>
              <w:ind w:firstLine="482" w:firstLineChars="200"/>
              <w:jc w:val="center"/>
              <w:rPr>
                <w:b/>
                <w:bCs/>
                <w:color w:val="auto"/>
                <w:sz w:val="24"/>
                <w:szCs w:val="24"/>
              </w:rPr>
            </w:pPr>
          </w:p>
          <w:p w14:paraId="70F50C52">
            <w:pPr>
              <w:pStyle w:val="68"/>
              <w:numPr>
                <w:ilvl w:val="0"/>
                <w:numId w:val="19"/>
              </w:numPr>
              <w:spacing w:line="360" w:lineRule="auto"/>
              <w:ind w:left="0" w:leftChars="0" w:firstLine="0" w:firstLineChars="0"/>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  项目有组织废气产排污情况一览表</w:t>
            </w:r>
          </w:p>
          <w:tbl>
            <w:tblPr>
              <w:tblStyle w:val="2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8"/>
              <w:gridCol w:w="941"/>
              <w:gridCol w:w="909"/>
              <w:gridCol w:w="814"/>
              <w:gridCol w:w="791"/>
              <w:gridCol w:w="792"/>
              <w:gridCol w:w="1004"/>
              <w:gridCol w:w="730"/>
              <w:gridCol w:w="741"/>
              <w:gridCol w:w="891"/>
            </w:tblGrid>
            <w:tr w14:paraId="09D47A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501" w:type="pct"/>
                  <w:vMerge w:val="restart"/>
                  <w:noWrap w:val="0"/>
                  <w:vAlign w:val="center"/>
                </w:tcPr>
                <w:p w14:paraId="19777FB7">
                  <w:pPr>
                    <w:spacing w:line="240" w:lineRule="auto"/>
                    <w:jc w:val="center"/>
                    <w:rPr>
                      <w:rFonts w:hint="eastAsia" w:ascii="Times New Roman" w:hAnsi="Times New Roman" w:eastAsia="宋体" w:cs="Times New Roman"/>
                      <w:b/>
                      <w:color w:val="auto"/>
                      <w:sz w:val="21"/>
                      <w:szCs w:val="21"/>
                      <w:lang w:eastAsia="zh-CN"/>
                    </w:rPr>
                  </w:pPr>
                  <w:r>
                    <w:rPr>
                      <w:rFonts w:hint="eastAsia" w:ascii="Times New Roman" w:hAnsi="Times New Roman" w:eastAsia="宋体" w:cs="Times New Roman"/>
                      <w:b/>
                      <w:color w:val="auto"/>
                      <w:sz w:val="21"/>
                      <w:szCs w:val="21"/>
                      <w:lang w:eastAsia="zh-CN"/>
                    </w:rPr>
                    <w:t>工序</w:t>
                  </w:r>
                </w:p>
              </w:tc>
              <w:tc>
                <w:tcPr>
                  <w:tcW w:w="556" w:type="pct"/>
                  <w:vMerge w:val="restart"/>
                  <w:noWrap w:val="0"/>
                  <w:vAlign w:val="center"/>
                </w:tcPr>
                <w:p w14:paraId="72BED6F9">
                  <w:pPr>
                    <w:spacing w:line="240" w:lineRule="auto"/>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污染物</w:t>
                  </w:r>
                </w:p>
              </w:tc>
              <w:tc>
                <w:tcPr>
                  <w:tcW w:w="537" w:type="pct"/>
                  <w:vMerge w:val="restart"/>
                  <w:noWrap w:val="0"/>
                  <w:vAlign w:val="center"/>
                </w:tcPr>
                <w:p w14:paraId="094EE6B3">
                  <w:pPr>
                    <w:spacing w:line="240" w:lineRule="auto"/>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排气筒编号</w:t>
                  </w:r>
                </w:p>
              </w:tc>
              <w:tc>
                <w:tcPr>
                  <w:tcW w:w="481" w:type="pct"/>
                  <w:vMerge w:val="restart"/>
                  <w:noWrap w:val="0"/>
                  <w:vAlign w:val="center"/>
                </w:tcPr>
                <w:p w14:paraId="1F002885">
                  <w:pPr>
                    <w:spacing w:line="240" w:lineRule="auto"/>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废气量m</w:t>
                  </w:r>
                  <w:r>
                    <w:rPr>
                      <w:rFonts w:hint="default" w:ascii="Times New Roman" w:hAnsi="Times New Roman" w:eastAsia="宋体" w:cs="Times New Roman"/>
                      <w:b/>
                      <w:color w:val="auto"/>
                      <w:sz w:val="21"/>
                      <w:szCs w:val="21"/>
                      <w:vertAlign w:val="superscript"/>
                    </w:rPr>
                    <w:t>3</w:t>
                  </w:r>
                  <w:r>
                    <w:rPr>
                      <w:rFonts w:hint="default" w:ascii="Times New Roman" w:hAnsi="Times New Roman" w:eastAsia="宋体" w:cs="Times New Roman"/>
                      <w:b/>
                      <w:color w:val="auto"/>
                      <w:sz w:val="21"/>
                      <w:szCs w:val="21"/>
                    </w:rPr>
                    <w:t>/h</w:t>
                  </w:r>
                </w:p>
              </w:tc>
              <w:tc>
                <w:tcPr>
                  <w:tcW w:w="1528" w:type="pct"/>
                  <w:gridSpan w:val="3"/>
                  <w:noWrap w:val="0"/>
                  <w:vAlign w:val="center"/>
                </w:tcPr>
                <w:p w14:paraId="491BA7C1">
                  <w:pPr>
                    <w:spacing w:line="240" w:lineRule="auto"/>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产生情况</w:t>
                  </w:r>
                </w:p>
              </w:tc>
              <w:tc>
                <w:tcPr>
                  <w:tcW w:w="1395" w:type="pct"/>
                  <w:gridSpan w:val="3"/>
                  <w:noWrap w:val="0"/>
                  <w:vAlign w:val="center"/>
                </w:tcPr>
                <w:p w14:paraId="3881BAEC">
                  <w:pPr>
                    <w:spacing w:line="240" w:lineRule="auto"/>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排放情况</w:t>
                  </w:r>
                </w:p>
              </w:tc>
            </w:tr>
            <w:tr w14:paraId="0F6928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501" w:type="pct"/>
                  <w:vMerge w:val="continue"/>
                  <w:noWrap w:val="0"/>
                  <w:vAlign w:val="center"/>
                </w:tcPr>
                <w:p w14:paraId="6C511761">
                  <w:pPr>
                    <w:spacing w:line="240" w:lineRule="auto"/>
                    <w:jc w:val="center"/>
                    <w:rPr>
                      <w:rFonts w:hint="default" w:ascii="Times New Roman" w:hAnsi="Times New Roman" w:eastAsia="宋体" w:cs="Times New Roman"/>
                      <w:b/>
                      <w:color w:val="auto"/>
                      <w:sz w:val="21"/>
                      <w:szCs w:val="21"/>
                    </w:rPr>
                  </w:pPr>
                </w:p>
              </w:tc>
              <w:tc>
                <w:tcPr>
                  <w:tcW w:w="556" w:type="pct"/>
                  <w:vMerge w:val="continue"/>
                  <w:noWrap w:val="0"/>
                  <w:vAlign w:val="center"/>
                </w:tcPr>
                <w:p w14:paraId="47215252">
                  <w:pPr>
                    <w:spacing w:line="240" w:lineRule="auto"/>
                    <w:jc w:val="center"/>
                    <w:rPr>
                      <w:rFonts w:hint="default" w:ascii="Times New Roman" w:hAnsi="Times New Roman" w:eastAsia="宋体" w:cs="Times New Roman"/>
                      <w:b/>
                      <w:color w:val="auto"/>
                      <w:sz w:val="21"/>
                      <w:szCs w:val="21"/>
                    </w:rPr>
                  </w:pPr>
                </w:p>
              </w:tc>
              <w:tc>
                <w:tcPr>
                  <w:tcW w:w="537" w:type="pct"/>
                  <w:vMerge w:val="continue"/>
                  <w:noWrap w:val="0"/>
                  <w:vAlign w:val="center"/>
                </w:tcPr>
                <w:p w14:paraId="4AD90C72">
                  <w:pPr>
                    <w:spacing w:line="240" w:lineRule="auto"/>
                    <w:jc w:val="center"/>
                    <w:rPr>
                      <w:rFonts w:hint="default" w:ascii="Times New Roman" w:hAnsi="Times New Roman" w:eastAsia="宋体" w:cs="Times New Roman"/>
                      <w:b/>
                      <w:color w:val="auto"/>
                      <w:sz w:val="21"/>
                      <w:szCs w:val="21"/>
                    </w:rPr>
                  </w:pPr>
                </w:p>
              </w:tc>
              <w:tc>
                <w:tcPr>
                  <w:tcW w:w="481" w:type="pct"/>
                  <w:vMerge w:val="continue"/>
                  <w:noWrap w:val="0"/>
                  <w:vAlign w:val="center"/>
                </w:tcPr>
                <w:p w14:paraId="0DD18D2E">
                  <w:pPr>
                    <w:spacing w:line="240" w:lineRule="auto"/>
                    <w:jc w:val="center"/>
                    <w:rPr>
                      <w:rFonts w:hint="default" w:ascii="Times New Roman" w:hAnsi="Times New Roman" w:eastAsia="宋体" w:cs="Times New Roman"/>
                      <w:b/>
                      <w:color w:val="auto"/>
                      <w:sz w:val="21"/>
                      <w:szCs w:val="21"/>
                    </w:rPr>
                  </w:pPr>
                </w:p>
              </w:tc>
              <w:tc>
                <w:tcPr>
                  <w:tcW w:w="467" w:type="pct"/>
                  <w:noWrap w:val="0"/>
                  <w:vAlign w:val="center"/>
                </w:tcPr>
                <w:p w14:paraId="2A3EE5C4">
                  <w:pPr>
                    <w:spacing w:line="240" w:lineRule="auto"/>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产生量t/a</w:t>
                  </w:r>
                </w:p>
              </w:tc>
              <w:tc>
                <w:tcPr>
                  <w:tcW w:w="468" w:type="pct"/>
                  <w:noWrap w:val="0"/>
                  <w:vAlign w:val="center"/>
                </w:tcPr>
                <w:p w14:paraId="151E8C0E">
                  <w:pPr>
                    <w:spacing w:line="240" w:lineRule="auto"/>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速率kg/h</w:t>
                  </w:r>
                </w:p>
              </w:tc>
              <w:tc>
                <w:tcPr>
                  <w:tcW w:w="592" w:type="pct"/>
                  <w:noWrap w:val="0"/>
                  <w:vAlign w:val="center"/>
                </w:tcPr>
                <w:p w14:paraId="1480BC8C">
                  <w:pPr>
                    <w:spacing w:line="240" w:lineRule="auto"/>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浓度mg/m</w:t>
                  </w:r>
                  <w:r>
                    <w:rPr>
                      <w:rFonts w:hint="default" w:ascii="Times New Roman" w:hAnsi="Times New Roman" w:eastAsia="宋体" w:cs="Times New Roman"/>
                      <w:b/>
                      <w:color w:val="auto"/>
                      <w:sz w:val="21"/>
                      <w:szCs w:val="21"/>
                      <w:vertAlign w:val="superscript"/>
                    </w:rPr>
                    <w:t>3</w:t>
                  </w:r>
                </w:p>
              </w:tc>
              <w:tc>
                <w:tcPr>
                  <w:tcW w:w="431" w:type="pct"/>
                  <w:noWrap w:val="0"/>
                  <w:vAlign w:val="center"/>
                </w:tcPr>
                <w:p w14:paraId="32559EEB">
                  <w:pPr>
                    <w:spacing w:line="240" w:lineRule="auto"/>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排放量t/a</w:t>
                  </w:r>
                </w:p>
              </w:tc>
              <w:tc>
                <w:tcPr>
                  <w:tcW w:w="438" w:type="pct"/>
                  <w:noWrap w:val="0"/>
                  <w:vAlign w:val="center"/>
                </w:tcPr>
                <w:p w14:paraId="590158AD">
                  <w:pPr>
                    <w:spacing w:line="240" w:lineRule="auto"/>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速率kg/h</w:t>
                  </w:r>
                </w:p>
              </w:tc>
              <w:tc>
                <w:tcPr>
                  <w:tcW w:w="524" w:type="pct"/>
                  <w:noWrap w:val="0"/>
                  <w:vAlign w:val="center"/>
                </w:tcPr>
                <w:p w14:paraId="1078DDED">
                  <w:pPr>
                    <w:spacing w:line="240" w:lineRule="auto"/>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浓度mg/m</w:t>
                  </w:r>
                  <w:r>
                    <w:rPr>
                      <w:rFonts w:hint="default" w:ascii="Times New Roman" w:hAnsi="Times New Roman" w:eastAsia="宋体" w:cs="Times New Roman"/>
                      <w:b/>
                      <w:color w:val="auto"/>
                      <w:sz w:val="21"/>
                      <w:szCs w:val="21"/>
                      <w:vertAlign w:val="superscript"/>
                    </w:rPr>
                    <w:t>3</w:t>
                  </w:r>
                </w:p>
              </w:tc>
            </w:tr>
            <w:tr w14:paraId="447E36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501" w:type="pct"/>
                  <w:noWrap w:val="0"/>
                  <w:vAlign w:val="center"/>
                </w:tcPr>
                <w:p w14:paraId="465101B3">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下料、刨光、</w:t>
                  </w:r>
                  <w:r>
                    <w:rPr>
                      <w:rFonts w:hint="eastAsia" w:ascii="Times New Roman" w:hAnsi="Times New Roman" w:eastAsia="宋体" w:cs="Times New Roman"/>
                      <w:color w:val="auto"/>
                      <w:sz w:val="21"/>
                      <w:szCs w:val="21"/>
                      <w:lang w:eastAsia="zh-CN"/>
                    </w:rPr>
                    <w:t>梳齿指接</w:t>
                  </w:r>
                </w:p>
              </w:tc>
              <w:tc>
                <w:tcPr>
                  <w:tcW w:w="556" w:type="pct"/>
                  <w:noWrap w:val="0"/>
                  <w:vAlign w:val="center"/>
                </w:tcPr>
                <w:p w14:paraId="76F8E3B2">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颗粒物</w:t>
                  </w:r>
                </w:p>
              </w:tc>
              <w:tc>
                <w:tcPr>
                  <w:tcW w:w="537" w:type="pct"/>
                  <w:noWrap w:val="0"/>
                  <w:vAlign w:val="center"/>
                </w:tcPr>
                <w:p w14:paraId="087BCF08">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DA001</w:t>
                  </w:r>
                </w:p>
              </w:tc>
              <w:tc>
                <w:tcPr>
                  <w:tcW w:w="481" w:type="pct"/>
                  <w:noWrap w:val="0"/>
                  <w:vAlign w:val="center"/>
                </w:tcPr>
                <w:p w14:paraId="6CD64E64">
                  <w:pPr>
                    <w:widowControl/>
                    <w:spacing w:line="240" w:lineRule="auto"/>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kern w:val="0"/>
                      <w:sz w:val="21"/>
                      <w:szCs w:val="21"/>
                      <w:lang w:val="en-US" w:eastAsia="zh-CN" w:bidi="ar"/>
                    </w:rPr>
                    <w:t>22680</w:t>
                  </w:r>
                </w:p>
              </w:tc>
              <w:tc>
                <w:tcPr>
                  <w:tcW w:w="785" w:type="dxa"/>
                  <w:noWrap w:val="0"/>
                  <w:vAlign w:val="center"/>
                </w:tcPr>
                <w:p w14:paraId="41432515">
                  <w:pPr>
                    <w:widowControl/>
                    <w:spacing w:line="240" w:lineRule="auto"/>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5.43</w:t>
                  </w:r>
                </w:p>
              </w:tc>
              <w:tc>
                <w:tcPr>
                  <w:tcW w:w="786" w:type="dxa"/>
                  <w:noWrap w:val="0"/>
                  <w:vAlign w:val="center"/>
                </w:tcPr>
                <w:p w14:paraId="10B33BEE">
                  <w:pPr>
                    <w:widowControl/>
                    <w:spacing w:line="240" w:lineRule="auto"/>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1.828</w:t>
                  </w:r>
                </w:p>
              </w:tc>
              <w:tc>
                <w:tcPr>
                  <w:tcW w:w="998" w:type="dxa"/>
                  <w:noWrap w:val="0"/>
                  <w:vAlign w:val="center"/>
                </w:tcPr>
                <w:p w14:paraId="55EC4ADA">
                  <w:pPr>
                    <w:widowControl/>
                    <w:spacing w:line="240" w:lineRule="auto"/>
                    <w:jc w:val="center"/>
                    <w:textAlignment w:val="center"/>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80.61</w:t>
                  </w:r>
                </w:p>
              </w:tc>
              <w:tc>
                <w:tcPr>
                  <w:tcW w:w="724" w:type="dxa"/>
                  <w:noWrap w:val="0"/>
                  <w:vAlign w:val="center"/>
                </w:tcPr>
                <w:p w14:paraId="065432BD">
                  <w:pPr>
                    <w:widowControl/>
                    <w:spacing w:line="240" w:lineRule="auto"/>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0.043</w:t>
                  </w:r>
                </w:p>
              </w:tc>
              <w:tc>
                <w:tcPr>
                  <w:tcW w:w="795" w:type="dxa"/>
                  <w:noWrap w:val="0"/>
                  <w:vAlign w:val="center"/>
                </w:tcPr>
                <w:p w14:paraId="6E3B10F9">
                  <w:pPr>
                    <w:widowControl/>
                    <w:spacing w:line="240" w:lineRule="auto"/>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0.014</w:t>
                  </w:r>
                </w:p>
              </w:tc>
              <w:tc>
                <w:tcPr>
                  <w:tcW w:w="885" w:type="dxa"/>
                  <w:noWrap w:val="0"/>
                  <w:vAlign w:val="center"/>
                </w:tcPr>
                <w:p w14:paraId="5D83545C">
                  <w:pPr>
                    <w:widowControl/>
                    <w:spacing w:line="240" w:lineRule="auto"/>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0.64</w:t>
                  </w:r>
                </w:p>
              </w:tc>
            </w:tr>
            <w:tr w14:paraId="5EC071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501" w:type="pct"/>
                  <w:noWrap w:val="0"/>
                  <w:vAlign w:val="center"/>
                </w:tcPr>
                <w:p w14:paraId="36FD403E">
                  <w:pPr>
                    <w:spacing w:line="240" w:lineRule="auto"/>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砂光</w:t>
                  </w:r>
                </w:p>
              </w:tc>
              <w:tc>
                <w:tcPr>
                  <w:tcW w:w="556" w:type="pct"/>
                  <w:noWrap w:val="0"/>
                  <w:vAlign w:val="center"/>
                </w:tcPr>
                <w:p w14:paraId="1DAED5F8">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颗粒物</w:t>
                  </w:r>
                </w:p>
              </w:tc>
              <w:tc>
                <w:tcPr>
                  <w:tcW w:w="537" w:type="pct"/>
                  <w:noWrap w:val="0"/>
                  <w:vAlign w:val="center"/>
                </w:tcPr>
                <w:p w14:paraId="47C11AF5">
                  <w:pPr>
                    <w:spacing w:line="240" w:lineRule="auto"/>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DA002</w:t>
                  </w:r>
                </w:p>
              </w:tc>
              <w:tc>
                <w:tcPr>
                  <w:tcW w:w="481" w:type="pct"/>
                  <w:noWrap w:val="0"/>
                  <w:vAlign w:val="center"/>
                </w:tcPr>
                <w:p w14:paraId="0DABD65E">
                  <w:pPr>
                    <w:widowControl/>
                    <w:spacing w:line="240" w:lineRule="auto"/>
                    <w:jc w:val="center"/>
                    <w:textAlignment w:val="center"/>
                    <w:rPr>
                      <w:rFonts w:hint="default" w:ascii="Times New Roman" w:hAnsi="Times New Roman" w:eastAsia="宋体" w:cs="Times New Roman"/>
                      <w:color w:val="auto"/>
                      <w:kern w:val="0"/>
                      <w:sz w:val="21"/>
                      <w:szCs w:val="21"/>
                      <w:lang w:val="en-US" w:bidi="ar"/>
                    </w:rPr>
                  </w:pPr>
                  <w:r>
                    <w:rPr>
                      <w:rFonts w:hint="eastAsia" w:ascii="Times New Roman" w:hAnsi="Times New Roman" w:eastAsia="宋体" w:cs="Times New Roman"/>
                      <w:color w:val="auto"/>
                      <w:kern w:val="0"/>
                      <w:sz w:val="21"/>
                      <w:szCs w:val="21"/>
                      <w:lang w:val="en-US" w:eastAsia="zh-CN" w:bidi="ar"/>
                    </w:rPr>
                    <w:t>11592</w:t>
                  </w:r>
                </w:p>
              </w:tc>
              <w:tc>
                <w:tcPr>
                  <w:tcW w:w="785" w:type="dxa"/>
                  <w:noWrap w:val="0"/>
                  <w:vAlign w:val="center"/>
                </w:tcPr>
                <w:p w14:paraId="49A49DA1">
                  <w:pPr>
                    <w:widowControl/>
                    <w:spacing w:line="240" w:lineRule="auto"/>
                    <w:jc w:val="center"/>
                    <w:textAlignment w:val="center"/>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4.56</w:t>
                  </w:r>
                </w:p>
              </w:tc>
              <w:tc>
                <w:tcPr>
                  <w:tcW w:w="786" w:type="dxa"/>
                  <w:noWrap w:val="0"/>
                  <w:vAlign w:val="center"/>
                </w:tcPr>
                <w:p w14:paraId="21D8919F">
                  <w:pPr>
                    <w:widowControl/>
                    <w:spacing w:line="240" w:lineRule="auto"/>
                    <w:jc w:val="center"/>
                    <w:textAlignment w:val="center"/>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1.535</w:t>
                  </w:r>
                </w:p>
              </w:tc>
              <w:tc>
                <w:tcPr>
                  <w:tcW w:w="998" w:type="dxa"/>
                  <w:noWrap w:val="0"/>
                  <w:vAlign w:val="center"/>
                </w:tcPr>
                <w:p w14:paraId="1FA19B1B">
                  <w:pPr>
                    <w:widowControl/>
                    <w:spacing w:line="240" w:lineRule="auto"/>
                    <w:jc w:val="center"/>
                    <w:textAlignment w:val="center"/>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132.45</w:t>
                  </w:r>
                </w:p>
              </w:tc>
              <w:tc>
                <w:tcPr>
                  <w:tcW w:w="724" w:type="dxa"/>
                  <w:noWrap w:val="0"/>
                  <w:vAlign w:val="center"/>
                </w:tcPr>
                <w:p w14:paraId="24A8364B">
                  <w:pPr>
                    <w:widowControl/>
                    <w:spacing w:line="240" w:lineRule="auto"/>
                    <w:jc w:val="center"/>
                    <w:textAlignment w:val="center"/>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0.037</w:t>
                  </w:r>
                </w:p>
              </w:tc>
              <w:tc>
                <w:tcPr>
                  <w:tcW w:w="795" w:type="dxa"/>
                  <w:noWrap w:val="0"/>
                  <w:vAlign w:val="center"/>
                </w:tcPr>
                <w:p w14:paraId="0F1A502D">
                  <w:pPr>
                    <w:widowControl/>
                    <w:spacing w:line="240" w:lineRule="auto"/>
                    <w:jc w:val="center"/>
                    <w:textAlignment w:val="center"/>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0.012</w:t>
                  </w:r>
                </w:p>
              </w:tc>
              <w:tc>
                <w:tcPr>
                  <w:tcW w:w="885" w:type="dxa"/>
                  <w:noWrap w:val="0"/>
                  <w:vAlign w:val="center"/>
                </w:tcPr>
                <w:p w14:paraId="79DEA4BC">
                  <w:pPr>
                    <w:widowControl/>
                    <w:spacing w:line="240" w:lineRule="auto"/>
                    <w:jc w:val="center"/>
                    <w:textAlignment w:val="center"/>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1.07</w:t>
                  </w:r>
                </w:p>
              </w:tc>
            </w:tr>
            <w:tr w14:paraId="073E71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501" w:type="pct"/>
                  <w:noWrap w:val="0"/>
                  <w:vAlign w:val="center"/>
                </w:tcPr>
                <w:p w14:paraId="037C3BA1">
                  <w:pPr>
                    <w:spacing w:line="240" w:lineRule="auto"/>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轻</w:t>
                  </w:r>
                  <w:r>
                    <w:rPr>
                      <w:rFonts w:hint="default" w:ascii="Times New Roman" w:hAnsi="Times New Roman" w:eastAsia="宋体" w:cs="Times New Roman"/>
                      <w:color w:val="auto"/>
                      <w:sz w:val="21"/>
                      <w:szCs w:val="21"/>
                      <w:lang w:val="en-US" w:eastAsia="zh-CN"/>
                    </w:rPr>
                    <w:t>砂光</w:t>
                  </w:r>
                  <w:r>
                    <w:rPr>
                      <w:rFonts w:hint="eastAsia" w:ascii="Times New Roman" w:hAnsi="Times New Roman" w:eastAsia="宋体" w:cs="Times New Roman"/>
                      <w:color w:val="auto"/>
                      <w:sz w:val="21"/>
                      <w:szCs w:val="21"/>
                      <w:lang w:val="en-US" w:eastAsia="zh-CN"/>
                    </w:rPr>
                    <w:t>、油砂砂光</w:t>
                  </w:r>
                </w:p>
              </w:tc>
              <w:tc>
                <w:tcPr>
                  <w:tcW w:w="556" w:type="pct"/>
                  <w:noWrap w:val="0"/>
                  <w:vAlign w:val="center"/>
                </w:tcPr>
                <w:p w14:paraId="29FBE677">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颗粒物</w:t>
                  </w:r>
                </w:p>
              </w:tc>
              <w:tc>
                <w:tcPr>
                  <w:tcW w:w="537" w:type="pct"/>
                  <w:noWrap w:val="0"/>
                  <w:vAlign w:val="center"/>
                </w:tcPr>
                <w:p w14:paraId="28E03C6B">
                  <w:pPr>
                    <w:spacing w:line="240" w:lineRule="auto"/>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DA00</w:t>
                  </w:r>
                  <w:r>
                    <w:rPr>
                      <w:rFonts w:hint="default" w:ascii="Times New Roman" w:hAnsi="Times New Roman" w:eastAsia="宋体" w:cs="Times New Roman"/>
                      <w:color w:val="auto"/>
                      <w:sz w:val="21"/>
                      <w:szCs w:val="21"/>
                      <w:lang w:val="en-US" w:eastAsia="zh-CN"/>
                    </w:rPr>
                    <w:t>3</w:t>
                  </w:r>
                </w:p>
              </w:tc>
              <w:tc>
                <w:tcPr>
                  <w:tcW w:w="481" w:type="pct"/>
                  <w:noWrap w:val="0"/>
                  <w:vAlign w:val="center"/>
                </w:tcPr>
                <w:p w14:paraId="11CC723E">
                  <w:pPr>
                    <w:widowControl/>
                    <w:spacing w:line="240" w:lineRule="auto"/>
                    <w:jc w:val="center"/>
                    <w:textAlignment w:val="center"/>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11529</w:t>
                  </w:r>
                </w:p>
              </w:tc>
              <w:tc>
                <w:tcPr>
                  <w:tcW w:w="785" w:type="dxa"/>
                  <w:noWrap w:val="0"/>
                  <w:vAlign w:val="center"/>
                </w:tcPr>
                <w:p w14:paraId="12AB1A6B">
                  <w:pPr>
                    <w:widowControl/>
                    <w:spacing w:line="240" w:lineRule="auto"/>
                    <w:jc w:val="center"/>
                    <w:textAlignment w:val="center"/>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18.24</w:t>
                  </w:r>
                </w:p>
              </w:tc>
              <w:tc>
                <w:tcPr>
                  <w:tcW w:w="786" w:type="dxa"/>
                  <w:noWrap w:val="0"/>
                  <w:vAlign w:val="center"/>
                </w:tcPr>
                <w:p w14:paraId="57E9A367">
                  <w:pPr>
                    <w:widowControl/>
                    <w:spacing w:line="240" w:lineRule="auto"/>
                    <w:jc w:val="center"/>
                    <w:textAlignment w:val="center"/>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6.141</w:t>
                  </w:r>
                </w:p>
              </w:tc>
              <w:tc>
                <w:tcPr>
                  <w:tcW w:w="998" w:type="dxa"/>
                  <w:noWrap w:val="0"/>
                  <w:vAlign w:val="center"/>
                </w:tcPr>
                <w:p w14:paraId="5F314E2D">
                  <w:pPr>
                    <w:widowControl/>
                    <w:spacing w:line="240" w:lineRule="auto"/>
                    <w:jc w:val="center"/>
                    <w:textAlignment w:val="center"/>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529.80</w:t>
                  </w:r>
                </w:p>
              </w:tc>
              <w:tc>
                <w:tcPr>
                  <w:tcW w:w="724" w:type="dxa"/>
                  <w:noWrap w:val="0"/>
                  <w:vAlign w:val="center"/>
                </w:tcPr>
                <w:p w14:paraId="40359596">
                  <w:pPr>
                    <w:widowControl/>
                    <w:spacing w:line="240" w:lineRule="auto"/>
                    <w:jc w:val="center"/>
                    <w:textAlignment w:val="center"/>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0.146</w:t>
                  </w:r>
                </w:p>
              </w:tc>
              <w:tc>
                <w:tcPr>
                  <w:tcW w:w="795" w:type="dxa"/>
                  <w:noWrap w:val="0"/>
                  <w:vAlign w:val="center"/>
                </w:tcPr>
                <w:p w14:paraId="54DF289C">
                  <w:pPr>
                    <w:widowControl/>
                    <w:spacing w:line="240" w:lineRule="auto"/>
                    <w:jc w:val="center"/>
                    <w:textAlignment w:val="center"/>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0.049</w:t>
                  </w:r>
                </w:p>
              </w:tc>
              <w:tc>
                <w:tcPr>
                  <w:tcW w:w="885" w:type="dxa"/>
                  <w:noWrap w:val="0"/>
                  <w:vAlign w:val="center"/>
                </w:tcPr>
                <w:p w14:paraId="312C4BB9">
                  <w:pPr>
                    <w:widowControl/>
                    <w:spacing w:line="240" w:lineRule="auto"/>
                    <w:jc w:val="center"/>
                    <w:textAlignment w:val="center"/>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4.24</w:t>
                  </w:r>
                </w:p>
              </w:tc>
            </w:tr>
            <w:tr w14:paraId="609D3B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501" w:type="pct"/>
                  <w:noWrap w:val="0"/>
                  <w:vAlign w:val="center"/>
                </w:tcPr>
                <w:p w14:paraId="78FBC86A">
                  <w:pPr>
                    <w:spacing w:line="240" w:lineRule="auto"/>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开槽</w:t>
                  </w:r>
                </w:p>
              </w:tc>
              <w:tc>
                <w:tcPr>
                  <w:tcW w:w="556" w:type="pct"/>
                  <w:noWrap w:val="0"/>
                  <w:vAlign w:val="center"/>
                </w:tcPr>
                <w:p w14:paraId="6F83C88C">
                  <w:pPr>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颗粒物</w:t>
                  </w:r>
                </w:p>
              </w:tc>
              <w:tc>
                <w:tcPr>
                  <w:tcW w:w="537" w:type="pct"/>
                  <w:noWrap w:val="0"/>
                  <w:vAlign w:val="center"/>
                </w:tcPr>
                <w:p w14:paraId="3CD83A37">
                  <w:pPr>
                    <w:spacing w:line="24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DA004</w:t>
                  </w:r>
                </w:p>
              </w:tc>
              <w:tc>
                <w:tcPr>
                  <w:tcW w:w="481" w:type="pct"/>
                  <w:noWrap w:val="0"/>
                  <w:vAlign w:val="center"/>
                </w:tcPr>
                <w:p w14:paraId="41BE453A">
                  <w:pPr>
                    <w:widowControl/>
                    <w:spacing w:line="240" w:lineRule="auto"/>
                    <w:jc w:val="center"/>
                    <w:textAlignment w:val="center"/>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22680</w:t>
                  </w:r>
                </w:p>
              </w:tc>
              <w:tc>
                <w:tcPr>
                  <w:tcW w:w="785" w:type="dxa"/>
                  <w:noWrap w:val="0"/>
                  <w:vAlign w:val="center"/>
                </w:tcPr>
                <w:p w14:paraId="4A9D0DA7">
                  <w:pPr>
                    <w:widowControl/>
                    <w:spacing w:line="240" w:lineRule="auto"/>
                    <w:jc w:val="center"/>
                    <w:textAlignment w:val="center"/>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0.135</w:t>
                  </w:r>
                </w:p>
              </w:tc>
              <w:tc>
                <w:tcPr>
                  <w:tcW w:w="786" w:type="dxa"/>
                  <w:noWrap w:val="0"/>
                  <w:vAlign w:val="center"/>
                </w:tcPr>
                <w:p w14:paraId="370F6466">
                  <w:pPr>
                    <w:widowControl/>
                    <w:spacing w:line="240" w:lineRule="auto"/>
                    <w:jc w:val="center"/>
                    <w:textAlignment w:val="center"/>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0.045</w:t>
                  </w:r>
                </w:p>
              </w:tc>
              <w:tc>
                <w:tcPr>
                  <w:tcW w:w="998" w:type="dxa"/>
                  <w:noWrap w:val="0"/>
                  <w:vAlign w:val="center"/>
                </w:tcPr>
                <w:p w14:paraId="10ACC4E7">
                  <w:pPr>
                    <w:widowControl/>
                    <w:spacing w:line="240" w:lineRule="auto"/>
                    <w:jc w:val="center"/>
                    <w:textAlignment w:val="center"/>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2.00</w:t>
                  </w:r>
                </w:p>
              </w:tc>
              <w:tc>
                <w:tcPr>
                  <w:tcW w:w="724" w:type="dxa"/>
                  <w:noWrap w:val="0"/>
                  <w:vAlign w:val="center"/>
                </w:tcPr>
                <w:p w14:paraId="677036A6">
                  <w:pPr>
                    <w:widowControl/>
                    <w:spacing w:line="240" w:lineRule="auto"/>
                    <w:jc w:val="center"/>
                    <w:textAlignment w:val="center"/>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0.001</w:t>
                  </w:r>
                </w:p>
              </w:tc>
              <w:tc>
                <w:tcPr>
                  <w:tcW w:w="795" w:type="dxa"/>
                  <w:noWrap w:val="0"/>
                  <w:vAlign w:val="center"/>
                </w:tcPr>
                <w:p w14:paraId="3D0FC4B2">
                  <w:pPr>
                    <w:widowControl/>
                    <w:spacing w:line="240" w:lineRule="auto"/>
                    <w:jc w:val="center"/>
                    <w:textAlignment w:val="center"/>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0.0003</w:t>
                  </w:r>
                </w:p>
              </w:tc>
              <w:tc>
                <w:tcPr>
                  <w:tcW w:w="885" w:type="dxa"/>
                  <w:noWrap w:val="0"/>
                  <w:vAlign w:val="center"/>
                </w:tcPr>
                <w:p w14:paraId="7916EB06">
                  <w:pPr>
                    <w:widowControl/>
                    <w:spacing w:line="240" w:lineRule="auto"/>
                    <w:jc w:val="center"/>
                    <w:textAlignment w:val="center"/>
                    <w:rPr>
                      <w:rFonts w:hint="default"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0.015</w:t>
                  </w:r>
                </w:p>
              </w:tc>
            </w:tr>
            <w:tr w14:paraId="7CF58B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842" w:type="dxa"/>
                  <w:noWrap w:val="0"/>
                  <w:vAlign w:val="center"/>
                </w:tcPr>
                <w:p w14:paraId="6811922E">
                  <w:pPr>
                    <w:spacing w:line="240" w:lineRule="auto"/>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eastAsia="zh-CN"/>
                    </w:rPr>
                    <w:t>辊涂、</w:t>
                  </w:r>
                  <w:r>
                    <w:rPr>
                      <w:rFonts w:hint="eastAsia" w:ascii="Times New Roman" w:hAnsi="Times New Roman" w:eastAsia="宋体" w:cs="Times New Roman"/>
                      <w:color w:val="auto"/>
                      <w:sz w:val="21"/>
                      <w:szCs w:val="21"/>
                      <w:highlight w:val="none"/>
                      <w:lang w:val="en-US" w:eastAsia="zh-CN"/>
                    </w:rPr>
                    <w:t>紫外光固化</w:t>
                  </w:r>
                </w:p>
              </w:tc>
              <w:tc>
                <w:tcPr>
                  <w:tcW w:w="935" w:type="dxa"/>
                  <w:noWrap w:val="0"/>
                  <w:vAlign w:val="center"/>
                </w:tcPr>
                <w:p w14:paraId="5BF76BE7">
                  <w:pPr>
                    <w:spacing w:line="240" w:lineRule="auto"/>
                    <w:jc w:val="center"/>
                    <w:rPr>
                      <w:rFonts w:hint="default"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eastAsia="zh-CN"/>
                    </w:rPr>
                    <w:t>挥发性有机物</w:t>
                  </w:r>
                </w:p>
              </w:tc>
              <w:tc>
                <w:tcPr>
                  <w:tcW w:w="903" w:type="dxa"/>
                  <w:noWrap w:val="0"/>
                  <w:vAlign w:val="center"/>
                </w:tcPr>
                <w:p w14:paraId="756B00D0">
                  <w:pPr>
                    <w:spacing w:line="240" w:lineRule="auto"/>
                    <w:jc w:val="center"/>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DA00</w:t>
                  </w:r>
                  <w:r>
                    <w:rPr>
                      <w:rFonts w:hint="eastAsia" w:ascii="Times New Roman" w:hAnsi="Times New Roman" w:eastAsia="宋体" w:cs="Times New Roman"/>
                      <w:color w:val="auto"/>
                      <w:sz w:val="21"/>
                      <w:szCs w:val="21"/>
                      <w:lang w:val="en-US" w:eastAsia="zh-CN"/>
                    </w:rPr>
                    <w:t>5</w:t>
                  </w:r>
                </w:p>
              </w:tc>
              <w:tc>
                <w:tcPr>
                  <w:tcW w:w="808" w:type="dxa"/>
                  <w:noWrap w:val="0"/>
                  <w:vAlign w:val="center"/>
                </w:tcPr>
                <w:p w14:paraId="58269FB4">
                  <w:pPr>
                    <w:widowControl/>
                    <w:spacing w:line="240" w:lineRule="auto"/>
                    <w:jc w:val="center"/>
                    <w:textAlignment w:val="center"/>
                    <w:rPr>
                      <w:rFonts w:hint="eastAsia"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13000</w:t>
                  </w:r>
                </w:p>
              </w:tc>
              <w:tc>
                <w:tcPr>
                  <w:tcW w:w="785" w:type="dxa"/>
                  <w:noWrap w:val="0"/>
                  <w:vAlign w:val="center"/>
                </w:tcPr>
                <w:p w14:paraId="1B2F516B">
                  <w:pPr>
                    <w:widowControl/>
                    <w:spacing w:line="240" w:lineRule="auto"/>
                    <w:jc w:val="center"/>
                    <w:textAlignment w:val="center"/>
                    <w:rPr>
                      <w:rFonts w:hint="eastAsia"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sz w:val="21"/>
                      <w:szCs w:val="21"/>
                      <w:lang w:val="en-US" w:eastAsia="zh-CN"/>
                    </w:rPr>
                    <w:t>0.646</w:t>
                  </w:r>
                </w:p>
              </w:tc>
              <w:tc>
                <w:tcPr>
                  <w:tcW w:w="786" w:type="dxa"/>
                  <w:noWrap w:val="0"/>
                  <w:vAlign w:val="center"/>
                </w:tcPr>
                <w:p w14:paraId="05AEE929">
                  <w:pPr>
                    <w:widowControl/>
                    <w:spacing w:line="240" w:lineRule="auto"/>
                    <w:jc w:val="center"/>
                    <w:textAlignment w:val="center"/>
                    <w:rPr>
                      <w:rFonts w:hint="eastAsia"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sz w:val="21"/>
                      <w:szCs w:val="21"/>
                      <w:lang w:val="en-US" w:eastAsia="zh-CN"/>
                    </w:rPr>
                    <w:t>0.218</w:t>
                  </w:r>
                </w:p>
              </w:tc>
              <w:tc>
                <w:tcPr>
                  <w:tcW w:w="998" w:type="dxa"/>
                  <w:noWrap w:val="0"/>
                  <w:vAlign w:val="center"/>
                </w:tcPr>
                <w:p w14:paraId="55B681A1">
                  <w:pPr>
                    <w:widowControl/>
                    <w:spacing w:line="240" w:lineRule="auto"/>
                    <w:jc w:val="center"/>
                    <w:textAlignment w:val="center"/>
                    <w:rPr>
                      <w:rFonts w:hint="eastAsia"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16.73</w:t>
                  </w:r>
                </w:p>
              </w:tc>
              <w:tc>
                <w:tcPr>
                  <w:tcW w:w="724" w:type="dxa"/>
                  <w:noWrap w:val="0"/>
                  <w:vAlign w:val="center"/>
                </w:tcPr>
                <w:p w14:paraId="692F5602">
                  <w:pPr>
                    <w:widowControl/>
                    <w:spacing w:line="240" w:lineRule="auto"/>
                    <w:jc w:val="center"/>
                    <w:textAlignment w:val="center"/>
                    <w:rPr>
                      <w:rFonts w:hint="eastAsia"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sz w:val="21"/>
                      <w:szCs w:val="21"/>
                      <w:lang w:val="en-US" w:eastAsia="zh-CN"/>
                    </w:rPr>
                    <w:t>0.26</w:t>
                  </w:r>
                </w:p>
              </w:tc>
              <w:tc>
                <w:tcPr>
                  <w:tcW w:w="795" w:type="dxa"/>
                  <w:noWrap w:val="0"/>
                  <w:vAlign w:val="center"/>
                </w:tcPr>
                <w:p w14:paraId="117D30FD">
                  <w:pPr>
                    <w:widowControl/>
                    <w:spacing w:line="240" w:lineRule="auto"/>
                    <w:jc w:val="center"/>
                    <w:textAlignment w:val="center"/>
                    <w:rPr>
                      <w:rFonts w:hint="eastAsia"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sz w:val="21"/>
                      <w:szCs w:val="21"/>
                      <w:lang w:val="en-US" w:eastAsia="zh-CN"/>
                    </w:rPr>
                    <w:t>0.088</w:t>
                  </w:r>
                </w:p>
              </w:tc>
              <w:tc>
                <w:tcPr>
                  <w:tcW w:w="885" w:type="dxa"/>
                  <w:noWrap w:val="0"/>
                  <w:vAlign w:val="center"/>
                </w:tcPr>
                <w:p w14:paraId="34A8F64C">
                  <w:pPr>
                    <w:widowControl/>
                    <w:spacing w:line="240" w:lineRule="auto"/>
                    <w:jc w:val="center"/>
                    <w:textAlignment w:val="center"/>
                    <w:rPr>
                      <w:rFonts w:hint="eastAsia"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sz w:val="21"/>
                      <w:szCs w:val="21"/>
                      <w:lang w:val="en-US" w:eastAsia="zh-CN"/>
                    </w:rPr>
                    <w:t>6.73</w:t>
                  </w:r>
                </w:p>
              </w:tc>
            </w:tr>
          </w:tbl>
          <w:p w14:paraId="76EA8718">
            <w:pPr>
              <w:tabs>
                <w:tab w:val="left" w:pos="1275"/>
              </w:tabs>
              <w:spacing w:line="240" w:lineRule="auto"/>
              <w:jc w:val="both"/>
              <w:rPr>
                <w:rFonts w:hint="eastAsia" w:eastAsia="宋体"/>
                <w:b/>
                <w:bCs/>
                <w:color w:val="auto"/>
                <w:sz w:val="24"/>
                <w:szCs w:val="24"/>
                <w:lang w:eastAsia="zh-CN"/>
              </w:rPr>
            </w:pPr>
          </w:p>
          <w:p w14:paraId="5C25A5A7">
            <w:pPr>
              <w:pStyle w:val="68"/>
              <w:numPr>
                <w:ilvl w:val="0"/>
                <w:numId w:val="19"/>
              </w:numPr>
              <w:spacing w:line="360" w:lineRule="auto"/>
              <w:ind w:left="0" w:leftChars="0" w:firstLine="0" w:firstLineChars="0"/>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  项目无组织废气产排污情况一览表</w:t>
            </w:r>
          </w:p>
          <w:tbl>
            <w:tblPr>
              <w:tblStyle w:val="7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623"/>
              <w:gridCol w:w="1065"/>
              <w:gridCol w:w="970"/>
              <w:gridCol w:w="1253"/>
              <w:gridCol w:w="955"/>
              <w:gridCol w:w="963"/>
              <w:gridCol w:w="970"/>
              <w:gridCol w:w="831"/>
              <w:gridCol w:w="831"/>
            </w:tblGrid>
            <w:tr w14:paraId="119F38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68" w:type="pct"/>
                  <w:vMerge w:val="restart"/>
                  <w:tcBorders>
                    <w:tl2br w:val="nil"/>
                    <w:tr2bl w:val="nil"/>
                  </w:tcBorders>
                  <w:noWrap w:val="0"/>
                  <w:vAlign w:val="center"/>
                </w:tcPr>
                <w:p w14:paraId="6B01D39A">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名称</w:t>
                  </w:r>
                </w:p>
              </w:tc>
              <w:tc>
                <w:tcPr>
                  <w:tcW w:w="1202" w:type="pct"/>
                  <w:gridSpan w:val="2"/>
                  <w:tcBorders>
                    <w:tl2br w:val="nil"/>
                    <w:tr2bl w:val="nil"/>
                  </w:tcBorders>
                  <w:noWrap w:val="0"/>
                  <w:vAlign w:val="center"/>
                </w:tcPr>
                <w:p w14:paraId="792516AD">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面源中心坐标</w:t>
                  </w:r>
                  <w:r>
                    <w:rPr>
                      <w:rFonts w:hint="eastAsia" w:ascii="Times New Roman" w:hAnsi="Times New Roman" w:cs="Times New Roman"/>
                      <w:b/>
                      <w:bCs/>
                      <w:color w:val="auto"/>
                      <w:sz w:val="21"/>
                      <w:szCs w:val="21"/>
                      <w:lang w:eastAsia="zh-CN"/>
                    </w:rPr>
                    <w:t>（</w:t>
                  </w:r>
                  <w:r>
                    <w:rPr>
                      <w:rFonts w:hint="default" w:ascii="Times New Roman" w:hAnsi="Times New Roman" w:eastAsia="宋体" w:cs="Times New Roman"/>
                      <w:b/>
                      <w:bCs/>
                      <w:color w:val="auto"/>
                      <w:sz w:val="21"/>
                      <w:szCs w:val="21"/>
                    </w:rPr>
                    <w:t>°</w:t>
                  </w:r>
                  <w:r>
                    <w:rPr>
                      <w:rFonts w:hint="eastAsia" w:ascii="Times New Roman" w:hAnsi="Times New Roman" w:cs="Times New Roman"/>
                      <w:b/>
                      <w:bCs/>
                      <w:color w:val="auto"/>
                      <w:sz w:val="21"/>
                      <w:szCs w:val="21"/>
                      <w:lang w:eastAsia="zh-CN"/>
                    </w:rPr>
                    <w:t>）</w:t>
                  </w:r>
                </w:p>
              </w:tc>
              <w:tc>
                <w:tcPr>
                  <w:tcW w:w="1304" w:type="pct"/>
                  <w:gridSpan w:val="2"/>
                  <w:tcBorders>
                    <w:tl2br w:val="nil"/>
                    <w:tr2bl w:val="nil"/>
                  </w:tcBorders>
                  <w:noWrap w:val="0"/>
                  <w:vAlign w:val="center"/>
                </w:tcPr>
                <w:p w14:paraId="29D0A1CA">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面源参数</w:t>
                  </w:r>
                </w:p>
              </w:tc>
              <w:tc>
                <w:tcPr>
                  <w:tcW w:w="569" w:type="pct"/>
                  <w:vMerge w:val="restart"/>
                  <w:tcBorders>
                    <w:tl2br w:val="nil"/>
                    <w:tr2bl w:val="nil"/>
                  </w:tcBorders>
                  <w:noWrap w:val="0"/>
                  <w:vAlign w:val="center"/>
                </w:tcPr>
                <w:p w14:paraId="319426EB">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产污环节</w:t>
                  </w:r>
                </w:p>
              </w:tc>
              <w:tc>
                <w:tcPr>
                  <w:tcW w:w="573" w:type="pct"/>
                  <w:vMerge w:val="restart"/>
                  <w:tcBorders>
                    <w:tl2br w:val="nil"/>
                    <w:tr2bl w:val="nil"/>
                  </w:tcBorders>
                  <w:noWrap w:val="0"/>
                  <w:vAlign w:val="center"/>
                </w:tcPr>
                <w:p w14:paraId="4B027C97">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污染物</w:t>
                  </w:r>
                </w:p>
              </w:tc>
              <w:tc>
                <w:tcPr>
                  <w:tcW w:w="491" w:type="pct"/>
                  <w:vMerge w:val="restart"/>
                  <w:tcBorders>
                    <w:tl2br w:val="nil"/>
                    <w:tr2bl w:val="nil"/>
                  </w:tcBorders>
                  <w:noWrap w:val="0"/>
                  <w:vAlign w:val="center"/>
                </w:tcPr>
                <w:p w14:paraId="6C66D747">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lang w:eastAsia="zh-CN"/>
                    </w:rPr>
                  </w:pPr>
                  <w:r>
                    <w:rPr>
                      <w:rFonts w:hint="default" w:ascii="Times New Roman" w:hAnsi="Times New Roman" w:eastAsia="宋体" w:cs="Times New Roman"/>
                      <w:b/>
                      <w:bCs/>
                      <w:color w:val="auto"/>
                      <w:sz w:val="21"/>
                      <w:szCs w:val="21"/>
                    </w:rPr>
                    <w:t>排放</w:t>
                  </w:r>
                  <w:r>
                    <w:rPr>
                      <w:rFonts w:hint="default" w:ascii="Times New Roman" w:hAnsi="Times New Roman" w:eastAsia="宋体" w:cs="Times New Roman"/>
                      <w:b/>
                      <w:bCs/>
                      <w:color w:val="auto"/>
                      <w:sz w:val="21"/>
                      <w:szCs w:val="21"/>
                      <w:lang w:eastAsia="zh-CN"/>
                    </w:rPr>
                    <w:t>量</w:t>
                  </w:r>
                </w:p>
                <w:p w14:paraId="282F5E7D">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（t/a）</w:t>
                  </w:r>
                </w:p>
              </w:tc>
              <w:tc>
                <w:tcPr>
                  <w:tcW w:w="490" w:type="pct"/>
                  <w:vMerge w:val="restart"/>
                  <w:tcBorders>
                    <w:tl2br w:val="nil"/>
                    <w:tr2bl w:val="nil"/>
                  </w:tcBorders>
                  <w:noWrap w:val="0"/>
                  <w:vAlign w:val="center"/>
                </w:tcPr>
                <w:p w14:paraId="2E1CBA19">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排放速率（kg/h）</w:t>
                  </w:r>
                </w:p>
              </w:tc>
            </w:tr>
            <w:tr w14:paraId="3437EA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68" w:type="pct"/>
                  <w:vMerge w:val="continue"/>
                  <w:tcBorders>
                    <w:tl2br w:val="nil"/>
                    <w:tr2bl w:val="nil"/>
                  </w:tcBorders>
                  <w:noWrap w:val="0"/>
                  <w:vAlign w:val="center"/>
                </w:tcPr>
                <w:p w14:paraId="0E4F2A5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p>
              </w:tc>
              <w:tc>
                <w:tcPr>
                  <w:tcW w:w="629" w:type="pct"/>
                  <w:tcBorders>
                    <w:tl2br w:val="nil"/>
                    <w:tr2bl w:val="nil"/>
                  </w:tcBorders>
                  <w:noWrap w:val="0"/>
                  <w:vAlign w:val="center"/>
                </w:tcPr>
                <w:p w14:paraId="1F9EC6E6">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经度</w:t>
                  </w:r>
                </w:p>
              </w:tc>
              <w:tc>
                <w:tcPr>
                  <w:tcW w:w="573" w:type="pct"/>
                  <w:tcBorders>
                    <w:tl2br w:val="nil"/>
                    <w:tr2bl w:val="nil"/>
                  </w:tcBorders>
                  <w:noWrap w:val="0"/>
                  <w:vAlign w:val="center"/>
                </w:tcPr>
                <w:p w14:paraId="6244A811">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纬度</w:t>
                  </w:r>
                </w:p>
              </w:tc>
              <w:tc>
                <w:tcPr>
                  <w:tcW w:w="740" w:type="pct"/>
                  <w:tcBorders>
                    <w:tl2br w:val="nil"/>
                    <w:tr2bl w:val="nil"/>
                  </w:tcBorders>
                  <w:noWrap w:val="0"/>
                  <w:vAlign w:val="center"/>
                </w:tcPr>
                <w:p w14:paraId="2D4EE0A1">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rPr>
                  </w:pPr>
                  <w:r>
                    <w:rPr>
                      <w:rFonts w:hint="eastAsia" w:ascii="Times New Roman" w:hAnsi="Times New Roman" w:cs="Times New Roman"/>
                      <w:b/>
                      <w:bCs/>
                      <w:color w:val="auto"/>
                      <w:sz w:val="21"/>
                      <w:szCs w:val="21"/>
                      <w:lang w:eastAsia="zh-CN"/>
                    </w:rPr>
                    <w:t>面积</w:t>
                  </w:r>
                  <w:r>
                    <w:rPr>
                      <w:rFonts w:hint="default" w:ascii="Times New Roman" w:hAnsi="Times New Roman" w:eastAsia="宋体" w:cs="Times New Roman"/>
                      <w:b/>
                      <w:bCs/>
                      <w:color w:val="auto"/>
                      <w:sz w:val="21"/>
                      <w:szCs w:val="21"/>
                    </w:rPr>
                    <w:t>（m</w:t>
                  </w:r>
                  <w:r>
                    <w:rPr>
                      <w:rFonts w:hint="eastAsia" w:ascii="Times New Roman" w:hAnsi="Times New Roman" w:cs="Times New Roman"/>
                      <w:b/>
                      <w:bCs/>
                      <w:color w:val="auto"/>
                      <w:sz w:val="21"/>
                      <w:szCs w:val="21"/>
                      <w:vertAlign w:val="superscript"/>
                      <w:lang w:val="en-US" w:eastAsia="zh-CN"/>
                    </w:rPr>
                    <w:t>2</w:t>
                  </w:r>
                  <w:r>
                    <w:rPr>
                      <w:rFonts w:hint="default" w:ascii="Times New Roman" w:hAnsi="Times New Roman" w:eastAsia="宋体" w:cs="Times New Roman"/>
                      <w:b/>
                      <w:bCs/>
                      <w:color w:val="auto"/>
                      <w:sz w:val="21"/>
                      <w:szCs w:val="21"/>
                    </w:rPr>
                    <w:t>）</w:t>
                  </w:r>
                </w:p>
              </w:tc>
              <w:tc>
                <w:tcPr>
                  <w:tcW w:w="564" w:type="pct"/>
                  <w:tcBorders>
                    <w:tl2br w:val="nil"/>
                    <w:tr2bl w:val="nil"/>
                  </w:tcBorders>
                  <w:noWrap w:val="0"/>
                  <w:vAlign w:val="center"/>
                </w:tcPr>
                <w:p w14:paraId="0BD7A9B7">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有效排放高度（m）</w:t>
                  </w:r>
                </w:p>
              </w:tc>
              <w:tc>
                <w:tcPr>
                  <w:tcW w:w="569" w:type="pct"/>
                  <w:vMerge w:val="continue"/>
                  <w:tcBorders>
                    <w:tl2br w:val="nil"/>
                    <w:tr2bl w:val="nil"/>
                  </w:tcBorders>
                  <w:noWrap w:val="0"/>
                  <w:vAlign w:val="center"/>
                </w:tcPr>
                <w:p w14:paraId="36127C5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p>
              </w:tc>
              <w:tc>
                <w:tcPr>
                  <w:tcW w:w="573" w:type="pct"/>
                  <w:vMerge w:val="continue"/>
                  <w:tcBorders>
                    <w:tl2br w:val="nil"/>
                    <w:tr2bl w:val="nil"/>
                  </w:tcBorders>
                  <w:noWrap w:val="0"/>
                  <w:vAlign w:val="center"/>
                </w:tcPr>
                <w:p w14:paraId="7F8BD06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p>
              </w:tc>
              <w:tc>
                <w:tcPr>
                  <w:tcW w:w="491" w:type="pct"/>
                  <w:vMerge w:val="continue"/>
                  <w:tcBorders>
                    <w:tl2br w:val="nil"/>
                    <w:tr2bl w:val="nil"/>
                  </w:tcBorders>
                  <w:noWrap w:val="0"/>
                  <w:vAlign w:val="center"/>
                </w:tcPr>
                <w:p w14:paraId="1033542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p>
              </w:tc>
              <w:tc>
                <w:tcPr>
                  <w:tcW w:w="490" w:type="pct"/>
                  <w:vMerge w:val="continue"/>
                  <w:tcBorders>
                    <w:tl2br w:val="nil"/>
                    <w:tr2bl w:val="nil"/>
                  </w:tcBorders>
                  <w:noWrap w:val="0"/>
                  <w:vAlign w:val="center"/>
                </w:tcPr>
                <w:p w14:paraId="7EB4D33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p>
              </w:tc>
            </w:tr>
            <w:tr w14:paraId="299F0A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68" w:type="pct"/>
                  <w:vMerge w:val="restart"/>
                  <w:tcBorders>
                    <w:tl2br w:val="nil"/>
                    <w:tr2bl w:val="nil"/>
                  </w:tcBorders>
                  <w:noWrap w:val="0"/>
                  <w:vAlign w:val="center"/>
                </w:tcPr>
                <w:p w14:paraId="60301C9B">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eastAsia" w:ascii="Times New Roman" w:hAnsi="Times New Roman" w:cs="Times New Roman"/>
                      <w:color w:val="auto"/>
                      <w:sz w:val="21"/>
                      <w:szCs w:val="21"/>
                      <w:lang w:eastAsia="zh-CN"/>
                    </w:rPr>
                    <w:t>生产</w:t>
                  </w:r>
                  <w:r>
                    <w:rPr>
                      <w:rFonts w:hint="default" w:ascii="Times New Roman" w:hAnsi="Times New Roman" w:eastAsia="宋体" w:cs="Times New Roman"/>
                      <w:color w:val="auto"/>
                      <w:sz w:val="21"/>
                      <w:szCs w:val="21"/>
                    </w:rPr>
                    <w:t>车间</w:t>
                  </w:r>
                </w:p>
              </w:tc>
              <w:tc>
                <w:tcPr>
                  <w:tcW w:w="629" w:type="pct"/>
                  <w:vMerge w:val="restart"/>
                  <w:tcBorders>
                    <w:tl2br w:val="nil"/>
                    <w:tr2bl w:val="nil"/>
                  </w:tcBorders>
                  <w:noWrap w:val="0"/>
                  <w:vAlign w:val="center"/>
                </w:tcPr>
                <w:p w14:paraId="57D0261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124.013910</w:t>
                  </w:r>
                </w:p>
              </w:tc>
              <w:tc>
                <w:tcPr>
                  <w:tcW w:w="573" w:type="pct"/>
                  <w:vMerge w:val="restart"/>
                  <w:tcBorders>
                    <w:tl2br w:val="nil"/>
                    <w:tr2bl w:val="nil"/>
                  </w:tcBorders>
                  <w:noWrap w:val="0"/>
                  <w:vAlign w:val="center"/>
                </w:tcPr>
                <w:p w14:paraId="6E8AA25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41.72348</w:t>
                  </w:r>
                  <w:r>
                    <w:rPr>
                      <w:rFonts w:hint="eastAsia" w:ascii="Times New Roman" w:hAnsi="Times New Roman" w:eastAsia="宋体" w:cs="Times New Roman"/>
                      <w:color w:val="auto"/>
                      <w:sz w:val="21"/>
                      <w:szCs w:val="21"/>
                      <w:lang w:val="en-US" w:eastAsia="zh-CN"/>
                    </w:rPr>
                    <w:t>3</w:t>
                  </w:r>
                </w:p>
              </w:tc>
              <w:tc>
                <w:tcPr>
                  <w:tcW w:w="740" w:type="pct"/>
                  <w:vMerge w:val="restart"/>
                  <w:tcBorders>
                    <w:tl2br w:val="nil"/>
                    <w:tr2bl w:val="nil"/>
                  </w:tcBorders>
                  <w:noWrap w:val="0"/>
                  <w:vAlign w:val="center"/>
                </w:tcPr>
                <w:p w14:paraId="2C16829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7161.82</w:t>
                  </w:r>
                </w:p>
              </w:tc>
              <w:tc>
                <w:tcPr>
                  <w:tcW w:w="564" w:type="pct"/>
                  <w:vMerge w:val="restart"/>
                  <w:tcBorders>
                    <w:tl2br w:val="nil"/>
                    <w:tr2bl w:val="nil"/>
                  </w:tcBorders>
                  <w:noWrap w:val="0"/>
                  <w:vAlign w:val="center"/>
                </w:tcPr>
                <w:p w14:paraId="15FD72C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val="en-US" w:eastAsia="zh-CN"/>
                    </w:rPr>
                    <w:t>4</w:t>
                  </w:r>
                </w:p>
              </w:tc>
              <w:tc>
                <w:tcPr>
                  <w:tcW w:w="569" w:type="pct"/>
                  <w:tcBorders>
                    <w:tl2br w:val="nil"/>
                    <w:tr2bl w:val="nil"/>
                  </w:tcBorders>
                  <w:noWrap w:val="0"/>
                  <w:vAlign w:val="center"/>
                </w:tcPr>
                <w:p w14:paraId="2563F901">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lang w:eastAsia="zh-CN"/>
                    </w:rPr>
                  </w:pPr>
                  <w:r>
                    <w:rPr>
                      <w:rFonts w:hint="eastAsia" w:ascii="Times New Roman" w:hAnsi="Times New Roman" w:cs="Times New Roman"/>
                      <w:color w:val="auto"/>
                      <w:sz w:val="21"/>
                      <w:szCs w:val="21"/>
                      <w:lang w:eastAsia="zh-CN"/>
                    </w:rPr>
                    <w:t>木加工</w:t>
                  </w:r>
                </w:p>
              </w:tc>
              <w:tc>
                <w:tcPr>
                  <w:tcW w:w="573" w:type="pct"/>
                  <w:tcBorders>
                    <w:tl2br w:val="nil"/>
                    <w:tr2bl w:val="nil"/>
                  </w:tcBorders>
                  <w:noWrap w:val="0"/>
                  <w:vAlign w:val="center"/>
                </w:tcPr>
                <w:p w14:paraId="24CD1EA3">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颗粒物</w:t>
                  </w:r>
                </w:p>
              </w:tc>
              <w:tc>
                <w:tcPr>
                  <w:tcW w:w="491" w:type="pct"/>
                  <w:tcBorders>
                    <w:tl2br w:val="nil"/>
                    <w:tr2bl w:val="nil"/>
                  </w:tcBorders>
                  <w:noWrap w:val="0"/>
                  <w:vAlign w:val="center"/>
                </w:tcPr>
                <w:p w14:paraId="212F359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0.5673</w:t>
                  </w:r>
                </w:p>
              </w:tc>
              <w:tc>
                <w:tcPr>
                  <w:tcW w:w="490" w:type="pct"/>
                  <w:tcBorders>
                    <w:tl2br w:val="nil"/>
                    <w:tr2bl w:val="nil"/>
                  </w:tcBorders>
                  <w:noWrap w:val="0"/>
                  <w:vAlign w:val="center"/>
                </w:tcPr>
                <w:p w14:paraId="168DB7A7">
                  <w:pPr>
                    <w:spacing w:line="240" w:lineRule="auto"/>
                    <w:jc w:val="center"/>
                    <w:rPr>
                      <w:rFonts w:hint="default" w:ascii="Times New Roman" w:hAnsi="Times New Roman" w:eastAsia="宋体" w:cs="Times New Roman"/>
                      <w:color w:val="auto"/>
                      <w:sz w:val="21"/>
                      <w:szCs w:val="21"/>
                      <w:lang w:val="en-US" w:eastAsia="zh-CN"/>
                    </w:rPr>
                  </w:pPr>
                  <w:r>
                    <w:rPr>
                      <w:rFonts w:hint="eastAsia" w:eastAsia="宋体"/>
                      <w:color w:val="auto"/>
                      <w:sz w:val="21"/>
                      <w:szCs w:val="21"/>
                      <w:lang w:val="en-US" w:eastAsia="zh-CN"/>
                    </w:rPr>
                    <w:t>0.191</w:t>
                  </w:r>
                </w:p>
              </w:tc>
            </w:tr>
            <w:tr w14:paraId="008DD7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68" w:type="pct"/>
                  <w:vMerge w:val="continue"/>
                  <w:tcBorders>
                    <w:tl2br w:val="nil"/>
                    <w:tr2bl w:val="nil"/>
                  </w:tcBorders>
                  <w:noWrap w:val="0"/>
                  <w:vAlign w:val="center"/>
                </w:tcPr>
                <w:p w14:paraId="08CD2B7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p>
              </w:tc>
              <w:tc>
                <w:tcPr>
                  <w:tcW w:w="629" w:type="pct"/>
                  <w:vMerge w:val="continue"/>
                  <w:tcBorders>
                    <w:tl2br w:val="nil"/>
                    <w:tr2bl w:val="nil"/>
                  </w:tcBorders>
                  <w:noWrap w:val="0"/>
                  <w:vAlign w:val="center"/>
                </w:tcPr>
                <w:p w14:paraId="07CF88A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p>
              </w:tc>
              <w:tc>
                <w:tcPr>
                  <w:tcW w:w="573" w:type="pct"/>
                  <w:vMerge w:val="continue"/>
                  <w:tcBorders>
                    <w:tl2br w:val="nil"/>
                    <w:tr2bl w:val="nil"/>
                  </w:tcBorders>
                  <w:noWrap w:val="0"/>
                  <w:vAlign w:val="center"/>
                </w:tcPr>
                <w:p w14:paraId="2CF1CBD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p>
              </w:tc>
              <w:tc>
                <w:tcPr>
                  <w:tcW w:w="740" w:type="pct"/>
                  <w:vMerge w:val="continue"/>
                  <w:tcBorders>
                    <w:tl2br w:val="nil"/>
                    <w:tr2bl w:val="nil"/>
                  </w:tcBorders>
                  <w:noWrap w:val="0"/>
                  <w:vAlign w:val="center"/>
                </w:tcPr>
                <w:p w14:paraId="7A92046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p>
              </w:tc>
              <w:tc>
                <w:tcPr>
                  <w:tcW w:w="564" w:type="pct"/>
                  <w:vMerge w:val="continue"/>
                  <w:tcBorders>
                    <w:tl2br w:val="nil"/>
                    <w:tr2bl w:val="nil"/>
                  </w:tcBorders>
                  <w:noWrap w:val="0"/>
                  <w:vAlign w:val="center"/>
                </w:tcPr>
                <w:p w14:paraId="76D65A2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p>
              </w:tc>
              <w:tc>
                <w:tcPr>
                  <w:tcW w:w="569" w:type="pct"/>
                  <w:tcBorders>
                    <w:tl2br w:val="nil"/>
                    <w:tr2bl w:val="nil"/>
                  </w:tcBorders>
                  <w:noWrap w:val="0"/>
                  <w:vAlign w:val="center"/>
                </w:tcPr>
                <w:p w14:paraId="628760EB">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辊涂、</w:t>
                  </w:r>
                  <w:r>
                    <w:rPr>
                      <w:rFonts w:hint="eastAsia" w:ascii="Times New Roman" w:hAnsi="Times New Roman" w:eastAsia="宋体" w:cs="Times New Roman"/>
                      <w:color w:val="auto"/>
                      <w:sz w:val="21"/>
                      <w:szCs w:val="21"/>
                      <w:highlight w:val="none"/>
                      <w:lang w:val="en-US" w:eastAsia="zh-CN"/>
                    </w:rPr>
                    <w:t>紫外光固化、</w:t>
                  </w:r>
                  <w:r>
                    <w:rPr>
                      <w:rFonts w:hint="eastAsia"/>
                      <w:b w:val="0"/>
                      <w:bCs w:val="0"/>
                      <w:color w:val="auto"/>
                      <w:sz w:val="21"/>
                      <w:szCs w:val="21"/>
                      <w:lang w:eastAsia="zh-CN"/>
                    </w:rPr>
                    <w:t>梳齿指接、</w:t>
                  </w:r>
                  <w:r>
                    <w:rPr>
                      <w:rFonts w:hint="eastAsia" w:ascii="Times New Roman" w:hAnsi="Times New Roman" w:eastAsia="宋体" w:cs="Times New Roman"/>
                      <w:b w:val="0"/>
                      <w:bCs w:val="0"/>
                      <w:color w:val="auto"/>
                      <w:sz w:val="21"/>
                      <w:szCs w:val="21"/>
                      <w:lang w:eastAsia="zh-CN"/>
                    </w:rPr>
                    <w:t>微波烘干</w:t>
                  </w:r>
                </w:p>
              </w:tc>
              <w:tc>
                <w:tcPr>
                  <w:tcW w:w="573" w:type="pct"/>
                  <w:tcBorders>
                    <w:tl2br w:val="nil"/>
                    <w:tr2bl w:val="nil"/>
                  </w:tcBorders>
                  <w:noWrap w:val="0"/>
                  <w:vAlign w:val="center"/>
                </w:tcPr>
                <w:p w14:paraId="21CDA66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VOC</w:t>
                  </w:r>
                  <w:r>
                    <w:rPr>
                      <w:rFonts w:hint="default" w:ascii="Times New Roman" w:hAnsi="Times New Roman" w:eastAsia="宋体" w:cs="Times New Roman"/>
                      <w:color w:val="auto"/>
                      <w:sz w:val="21"/>
                      <w:szCs w:val="21"/>
                      <w:vertAlign w:val="subscript"/>
                      <w:lang w:eastAsia="zh-CN"/>
                    </w:rPr>
                    <w:t>S</w:t>
                  </w:r>
                </w:p>
              </w:tc>
              <w:tc>
                <w:tcPr>
                  <w:tcW w:w="491" w:type="pct"/>
                  <w:tcBorders>
                    <w:tl2br w:val="nil"/>
                    <w:tr2bl w:val="nil"/>
                  </w:tcBorders>
                  <w:noWrap w:val="0"/>
                  <w:vAlign w:val="center"/>
                </w:tcPr>
                <w:p w14:paraId="6BF8B32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eastAsia="zh-CN"/>
                    </w:rPr>
                    <w:t>0.</w:t>
                  </w:r>
                  <w:r>
                    <w:rPr>
                      <w:rFonts w:hint="eastAsia" w:ascii="Times New Roman" w:hAnsi="Times New Roman" w:eastAsia="宋体" w:cs="Times New Roman"/>
                      <w:color w:val="auto"/>
                      <w:sz w:val="21"/>
                      <w:szCs w:val="21"/>
                      <w:lang w:val="en-US" w:eastAsia="zh-CN"/>
                    </w:rPr>
                    <w:t>136</w:t>
                  </w:r>
                </w:p>
              </w:tc>
              <w:tc>
                <w:tcPr>
                  <w:tcW w:w="490" w:type="pct"/>
                  <w:tcBorders>
                    <w:tl2br w:val="nil"/>
                    <w:tr2bl w:val="nil"/>
                  </w:tcBorders>
                  <w:noWrap w:val="0"/>
                  <w:vAlign w:val="center"/>
                </w:tcPr>
                <w:p w14:paraId="51904F62">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bCs/>
                      <w:color w:val="auto"/>
                      <w:sz w:val="21"/>
                      <w:szCs w:val="21"/>
                    </w:rPr>
                    <w:t>0.0</w:t>
                  </w:r>
                  <w:r>
                    <w:rPr>
                      <w:rFonts w:hint="eastAsia" w:ascii="Times New Roman" w:hAnsi="Times New Roman" w:eastAsia="宋体" w:cs="Times New Roman"/>
                      <w:bCs/>
                      <w:color w:val="auto"/>
                      <w:sz w:val="21"/>
                      <w:szCs w:val="21"/>
                      <w:lang w:val="en-US" w:eastAsia="zh-CN"/>
                    </w:rPr>
                    <w:t>46</w:t>
                  </w:r>
                </w:p>
              </w:tc>
            </w:tr>
          </w:tbl>
          <w:p w14:paraId="39D4B431">
            <w:pPr>
              <w:pStyle w:val="68"/>
              <w:numPr>
                <w:ilvl w:val="0"/>
                <w:numId w:val="0"/>
              </w:numPr>
              <w:tabs>
                <w:tab w:val="left" w:pos="0"/>
              </w:tabs>
              <w:spacing w:line="360" w:lineRule="auto"/>
              <w:ind w:leftChars="0"/>
              <w:jc w:val="both"/>
              <w:rPr>
                <w:rFonts w:hint="eastAsia" w:ascii="Times New Roman" w:hAnsi="Times New Roman" w:eastAsia="宋体" w:cs="Times New Roman"/>
                <w:color w:val="auto"/>
                <w:highlight w:val="none"/>
                <w:lang w:val="en-US" w:eastAsia="zh-CN"/>
              </w:rPr>
            </w:pPr>
          </w:p>
          <w:p w14:paraId="1C140A25">
            <w:pPr>
              <w:pStyle w:val="18"/>
              <w:tabs>
                <w:tab w:val="center" w:pos="4059"/>
                <w:tab w:val="clear" w:pos="4153"/>
              </w:tabs>
              <w:ind w:firstLine="482" w:firstLineChars="200"/>
              <w:rPr>
                <w:color w:val="auto"/>
                <w:spacing w:val="-2"/>
                <w:sz w:val="24"/>
                <w:szCs w:val="24"/>
                <w:highlight w:val="none"/>
                <w:lang w:val="en-US" w:eastAsia="zh-CN"/>
              </w:rPr>
            </w:pPr>
            <w:r>
              <w:rPr>
                <w:rFonts w:hint="eastAsia"/>
                <w:b/>
                <w:color w:val="auto"/>
                <w:kern w:val="44"/>
                <w:sz w:val="24"/>
                <w:szCs w:val="44"/>
                <w:highlight w:val="none"/>
                <w:lang w:val="en-US" w:eastAsia="zh-CN"/>
              </w:rPr>
              <w:t>（3）废气处理措施</w:t>
            </w:r>
          </w:p>
          <w:p w14:paraId="2AFDC25D">
            <w:pPr>
              <w:pStyle w:val="18"/>
              <w:tabs>
                <w:tab w:val="center" w:pos="4059"/>
                <w:tab w:val="clear" w:pos="4153"/>
              </w:tabs>
              <w:ind w:firstLine="480" w:firstLineChars="200"/>
              <w:rPr>
                <w:color w:val="auto"/>
                <w:highlight w:val="none"/>
                <w:lang w:val="en-US" w:eastAsia="zh-CN"/>
              </w:rPr>
            </w:pPr>
            <w:r>
              <w:rPr>
                <w:rFonts w:hint="default" w:ascii="Times New Roman" w:hAnsi="Times New Roman" w:eastAsia="宋体" w:cs="Times New Roman"/>
                <w:color w:val="auto"/>
                <w:kern w:val="2"/>
                <w:sz w:val="24"/>
                <w:szCs w:val="21"/>
                <w:highlight w:val="none"/>
                <w:lang w:val="en-US" w:eastAsia="zh-CN" w:bidi="ar-SA"/>
              </w:rPr>
              <w:t>①</w:t>
            </w:r>
            <w:r>
              <w:rPr>
                <w:rFonts w:hint="eastAsia"/>
                <w:color w:val="auto"/>
                <w:sz w:val="24"/>
                <w:szCs w:val="24"/>
                <w:highlight w:val="none"/>
                <w:lang w:val="en-US" w:eastAsia="zh-CN"/>
              </w:rPr>
              <w:t>有组织排放控制</w:t>
            </w:r>
            <w:r>
              <w:rPr>
                <w:rFonts w:hint="eastAsia"/>
                <w:bCs/>
                <w:color w:val="auto"/>
                <w:kern w:val="44"/>
                <w:sz w:val="24"/>
                <w:szCs w:val="44"/>
                <w:highlight w:val="none"/>
                <w:lang w:val="en-US" w:eastAsia="zh-CN"/>
              </w:rPr>
              <w:t>措施</w:t>
            </w:r>
          </w:p>
          <w:p w14:paraId="0D1924C3">
            <w:pPr>
              <w:pStyle w:val="75"/>
              <w:ind w:firstLine="472" w:firstLineChars="200"/>
              <w:rPr>
                <w:rFonts w:hint="eastAsia" w:ascii="Times New Roman" w:hAnsi="Times New Roman" w:eastAsia="宋体" w:cs="Times New Roman"/>
                <w:color w:val="auto"/>
                <w:sz w:val="24"/>
                <w:szCs w:val="24"/>
                <w:highlight w:val="none"/>
                <w:lang w:eastAsia="zh-CN"/>
              </w:rPr>
            </w:pPr>
            <w:r>
              <w:rPr>
                <w:rFonts w:hint="eastAsia" w:ascii="Times New Roman" w:hAnsi="Times New Roman" w:cs="Times New Roman"/>
                <w:color w:val="auto"/>
                <w:spacing w:val="-2"/>
                <w:highlight w:val="none"/>
                <w:lang w:eastAsia="zh-CN"/>
              </w:rPr>
              <w:t>本项目木加工过程中</w:t>
            </w:r>
            <w:r>
              <w:rPr>
                <w:rFonts w:hint="eastAsia" w:ascii="宋体" w:hAnsi="宋体" w:eastAsia="宋体" w:cs="宋体"/>
                <w:color w:val="auto"/>
                <w:szCs w:val="21"/>
                <w:highlight w:val="none"/>
                <w:lang w:eastAsia="zh-CN"/>
              </w:rPr>
              <w:t>下料、刨光、梳齿指接过程产生的颗粒物</w:t>
            </w:r>
            <w:r>
              <w:rPr>
                <w:rFonts w:hint="default" w:ascii="Times New Roman" w:hAnsi="Times New Roman" w:eastAsia="宋体" w:cs="Times New Roman"/>
                <w:color w:val="auto"/>
                <w:szCs w:val="21"/>
                <w:highlight w:val="none"/>
                <w:lang w:eastAsia="zh-CN"/>
              </w:rPr>
              <w:t>通过集气罩收集（收集效率</w:t>
            </w:r>
            <w:r>
              <w:rPr>
                <w:rFonts w:hint="default" w:ascii="Times New Roman" w:hAnsi="Times New Roman" w:eastAsia="宋体" w:cs="Times New Roman"/>
                <w:color w:val="auto"/>
                <w:szCs w:val="21"/>
                <w:highlight w:val="none"/>
                <w:lang w:val="en-US" w:eastAsia="zh-CN"/>
              </w:rPr>
              <w:t>8</w:t>
            </w:r>
            <w:r>
              <w:rPr>
                <w:rFonts w:hint="default" w:ascii="Times New Roman" w:hAnsi="Times New Roman" w:eastAsia="宋体" w:cs="Times New Roman"/>
                <w:color w:val="auto"/>
                <w:szCs w:val="21"/>
                <w:highlight w:val="none"/>
                <w:lang w:eastAsia="zh-CN"/>
              </w:rPr>
              <w:t>0%），进入布袋除尘器处理（效率</w:t>
            </w:r>
            <w:r>
              <w:rPr>
                <w:rFonts w:hint="default" w:ascii="Times New Roman" w:hAnsi="Times New Roman" w:eastAsia="宋体" w:cs="Times New Roman"/>
                <w:color w:val="auto"/>
                <w:szCs w:val="21"/>
                <w:highlight w:val="none"/>
                <w:lang w:val="en-US" w:eastAsia="zh-CN"/>
              </w:rPr>
              <w:t>99</w:t>
            </w:r>
            <w:r>
              <w:rPr>
                <w:rFonts w:hint="default" w:ascii="Times New Roman" w:hAnsi="Times New Roman" w:eastAsia="宋体" w:cs="Times New Roman"/>
                <w:color w:val="auto"/>
                <w:szCs w:val="21"/>
                <w:highlight w:val="none"/>
                <w:lang w:eastAsia="zh-CN"/>
              </w:rPr>
              <w:t>%），然后通过</w:t>
            </w:r>
            <w:r>
              <w:rPr>
                <w:rFonts w:hint="default" w:ascii="Times New Roman" w:hAnsi="Times New Roman" w:eastAsia="宋体" w:cs="Times New Roman"/>
                <w:color w:val="auto"/>
                <w:szCs w:val="21"/>
                <w:highlight w:val="none"/>
                <w:lang w:val="en-US" w:eastAsia="zh-CN"/>
              </w:rPr>
              <w:t>1根</w:t>
            </w:r>
            <w:r>
              <w:rPr>
                <w:rFonts w:hint="default" w:ascii="Times New Roman" w:hAnsi="Times New Roman" w:eastAsia="宋体" w:cs="Times New Roman"/>
                <w:color w:val="auto"/>
                <w:szCs w:val="21"/>
                <w:highlight w:val="none"/>
                <w:lang w:eastAsia="zh-CN"/>
              </w:rPr>
              <w:t>15m排气筒（DA00</w:t>
            </w:r>
            <w:r>
              <w:rPr>
                <w:rFonts w:hint="default" w:ascii="Times New Roman" w:hAnsi="Times New Roman" w:eastAsia="宋体" w:cs="Times New Roman"/>
                <w:color w:val="auto"/>
                <w:szCs w:val="21"/>
                <w:highlight w:val="none"/>
                <w:lang w:val="en-US" w:eastAsia="zh-CN"/>
              </w:rPr>
              <w:t>1</w:t>
            </w:r>
            <w:r>
              <w:rPr>
                <w:rFonts w:hint="default" w:ascii="Times New Roman" w:hAnsi="Times New Roman" w:eastAsia="宋体" w:cs="Times New Roman"/>
                <w:color w:val="auto"/>
                <w:szCs w:val="21"/>
                <w:highlight w:val="none"/>
                <w:lang w:eastAsia="zh-CN"/>
              </w:rPr>
              <w:t>）排放；砂光工序产生的颗粒物通过集气罩收集（收集效率</w:t>
            </w:r>
            <w:r>
              <w:rPr>
                <w:rFonts w:hint="default" w:ascii="Times New Roman" w:hAnsi="Times New Roman" w:eastAsia="宋体" w:cs="Times New Roman"/>
                <w:color w:val="auto"/>
                <w:szCs w:val="21"/>
                <w:highlight w:val="none"/>
                <w:lang w:val="en-US" w:eastAsia="zh-CN"/>
              </w:rPr>
              <w:t>8</w:t>
            </w:r>
            <w:r>
              <w:rPr>
                <w:rFonts w:hint="default" w:ascii="Times New Roman" w:hAnsi="Times New Roman" w:eastAsia="宋体" w:cs="Times New Roman"/>
                <w:color w:val="auto"/>
                <w:szCs w:val="21"/>
                <w:highlight w:val="none"/>
                <w:lang w:eastAsia="zh-CN"/>
              </w:rPr>
              <w:t>0%），进入布袋除尘器处理（效率</w:t>
            </w:r>
            <w:r>
              <w:rPr>
                <w:rFonts w:hint="default" w:ascii="Times New Roman" w:hAnsi="Times New Roman" w:eastAsia="宋体" w:cs="Times New Roman"/>
                <w:color w:val="auto"/>
                <w:szCs w:val="21"/>
                <w:highlight w:val="none"/>
                <w:lang w:val="en-US" w:eastAsia="zh-CN"/>
              </w:rPr>
              <w:t>99</w:t>
            </w:r>
            <w:r>
              <w:rPr>
                <w:rFonts w:hint="default" w:ascii="Times New Roman" w:hAnsi="Times New Roman" w:eastAsia="宋体" w:cs="Times New Roman"/>
                <w:color w:val="auto"/>
                <w:szCs w:val="21"/>
                <w:highlight w:val="none"/>
                <w:lang w:eastAsia="zh-CN"/>
              </w:rPr>
              <w:t>%），然后通过</w:t>
            </w:r>
            <w:r>
              <w:rPr>
                <w:rFonts w:hint="default" w:ascii="Times New Roman" w:hAnsi="Times New Roman" w:eastAsia="宋体" w:cs="Times New Roman"/>
                <w:color w:val="auto"/>
                <w:szCs w:val="21"/>
                <w:highlight w:val="none"/>
                <w:lang w:val="en-US" w:eastAsia="zh-CN"/>
              </w:rPr>
              <w:t>1根</w:t>
            </w:r>
            <w:r>
              <w:rPr>
                <w:rFonts w:hint="default" w:ascii="Times New Roman" w:hAnsi="Times New Roman" w:eastAsia="宋体" w:cs="Times New Roman"/>
                <w:color w:val="auto"/>
                <w:szCs w:val="21"/>
                <w:highlight w:val="none"/>
                <w:lang w:eastAsia="zh-CN"/>
              </w:rPr>
              <w:t>15m排气筒（DA00</w:t>
            </w:r>
            <w:r>
              <w:rPr>
                <w:rFonts w:hint="default" w:ascii="Times New Roman" w:hAnsi="Times New Roman" w:eastAsia="宋体" w:cs="Times New Roman"/>
                <w:color w:val="auto"/>
                <w:szCs w:val="21"/>
                <w:highlight w:val="none"/>
                <w:lang w:val="en-US" w:eastAsia="zh-CN"/>
              </w:rPr>
              <w:t>2</w:t>
            </w:r>
            <w:r>
              <w:rPr>
                <w:rFonts w:hint="default" w:ascii="Times New Roman" w:hAnsi="Times New Roman" w:eastAsia="宋体" w:cs="Times New Roman"/>
                <w:color w:val="auto"/>
                <w:szCs w:val="21"/>
                <w:highlight w:val="none"/>
                <w:lang w:eastAsia="zh-CN"/>
              </w:rPr>
              <w:t>）排放；轻砂机及油砂机产生的颗粒物通过集气罩收集（收集效率</w:t>
            </w:r>
            <w:r>
              <w:rPr>
                <w:rFonts w:hint="default" w:ascii="Times New Roman" w:hAnsi="Times New Roman" w:eastAsia="宋体" w:cs="Times New Roman"/>
                <w:color w:val="auto"/>
                <w:szCs w:val="21"/>
                <w:highlight w:val="none"/>
                <w:lang w:val="en-US" w:eastAsia="zh-CN"/>
              </w:rPr>
              <w:t>8</w:t>
            </w:r>
            <w:r>
              <w:rPr>
                <w:rFonts w:hint="default" w:ascii="Times New Roman" w:hAnsi="Times New Roman" w:eastAsia="宋体" w:cs="Times New Roman"/>
                <w:color w:val="auto"/>
                <w:szCs w:val="21"/>
                <w:highlight w:val="none"/>
                <w:lang w:eastAsia="zh-CN"/>
              </w:rPr>
              <w:t>0%），进入布袋除尘器处理（效率</w:t>
            </w:r>
            <w:r>
              <w:rPr>
                <w:rFonts w:hint="default" w:ascii="Times New Roman" w:hAnsi="Times New Roman" w:eastAsia="宋体" w:cs="Times New Roman"/>
                <w:color w:val="auto"/>
                <w:szCs w:val="21"/>
                <w:highlight w:val="none"/>
                <w:lang w:val="en-US" w:eastAsia="zh-CN"/>
              </w:rPr>
              <w:t>99</w:t>
            </w:r>
            <w:r>
              <w:rPr>
                <w:rFonts w:hint="default" w:ascii="Times New Roman" w:hAnsi="Times New Roman" w:eastAsia="宋体" w:cs="Times New Roman"/>
                <w:color w:val="auto"/>
                <w:szCs w:val="21"/>
                <w:highlight w:val="none"/>
                <w:lang w:eastAsia="zh-CN"/>
              </w:rPr>
              <w:t>%），然后通过</w:t>
            </w:r>
            <w:r>
              <w:rPr>
                <w:rFonts w:hint="default" w:ascii="Times New Roman" w:hAnsi="Times New Roman" w:eastAsia="宋体" w:cs="Times New Roman"/>
                <w:color w:val="auto"/>
                <w:szCs w:val="21"/>
                <w:highlight w:val="none"/>
                <w:lang w:val="en-US" w:eastAsia="zh-CN"/>
              </w:rPr>
              <w:t>1根</w:t>
            </w:r>
            <w:r>
              <w:rPr>
                <w:rFonts w:hint="default" w:ascii="Times New Roman" w:hAnsi="Times New Roman" w:eastAsia="宋体" w:cs="Times New Roman"/>
                <w:color w:val="auto"/>
                <w:szCs w:val="21"/>
                <w:highlight w:val="none"/>
                <w:lang w:eastAsia="zh-CN"/>
              </w:rPr>
              <w:t>15m排气筒（DA00</w:t>
            </w:r>
            <w:r>
              <w:rPr>
                <w:rFonts w:hint="default" w:ascii="Times New Roman" w:hAnsi="Times New Roman" w:eastAsia="宋体" w:cs="Times New Roman"/>
                <w:color w:val="auto"/>
                <w:szCs w:val="21"/>
                <w:highlight w:val="none"/>
                <w:lang w:val="en-US" w:eastAsia="zh-CN"/>
              </w:rPr>
              <w:t>3</w:t>
            </w:r>
            <w:r>
              <w:rPr>
                <w:rFonts w:hint="default" w:ascii="Times New Roman" w:hAnsi="Times New Roman" w:eastAsia="宋体" w:cs="Times New Roman"/>
                <w:color w:val="auto"/>
                <w:szCs w:val="21"/>
                <w:highlight w:val="none"/>
                <w:lang w:eastAsia="zh-CN"/>
              </w:rPr>
              <w:t>）排放；开槽工序产生的颗粒物通过集气罩收集（收集效率</w:t>
            </w:r>
            <w:r>
              <w:rPr>
                <w:rFonts w:hint="default" w:ascii="Times New Roman" w:hAnsi="Times New Roman" w:eastAsia="宋体" w:cs="Times New Roman"/>
                <w:color w:val="auto"/>
                <w:szCs w:val="21"/>
                <w:highlight w:val="none"/>
                <w:lang w:val="en-US" w:eastAsia="zh-CN"/>
              </w:rPr>
              <w:t>8</w:t>
            </w:r>
            <w:r>
              <w:rPr>
                <w:rFonts w:hint="default" w:ascii="Times New Roman" w:hAnsi="Times New Roman" w:eastAsia="宋体" w:cs="Times New Roman"/>
                <w:color w:val="auto"/>
                <w:szCs w:val="21"/>
                <w:highlight w:val="none"/>
                <w:lang w:eastAsia="zh-CN"/>
              </w:rPr>
              <w:t>0%），进入布袋除尘器处理（效率</w:t>
            </w:r>
            <w:r>
              <w:rPr>
                <w:rFonts w:hint="default" w:ascii="Times New Roman" w:hAnsi="Times New Roman" w:eastAsia="宋体" w:cs="Times New Roman"/>
                <w:color w:val="auto"/>
                <w:szCs w:val="21"/>
                <w:highlight w:val="none"/>
                <w:lang w:val="en-US" w:eastAsia="zh-CN"/>
              </w:rPr>
              <w:t>99</w:t>
            </w:r>
            <w:r>
              <w:rPr>
                <w:rFonts w:hint="default" w:ascii="Times New Roman" w:hAnsi="Times New Roman" w:eastAsia="宋体" w:cs="Times New Roman"/>
                <w:color w:val="auto"/>
                <w:szCs w:val="21"/>
                <w:highlight w:val="none"/>
                <w:lang w:eastAsia="zh-CN"/>
              </w:rPr>
              <w:t>%），然后通过</w:t>
            </w:r>
            <w:r>
              <w:rPr>
                <w:rFonts w:hint="default" w:ascii="Times New Roman" w:hAnsi="Times New Roman" w:eastAsia="宋体" w:cs="Times New Roman"/>
                <w:color w:val="auto"/>
                <w:szCs w:val="21"/>
                <w:highlight w:val="none"/>
                <w:lang w:val="en-US" w:eastAsia="zh-CN"/>
              </w:rPr>
              <w:t>1根</w:t>
            </w:r>
            <w:r>
              <w:rPr>
                <w:rFonts w:hint="default" w:ascii="Times New Roman" w:hAnsi="Times New Roman" w:eastAsia="宋体" w:cs="Times New Roman"/>
                <w:color w:val="auto"/>
                <w:szCs w:val="21"/>
                <w:highlight w:val="none"/>
                <w:lang w:eastAsia="zh-CN"/>
              </w:rPr>
              <w:t>15m排气筒（DA00</w:t>
            </w:r>
            <w:r>
              <w:rPr>
                <w:rFonts w:hint="default" w:ascii="Times New Roman" w:hAnsi="Times New Roman" w:eastAsia="宋体" w:cs="Times New Roman"/>
                <w:color w:val="auto"/>
                <w:szCs w:val="21"/>
                <w:highlight w:val="none"/>
                <w:lang w:val="en-US" w:eastAsia="zh-CN"/>
              </w:rPr>
              <w:t>4</w:t>
            </w:r>
            <w:r>
              <w:rPr>
                <w:rFonts w:hint="default" w:ascii="Times New Roman" w:hAnsi="Times New Roman" w:eastAsia="宋体" w:cs="Times New Roman"/>
                <w:color w:val="auto"/>
                <w:szCs w:val="21"/>
                <w:highlight w:val="none"/>
                <w:lang w:eastAsia="zh-CN"/>
              </w:rPr>
              <w:t>）排放。</w:t>
            </w:r>
            <w:r>
              <w:rPr>
                <w:rFonts w:hint="eastAsia" w:ascii="Times New Roman" w:hAnsi="Times New Roman" w:eastAsia="宋体" w:cs="Times New Roman"/>
                <w:color w:val="auto"/>
                <w:szCs w:val="21"/>
                <w:highlight w:val="none"/>
                <w:lang w:eastAsia="zh-CN"/>
              </w:rPr>
              <w:t>辊漆</w:t>
            </w:r>
            <w:r>
              <w:rPr>
                <w:rFonts w:hint="eastAsia" w:ascii="Times New Roman" w:hAnsi="Times New Roman" w:eastAsia="宋体" w:cs="Times New Roman"/>
                <w:color w:val="auto"/>
                <w:sz w:val="24"/>
                <w:szCs w:val="24"/>
                <w:highlight w:val="none"/>
                <w:lang w:val="en-US" w:eastAsia="zh-CN"/>
              </w:rPr>
              <w:t>+紫外光固化工序</w:t>
            </w:r>
            <w:r>
              <w:rPr>
                <w:rFonts w:hint="default" w:ascii="Times New Roman" w:hAnsi="Times New Roman" w:eastAsia="宋体" w:cs="Times New Roman"/>
                <w:color w:val="auto"/>
                <w:sz w:val="24"/>
                <w:szCs w:val="24"/>
                <w:highlight w:val="none"/>
                <w:lang w:eastAsia="zh-CN"/>
              </w:rPr>
              <w:t>采用</w:t>
            </w:r>
            <w:r>
              <w:rPr>
                <w:rFonts w:hint="eastAsia" w:ascii="Times New Roman" w:hAnsi="Times New Roman" w:cs="Times New Roman"/>
                <w:color w:val="auto"/>
                <w:sz w:val="24"/>
                <w:szCs w:val="24"/>
                <w:lang w:eastAsia="zh-CN"/>
              </w:rPr>
              <w:t>集气罩</w:t>
            </w:r>
            <w:r>
              <w:rPr>
                <w:rFonts w:hint="default" w:ascii="Times New Roman" w:hAnsi="Times New Roman" w:eastAsia="宋体" w:cs="Times New Roman"/>
                <w:color w:val="auto"/>
                <w:sz w:val="24"/>
                <w:szCs w:val="24"/>
                <w:highlight w:val="none"/>
                <w:lang w:eastAsia="zh-CN"/>
              </w:rPr>
              <w:t>收集（收集效率</w:t>
            </w:r>
            <w:r>
              <w:rPr>
                <w:rFonts w:hint="eastAsia" w:ascii="Times New Roman" w:hAnsi="Times New Roman" w:eastAsia="宋体" w:cs="Times New Roman"/>
                <w:color w:val="auto"/>
                <w:sz w:val="24"/>
                <w:szCs w:val="24"/>
                <w:highlight w:val="none"/>
                <w:lang w:val="en-US" w:eastAsia="zh-CN"/>
              </w:rPr>
              <w:t>8</w:t>
            </w:r>
            <w:r>
              <w:rPr>
                <w:rFonts w:hint="default" w:ascii="Times New Roman" w:hAnsi="Times New Roman" w:eastAsia="宋体" w:cs="Times New Roman"/>
                <w:color w:val="auto"/>
                <w:sz w:val="24"/>
                <w:szCs w:val="24"/>
                <w:highlight w:val="none"/>
                <w:lang w:eastAsia="zh-CN"/>
              </w:rPr>
              <w:t>0%），</w:t>
            </w:r>
            <w:r>
              <w:rPr>
                <w:rFonts w:hint="eastAsia" w:ascii="Times New Roman" w:hAnsi="Times New Roman" w:eastAsia="宋体" w:cs="Times New Roman"/>
                <w:color w:val="auto"/>
                <w:sz w:val="24"/>
                <w:szCs w:val="24"/>
                <w:highlight w:val="none"/>
                <w:lang w:eastAsia="zh-CN"/>
              </w:rPr>
              <w:t>通过</w:t>
            </w:r>
            <w:r>
              <w:rPr>
                <w:rFonts w:hint="eastAsia" w:ascii="Times New Roman" w:hAnsi="Times New Roman" w:cs="Times New Roman"/>
                <w:color w:val="auto"/>
                <w:sz w:val="24"/>
                <w:szCs w:val="24"/>
                <w:lang w:eastAsia="zh-CN"/>
              </w:rPr>
              <w:t>带有自动控制系统</w:t>
            </w:r>
            <w:r>
              <w:rPr>
                <w:rFonts w:ascii="Times New Roman" w:hAnsi="Times New Roman" w:cs="Times New Roman"/>
                <w:color w:val="auto"/>
                <w:sz w:val="24"/>
                <w:szCs w:val="24"/>
                <w:lang w:eastAsia="zh-CN"/>
              </w:rPr>
              <w:t>的</w:t>
            </w:r>
            <w:r>
              <w:rPr>
                <w:rFonts w:hint="eastAsia" w:ascii="Times New Roman" w:hAnsi="Times New Roman" w:eastAsia="宋体" w:cs="Times New Roman"/>
                <w:color w:val="auto"/>
                <w:kern w:val="2"/>
                <w:sz w:val="24"/>
                <w:szCs w:val="24"/>
                <w:highlight w:val="none"/>
                <w:lang w:val="en-US" w:eastAsia="zh-CN" w:bidi="ar-SA"/>
              </w:rPr>
              <w:t>二级</w:t>
            </w:r>
            <w:r>
              <w:rPr>
                <w:rFonts w:hint="eastAsia" w:ascii="Times New Roman" w:hAnsi="Times New Roman" w:eastAsia="宋体" w:cs="Times New Roman"/>
                <w:color w:val="auto"/>
                <w:sz w:val="24"/>
                <w:szCs w:val="24"/>
                <w:highlight w:val="none"/>
                <w:lang w:eastAsia="zh-CN"/>
              </w:rPr>
              <w:t>活性炭吸附</w:t>
            </w:r>
            <w:r>
              <w:rPr>
                <w:rFonts w:hint="default" w:ascii="Times New Roman" w:hAnsi="Times New Roman" w:eastAsia="宋体" w:cs="Times New Roman"/>
                <w:color w:val="auto"/>
                <w:sz w:val="24"/>
                <w:szCs w:val="24"/>
                <w:highlight w:val="none"/>
                <w:lang w:eastAsia="zh-CN"/>
              </w:rPr>
              <w:t>处理（</w:t>
            </w:r>
            <w:r>
              <w:rPr>
                <w:rFonts w:hint="eastAsia" w:ascii="Times New Roman" w:hAnsi="Times New Roman" w:eastAsia="宋体" w:cs="Times New Roman"/>
                <w:color w:val="auto"/>
                <w:sz w:val="24"/>
                <w:szCs w:val="24"/>
                <w:highlight w:val="none"/>
                <w:lang w:eastAsia="zh-CN"/>
              </w:rPr>
              <w:t>处理</w:t>
            </w:r>
            <w:r>
              <w:rPr>
                <w:rFonts w:hint="default" w:ascii="Times New Roman" w:hAnsi="Times New Roman" w:eastAsia="宋体" w:cs="Times New Roman"/>
                <w:color w:val="auto"/>
                <w:sz w:val="24"/>
                <w:szCs w:val="24"/>
                <w:highlight w:val="none"/>
                <w:lang w:eastAsia="zh-CN"/>
              </w:rPr>
              <w:t>效率</w:t>
            </w:r>
            <w:r>
              <w:rPr>
                <w:rFonts w:hint="eastAsia" w:ascii="Times New Roman" w:hAnsi="Times New Roman" w:eastAsia="宋体" w:cs="Times New Roman"/>
                <w:color w:val="auto"/>
                <w:sz w:val="24"/>
                <w:szCs w:val="24"/>
                <w:highlight w:val="none"/>
                <w:lang w:val="en-US" w:eastAsia="zh-CN"/>
              </w:rPr>
              <w:t>50</w:t>
            </w:r>
            <w:r>
              <w:rPr>
                <w:rFonts w:hint="default" w:ascii="Times New Roman" w:hAnsi="Times New Roman" w:eastAsia="宋体" w:cs="Times New Roman"/>
                <w:color w:val="auto"/>
                <w:sz w:val="24"/>
                <w:szCs w:val="24"/>
                <w:highlight w:val="none"/>
                <w:lang w:eastAsia="zh-CN"/>
              </w:rPr>
              <w:t>%），然后</w:t>
            </w:r>
            <w:r>
              <w:rPr>
                <w:rFonts w:hint="eastAsia" w:ascii="Times New Roman" w:hAnsi="Times New Roman" w:eastAsia="宋体" w:cs="Times New Roman"/>
                <w:color w:val="auto"/>
                <w:sz w:val="24"/>
                <w:szCs w:val="24"/>
                <w:highlight w:val="none"/>
                <w:lang w:eastAsia="zh-CN"/>
              </w:rPr>
              <w:t>经</w:t>
            </w:r>
            <w:r>
              <w:rPr>
                <w:rFonts w:hint="default" w:ascii="Times New Roman" w:hAnsi="Times New Roman" w:eastAsia="宋体" w:cs="Times New Roman"/>
                <w:color w:val="auto"/>
                <w:sz w:val="24"/>
                <w:szCs w:val="24"/>
                <w:highlight w:val="none"/>
                <w:lang w:eastAsia="zh-CN"/>
              </w:rPr>
              <w:t>1根15m排气筒</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eastAsia="zh-CN"/>
              </w:rPr>
              <w:t>DA00</w:t>
            </w:r>
            <w:r>
              <w:rPr>
                <w:rFonts w:hint="eastAsia" w:ascii="Times New Roman" w:hAnsi="Times New Roman" w:eastAsia="宋体" w:cs="Times New Roman"/>
                <w:color w:val="auto"/>
                <w:sz w:val="24"/>
                <w:szCs w:val="24"/>
                <w:highlight w:val="none"/>
                <w:lang w:val="en-US" w:eastAsia="zh-CN"/>
              </w:rPr>
              <w:t>5</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eastAsia="zh-CN"/>
              </w:rPr>
              <w:t>排放</w:t>
            </w:r>
            <w:r>
              <w:rPr>
                <w:rFonts w:hint="eastAsia" w:ascii="Times New Roman" w:hAnsi="Times New Roman" w:eastAsia="宋体" w:cs="Times New Roman"/>
                <w:color w:val="auto"/>
                <w:sz w:val="24"/>
                <w:szCs w:val="24"/>
                <w:highlight w:val="none"/>
                <w:lang w:eastAsia="zh-CN"/>
              </w:rPr>
              <w:t>。</w:t>
            </w:r>
          </w:p>
          <w:p w14:paraId="6E8CF1E4">
            <w:pPr>
              <w:pStyle w:val="75"/>
              <w:jc w:val="center"/>
              <w:rPr>
                <w:color w:val="auto"/>
              </w:rPr>
            </w:pPr>
            <w:r>
              <w:rPr>
                <w:color w:val="auto"/>
              </w:rPr>
              <w:drawing>
                <wp:inline distT="0" distB="0" distL="114300" distR="114300">
                  <wp:extent cx="4210050" cy="3517900"/>
                  <wp:effectExtent l="9525" t="9525" r="9525" b="15875"/>
                  <wp:docPr id="4" name="图片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23"/>
                          <pic:cNvPicPr>
                            <a:picLocks noChangeAspect="1"/>
                          </pic:cNvPicPr>
                        </pic:nvPicPr>
                        <pic:blipFill>
                          <a:blip r:embed="rId16"/>
                          <a:stretch>
                            <a:fillRect/>
                          </a:stretch>
                        </pic:blipFill>
                        <pic:spPr>
                          <a:xfrm>
                            <a:off x="0" y="0"/>
                            <a:ext cx="4210050" cy="3517900"/>
                          </a:xfrm>
                          <a:prstGeom prst="rect">
                            <a:avLst/>
                          </a:prstGeom>
                          <a:noFill/>
                          <a:ln w="9525" cap="flat" cmpd="sng">
                            <a:solidFill>
                              <a:srgbClr val="000000"/>
                            </a:solidFill>
                            <a:prstDash val="solid"/>
                            <a:miter/>
                            <a:headEnd type="none" w="med" len="med"/>
                            <a:tailEnd type="none" w="med" len="med"/>
                          </a:ln>
                        </pic:spPr>
                      </pic:pic>
                    </a:graphicData>
                  </a:graphic>
                </wp:inline>
              </w:drawing>
            </w:r>
          </w:p>
          <w:p w14:paraId="63F0E389">
            <w:pPr>
              <w:pStyle w:val="75"/>
              <w:numPr>
                <w:ilvl w:val="0"/>
                <w:numId w:val="21"/>
              </w:numPr>
              <w:ind w:left="0" w:leftChars="0" w:firstLine="0" w:firstLineChars="0"/>
              <w:jc w:val="center"/>
              <w:rPr>
                <w:rFonts w:hint="eastAsia"/>
                <w:color w:val="auto"/>
                <w:lang w:eastAsia="zh-CN"/>
              </w:rPr>
            </w:pPr>
            <w:r>
              <w:rPr>
                <w:rFonts w:hint="eastAsia" w:ascii="Times New Roman" w:hAnsi="Times New Roman" w:cs="Times New Roman"/>
                <w:b/>
                <w:bCs/>
                <w:color w:val="auto"/>
                <w:sz w:val="21"/>
                <w:szCs w:val="21"/>
                <w:highlight w:val="none"/>
                <w:lang w:val="en-US" w:eastAsia="zh-CN"/>
              </w:rPr>
              <w:t xml:space="preserve">  </w:t>
            </w:r>
            <w:r>
              <w:rPr>
                <w:rFonts w:ascii="Times New Roman" w:hAnsi="Times New Roman" w:cs="Times New Roman"/>
                <w:b/>
                <w:bCs/>
                <w:color w:val="auto"/>
                <w:sz w:val="21"/>
                <w:szCs w:val="21"/>
                <w:highlight w:val="none"/>
                <w:lang w:eastAsia="zh-CN"/>
              </w:rPr>
              <w:t>废气治理措施流向图</w:t>
            </w:r>
          </w:p>
          <w:p w14:paraId="3C7394AA">
            <w:pPr>
              <w:keepNext w:val="0"/>
              <w:keepLines w:val="0"/>
              <w:pageBreakBefore w:val="0"/>
              <w:widowControl w:val="0"/>
              <w:kinsoku/>
              <w:wordWrap/>
              <w:overflowPunct/>
              <w:topLinePunct w:val="0"/>
              <w:autoSpaceDE w:val="0"/>
              <w:autoSpaceDN w:val="0"/>
              <w:bidi w:val="0"/>
              <w:adjustRightInd/>
              <w:snapToGrid/>
              <w:spacing w:line="360" w:lineRule="auto"/>
              <w:ind w:left="0" w:leftChars="0" w:firstLine="480" w:firstLineChars="200"/>
              <w:textAlignment w:val="auto"/>
              <w:rPr>
                <w:rFonts w:ascii="Times New Roman" w:hAnsi="Times New Roman" w:eastAsia="宋体" w:cs="Times New Roman"/>
                <w:b w:val="0"/>
                <w:bCs/>
                <w:color w:val="auto"/>
                <w:sz w:val="24"/>
                <w:szCs w:val="24"/>
              </w:rPr>
            </w:pPr>
            <w:r>
              <w:rPr>
                <w:color w:val="auto"/>
                <w:sz w:val="24"/>
                <w:highlight w:val="none"/>
              </w:rPr>
              <w:fldChar w:fldCharType="begin"/>
            </w:r>
            <w:r>
              <w:rPr>
                <w:color w:val="auto"/>
                <w:sz w:val="24"/>
                <w:highlight w:val="none"/>
              </w:rPr>
              <w:instrText xml:space="preserve"> = 2 \* GB3 \* MERGEFORMAT </w:instrText>
            </w:r>
            <w:r>
              <w:rPr>
                <w:color w:val="auto"/>
                <w:sz w:val="24"/>
                <w:highlight w:val="none"/>
              </w:rPr>
              <w:fldChar w:fldCharType="separate"/>
            </w:r>
            <w:r>
              <w:rPr>
                <w:color w:val="auto"/>
                <w:sz w:val="24"/>
                <w:highlight w:val="none"/>
              </w:rPr>
              <w:t>②</w:t>
            </w:r>
            <w:r>
              <w:rPr>
                <w:color w:val="auto"/>
                <w:sz w:val="24"/>
                <w:highlight w:val="none"/>
              </w:rPr>
              <w:fldChar w:fldCharType="end"/>
            </w:r>
            <w:r>
              <w:rPr>
                <w:rFonts w:hint="eastAsia" w:ascii="Times New Roman" w:hAnsi="Times New Roman" w:eastAsia="宋体" w:cs="Times New Roman"/>
                <w:b w:val="0"/>
                <w:bCs/>
                <w:color w:val="auto"/>
                <w:sz w:val="24"/>
                <w:szCs w:val="24"/>
              </w:rPr>
              <w:t>无组织排放控制措施：</w:t>
            </w:r>
          </w:p>
          <w:p w14:paraId="159F94CB">
            <w:pPr>
              <w:keepNext w:val="0"/>
              <w:keepLines w:val="0"/>
              <w:pageBreakBefore w:val="0"/>
              <w:widowControl w:val="0"/>
              <w:kinsoku/>
              <w:wordWrap/>
              <w:overflowPunct/>
              <w:topLinePunct w:val="0"/>
              <w:bidi w:val="0"/>
              <w:adjustRightInd/>
              <w:snapToGrid/>
              <w:spacing w:line="360" w:lineRule="auto"/>
              <w:ind w:left="0" w:leftChars="0" w:firstLine="480" w:firstLineChars="200"/>
              <w:textAlignment w:val="auto"/>
              <w:rPr>
                <w:rFonts w:hint="eastAsia"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val="en-US" w:eastAsia="zh-CN"/>
              </w:rPr>
              <w:t>1）</w:t>
            </w:r>
            <w:r>
              <w:rPr>
                <w:rFonts w:hint="eastAsia" w:ascii="Times New Roman" w:hAnsi="Times New Roman" w:eastAsia="宋体" w:cs="Times New Roman"/>
                <w:color w:val="auto"/>
                <w:sz w:val="24"/>
                <w:szCs w:val="24"/>
                <w:lang w:eastAsia="zh-CN"/>
              </w:rPr>
              <w:t>漆</w:t>
            </w:r>
            <w:r>
              <w:rPr>
                <w:rFonts w:hint="eastAsia" w:ascii="Times New Roman" w:hAnsi="Times New Roman" w:eastAsia="宋体" w:cs="Times New Roman"/>
                <w:color w:val="auto"/>
                <w:sz w:val="24"/>
                <w:szCs w:val="24"/>
              </w:rPr>
              <w:t>料等</w:t>
            </w:r>
            <w:r>
              <w:rPr>
                <w:rFonts w:hint="eastAsia" w:ascii="Times New Roman" w:hAnsi="Times New Roman" w:eastAsia="宋体" w:cs="Times New Roman"/>
                <w:color w:val="auto"/>
                <w:sz w:val="24"/>
                <w:szCs w:val="24"/>
                <w:lang w:eastAsia="zh-CN"/>
              </w:rPr>
              <w:t>含</w:t>
            </w:r>
            <w:r>
              <w:rPr>
                <w:rFonts w:hint="eastAsia" w:ascii="Times New Roman" w:hAnsi="Times New Roman" w:eastAsia="宋体" w:cs="Times New Roman"/>
                <w:color w:val="auto"/>
                <w:sz w:val="24"/>
                <w:szCs w:val="24"/>
              </w:rPr>
              <w:t>VOCs物料应密闭储存</w:t>
            </w:r>
            <w:r>
              <w:rPr>
                <w:rFonts w:hint="eastAsia" w:ascii="Times New Roman" w:hAnsi="Times New Roman" w:eastAsia="宋体" w:cs="Times New Roman"/>
                <w:color w:val="auto"/>
                <w:sz w:val="24"/>
                <w:szCs w:val="24"/>
                <w:lang w:eastAsia="zh-CN"/>
              </w:rPr>
              <w:t>；</w:t>
            </w:r>
          </w:p>
          <w:p w14:paraId="54656DCD">
            <w:pPr>
              <w:keepNext w:val="0"/>
              <w:keepLines w:val="0"/>
              <w:pageBreakBefore w:val="0"/>
              <w:widowControl w:val="0"/>
              <w:kinsoku/>
              <w:wordWrap/>
              <w:overflowPunct/>
              <w:topLinePunct w:val="0"/>
              <w:bidi w:val="0"/>
              <w:adjustRightInd/>
              <w:snapToGrid/>
              <w:spacing w:line="360" w:lineRule="auto"/>
              <w:ind w:left="0" w:leftChars="0" w:firstLine="480" w:firstLineChars="200"/>
              <w:textAlignment w:val="auto"/>
              <w:rPr>
                <w:rFonts w:hint="eastAsia"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val="en-US" w:eastAsia="zh-CN"/>
              </w:rPr>
              <w:t>2）</w:t>
            </w:r>
            <w:r>
              <w:rPr>
                <w:rFonts w:hint="eastAsia" w:ascii="Times New Roman" w:hAnsi="Times New Roman" w:eastAsia="宋体" w:cs="Times New Roman"/>
                <w:color w:val="auto"/>
                <w:sz w:val="24"/>
                <w:szCs w:val="24"/>
              </w:rPr>
              <w:t>盛装</w:t>
            </w:r>
            <w:r>
              <w:rPr>
                <w:rFonts w:hint="eastAsia" w:ascii="Times New Roman" w:hAnsi="Times New Roman" w:eastAsia="宋体" w:cs="Times New Roman"/>
                <w:color w:val="auto"/>
                <w:sz w:val="24"/>
                <w:szCs w:val="24"/>
                <w:lang w:eastAsia="zh-CN"/>
              </w:rPr>
              <w:t>漆料</w:t>
            </w:r>
            <w:r>
              <w:rPr>
                <w:rFonts w:hint="eastAsia" w:ascii="Times New Roman" w:hAnsi="Times New Roman" w:eastAsia="宋体" w:cs="Times New Roman"/>
                <w:color w:val="auto"/>
                <w:sz w:val="24"/>
                <w:szCs w:val="24"/>
              </w:rPr>
              <w:t>的容器在非取用状态</w:t>
            </w:r>
            <w:r>
              <w:rPr>
                <w:rFonts w:hint="eastAsia" w:ascii="Times New Roman" w:hAnsi="Times New Roman" w:eastAsia="宋体" w:cs="Times New Roman"/>
                <w:color w:val="auto"/>
                <w:sz w:val="24"/>
                <w:szCs w:val="24"/>
                <w:lang w:eastAsia="zh-CN"/>
              </w:rPr>
              <w:t>或用尽</w:t>
            </w:r>
            <w:r>
              <w:rPr>
                <w:rFonts w:hint="eastAsia" w:ascii="Times New Roman" w:hAnsi="Times New Roman" w:eastAsia="宋体" w:cs="Times New Roman"/>
                <w:color w:val="auto"/>
                <w:sz w:val="24"/>
                <w:szCs w:val="24"/>
              </w:rPr>
              <w:t>时应</w:t>
            </w:r>
            <w:r>
              <w:rPr>
                <w:rFonts w:hint="eastAsia" w:ascii="Times New Roman" w:hAnsi="Times New Roman" w:eastAsia="宋体" w:cs="Times New Roman"/>
                <w:color w:val="auto"/>
                <w:sz w:val="24"/>
                <w:szCs w:val="24"/>
                <w:lang w:eastAsia="zh-CN"/>
              </w:rPr>
              <w:t>加盖盖严</w:t>
            </w:r>
            <w:r>
              <w:rPr>
                <w:rFonts w:hint="eastAsia" w:ascii="Times New Roman" w:hAnsi="Times New Roman" w:eastAsia="宋体" w:cs="Times New Roman"/>
                <w:color w:val="auto"/>
                <w:sz w:val="24"/>
                <w:szCs w:val="24"/>
              </w:rPr>
              <w:t>，保持密闭</w:t>
            </w:r>
            <w:r>
              <w:rPr>
                <w:rFonts w:hint="eastAsia" w:ascii="Times New Roman" w:hAnsi="Times New Roman" w:eastAsia="宋体" w:cs="Times New Roman"/>
                <w:color w:val="auto"/>
                <w:sz w:val="24"/>
                <w:szCs w:val="24"/>
                <w:lang w:eastAsia="zh-CN"/>
              </w:rPr>
              <w:t>；</w:t>
            </w:r>
          </w:p>
          <w:p w14:paraId="5E396A9B">
            <w:pPr>
              <w:keepNext w:val="0"/>
              <w:keepLines w:val="0"/>
              <w:pageBreakBefore w:val="0"/>
              <w:widowControl w:val="0"/>
              <w:kinsoku/>
              <w:wordWrap/>
              <w:overflowPunct/>
              <w:topLinePunct w:val="0"/>
              <w:bidi w:val="0"/>
              <w:adjustRightInd/>
              <w:snapToGrid/>
              <w:spacing w:line="360" w:lineRule="auto"/>
              <w:ind w:left="0" w:leftChars="0" w:firstLine="480" w:firstLineChars="200"/>
              <w:textAlignment w:val="auto"/>
              <w:rPr>
                <w:rFonts w:hint="eastAsia"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val="en-US" w:eastAsia="zh-CN"/>
              </w:rPr>
              <w:t>3）</w:t>
            </w:r>
            <w:r>
              <w:rPr>
                <w:rFonts w:hint="eastAsia" w:ascii="Times New Roman" w:hAnsi="Times New Roman" w:eastAsia="宋体" w:cs="Times New Roman"/>
                <w:color w:val="auto"/>
                <w:sz w:val="24"/>
                <w:szCs w:val="24"/>
              </w:rPr>
              <w:t>废</w:t>
            </w:r>
            <w:r>
              <w:rPr>
                <w:rFonts w:hint="eastAsia" w:ascii="Times New Roman" w:hAnsi="Times New Roman" w:eastAsia="宋体" w:cs="Times New Roman"/>
                <w:color w:val="auto"/>
                <w:sz w:val="24"/>
                <w:szCs w:val="24"/>
                <w:lang w:eastAsia="zh-CN"/>
              </w:rPr>
              <w:t>漆渣</w:t>
            </w:r>
            <w:r>
              <w:rPr>
                <w:rFonts w:hint="eastAsia" w:ascii="Times New Roman" w:hAnsi="Times New Roman" w:eastAsia="宋体" w:cs="Times New Roman"/>
                <w:color w:val="auto"/>
                <w:sz w:val="24"/>
                <w:szCs w:val="24"/>
              </w:rPr>
              <w:t>、废活性炭等含VOCs废料（渣、液）以及</w:t>
            </w:r>
            <w:r>
              <w:rPr>
                <w:rFonts w:hint="eastAsia" w:ascii="Times New Roman" w:hAnsi="Times New Roman" w:eastAsia="宋体" w:cs="Times New Roman"/>
                <w:color w:val="auto"/>
                <w:sz w:val="24"/>
                <w:szCs w:val="24"/>
                <w:lang w:eastAsia="zh-CN"/>
              </w:rPr>
              <w:t>废漆</w:t>
            </w:r>
            <w:r>
              <w:rPr>
                <w:rFonts w:hint="eastAsia"/>
                <w:color w:val="auto"/>
                <w:kern w:val="0"/>
                <w:sz w:val="24"/>
                <w:highlight w:val="none"/>
                <w:lang w:val="en-US" w:eastAsia="zh-CN"/>
              </w:rPr>
              <w:t>（胶）</w:t>
            </w:r>
            <w:r>
              <w:rPr>
                <w:rFonts w:hint="eastAsia" w:ascii="Times New Roman" w:hAnsi="Times New Roman" w:eastAsia="宋体" w:cs="Times New Roman"/>
                <w:color w:val="auto"/>
                <w:sz w:val="24"/>
                <w:szCs w:val="24"/>
                <w:lang w:eastAsia="zh-CN"/>
              </w:rPr>
              <w:t>桶</w:t>
            </w:r>
            <w:r>
              <w:rPr>
                <w:rFonts w:hint="eastAsia" w:ascii="Times New Roman" w:hAnsi="Times New Roman" w:eastAsia="宋体" w:cs="Times New Roman"/>
                <w:color w:val="auto"/>
                <w:sz w:val="24"/>
                <w:szCs w:val="24"/>
              </w:rPr>
              <w:t>等危险废物密封储存于</w:t>
            </w:r>
            <w:r>
              <w:rPr>
                <w:rFonts w:hint="eastAsia" w:ascii="Times New Roman" w:hAnsi="Times New Roman" w:eastAsia="宋体" w:cs="Times New Roman"/>
                <w:color w:val="auto"/>
                <w:sz w:val="24"/>
                <w:szCs w:val="24"/>
                <w:lang w:eastAsia="zh-CN"/>
              </w:rPr>
              <w:t>危险废物贮存点；</w:t>
            </w:r>
          </w:p>
          <w:p w14:paraId="63DDEE23">
            <w:pPr>
              <w:keepNext w:val="0"/>
              <w:keepLines w:val="0"/>
              <w:pageBreakBefore w:val="0"/>
              <w:widowControl w:val="0"/>
              <w:kinsoku/>
              <w:wordWrap/>
              <w:overflowPunct/>
              <w:topLinePunct w:val="0"/>
              <w:bidi w:val="0"/>
              <w:adjustRightInd/>
              <w:snapToGrid/>
              <w:spacing w:line="360" w:lineRule="auto"/>
              <w:ind w:firstLine="480" w:firstLineChars="200"/>
              <w:textAlignment w:val="auto"/>
              <w:rPr>
                <w:rFonts w:hint="eastAsia"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val="en-US" w:eastAsia="zh-CN"/>
              </w:rPr>
              <w:t>4）</w:t>
            </w:r>
            <w:r>
              <w:rPr>
                <w:rFonts w:hint="eastAsia" w:ascii="Times New Roman" w:hAnsi="Times New Roman" w:eastAsia="宋体" w:cs="Times New Roman"/>
                <w:color w:val="auto"/>
                <w:sz w:val="24"/>
                <w:szCs w:val="24"/>
                <w:lang w:eastAsia="zh-CN"/>
              </w:rPr>
              <w:t>漆料</w:t>
            </w:r>
            <w:r>
              <w:rPr>
                <w:rFonts w:hint="eastAsia" w:ascii="Times New Roman" w:hAnsi="Times New Roman" w:eastAsia="宋体" w:cs="Times New Roman"/>
                <w:color w:val="auto"/>
                <w:sz w:val="24"/>
                <w:szCs w:val="24"/>
              </w:rPr>
              <w:t>转移和输送应采用密闭容器等</w:t>
            </w:r>
            <w:r>
              <w:rPr>
                <w:rFonts w:hint="eastAsia" w:ascii="Times New Roman" w:hAnsi="Times New Roman" w:eastAsia="宋体" w:cs="Times New Roman"/>
                <w:color w:val="auto"/>
                <w:sz w:val="24"/>
                <w:szCs w:val="24"/>
                <w:lang w:eastAsia="zh-CN"/>
              </w:rPr>
              <w:t>；</w:t>
            </w:r>
          </w:p>
          <w:p w14:paraId="3BA5CA97">
            <w:pPr>
              <w:keepNext w:val="0"/>
              <w:keepLines w:val="0"/>
              <w:pageBreakBefore w:val="0"/>
              <w:widowControl w:val="0"/>
              <w:kinsoku/>
              <w:wordWrap/>
              <w:overflowPunct/>
              <w:topLinePunct w:val="0"/>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5）</w:t>
            </w:r>
            <w:r>
              <w:rPr>
                <w:rFonts w:hint="eastAsia" w:ascii="Times New Roman" w:hAnsi="Times New Roman" w:eastAsia="宋体" w:cs="Times New Roman"/>
                <w:color w:val="auto"/>
                <w:sz w:val="24"/>
                <w:szCs w:val="24"/>
                <w:lang w:eastAsia="zh-CN"/>
              </w:rPr>
              <w:t>本项目设置密闭生产车间，尽量减少有机废气的无组织排放。</w:t>
            </w:r>
          </w:p>
          <w:p w14:paraId="7679A840">
            <w:pPr>
              <w:pStyle w:val="18"/>
              <w:tabs>
                <w:tab w:val="center" w:pos="4059"/>
                <w:tab w:val="clear" w:pos="4153"/>
              </w:tabs>
              <w:ind w:firstLine="482" w:firstLineChars="200"/>
              <w:rPr>
                <w:rFonts w:hint="eastAsia" w:ascii="Times New Roman" w:hAnsi="Times New Roman" w:eastAsia="宋体" w:cs="Times New Roman"/>
                <w:b/>
                <w:color w:val="auto"/>
                <w:kern w:val="44"/>
                <w:sz w:val="24"/>
                <w:szCs w:val="44"/>
                <w:highlight w:val="none"/>
                <w:lang w:val="en-US" w:eastAsia="zh-CN"/>
              </w:rPr>
            </w:pPr>
            <w:r>
              <w:rPr>
                <w:rFonts w:hint="eastAsia" w:ascii="Times New Roman" w:hAnsi="Times New Roman" w:eastAsia="宋体" w:cs="Times New Roman"/>
                <w:b/>
                <w:color w:val="auto"/>
                <w:kern w:val="44"/>
                <w:sz w:val="24"/>
                <w:szCs w:val="44"/>
                <w:highlight w:val="none"/>
                <w:lang w:val="en-US" w:eastAsia="zh-CN"/>
              </w:rPr>
              <w:t>（4）废气处理措施可行性技术分析</w:t>
            </w:r>
          </w:p>
          <w:p w14:paraId="4550A633">
            <w:pPr>
              <w:ind w:firstLine="480" w:firstLineChars="200"/>
              <w:rPr>
                <w:color w:val="auto"/>
                <w:sz w:val="24"/>
                <w:szCs w:val="24"/>
              </w:rPr>
            </w:pPr>
            <w:r>
              <w:rPr>
                <w:rFonts w:hint="default" w:ascii="Times New Roman" w:hAnsi="Times New Roman" w:eastAsia="宋体" w:cs="Times New Roman"/>
                <w:color w:val="auto"/>
                <w:kern w:val="2"/>
                <w:sz w:val="24"/>
                <w:szCs w:val="21"/>
                <w:highlight w:val="none"/>
                <w:lang w:val="en-US" w:eastAsia="zh-CN" w:bidi="ar-SA"/>
              </w:rPr>
              <w:t>①</w:t>
            </w:r>
            <w:r>
              <w:rPr>
                <w:color w:val="auto"/>
                <w:sz w:val="24"/>
                <w:szCs w:val="24"/>
              </w:rPr>
              <w:t>木加工废气</w:t>
            </w:r>
          </w:p>
          <w:p w14:paraId="67A057B6">
            <w:pPr>
              <w:keepNext w:val="0"/>
              <w:keepLines w:val="0"/>
              <w:pageBreakBefore w:val="0"/>
              <w:widowControl w:val="0"/>
              <w:kinsoku/>
              <w:wordWrap/>
              <w:overflowPunct/>
              <w:topLinePunct w:val="0"/>
              <w:bidi w:val="0"/>
              <w:adjustRightInd/>
              <w:snapToGrid/>
              <w:spacing w:line="360" w:lineRule="auto"/>
              <w:ind w:left="0" w:leftChars="0" w:firstLine="480" w:firstLineChars="200"/>
              <w:textAlignment w:val="auto"/>
              <w:rPr>
                <w:rFonts w:hint="default"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val="en-US" w:eastAsia="zh-CN"/>
              </w:rPr>
              <w:t>1）</w:t>
            </w:r>
            <w:r>
              <w:rPr>
                <w:rFonts w:hint="eastAsia" w:ascii="Times New Roman" w:hAnsi="Times New Roman" w:eastAsia="宋体" w:cs="Times New Roman"/>
                <w:color w:val="auto"/>
                <w:sz w:val="24"/>
                <w:szCs w:val="24"/>
                <w:lang w:eastAsia="zh-CN"/>
              </w:rPr>
              <w:t>布袋除尘器除尘原理：</w:t>
            </w:r>
            <w:r>
              <w:rPr>
                <w:rFonts w:hint="default" w:ascii="Times New Roman" w:hAnsi="Times New Roman" w:eastAsia="宋体" w:cs="Times New Roman"/>
                <w:color w:val="auto"/>
                <w:sz w:val="24"/>
                <w:szCs w:val="24"/>
                <w:lang w:eastAsia="zh-CN"/>
              </w:rPr>
              <w:t>含尘气体由灰斗上部进风口进入后，在挡风板的作用下，气流向上流动，流速降低，部分大颗粒烟尘由于惯性力的作用被分离出来落入灰斗。含尘气体进入中箱体经滤袋的过滤净化，烟尘被阻留在滤袋的外表面，净化后的气体经滤袋口进入上箱体，由出风口排出。</w:t>
            </w:r>
          </w:p>
          <w:p w14:paraId="1422B67D">
            <w:pPr>
              <w:keepNext w:val="0"/>
              <w:keepLines w:val="0"/>
              <w:pageBreakBefore w:val="0"/>
              <w:widowControl w:val="0"/>
              <w:kinsoku/>
              <w:wordWrap/>
              <w:overflowPunct/>
              <w:topLinePunct w:val="0"/>
              <w:bidi w:val="0"/>
              <w:adjustRightInd/>
              <w:snapToGrid/>
              <w:spacing w:line="360" w:lineRule="auto"/>
              <w:ind w:left="0" w:leftChars="0" w:firstLine="480" w:firstLineChars="200"/>
              <w:textAlignment w:val="auto"/>
              <w:rPr>
                <w:rFonts w:hint="eastAsia"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布袋除尘器有重力沉降作用：含尘气体进入布袋除尘器时，颗粒大、比重大的粉尘，在重力作用下沉降下来，这和沉降室的作用完全相同。布袋除尘器有筛滤作用：当粉尘的颗粒直径较滤料的纤维间的空隙或滤料上粉尘间的间隙大时，粉尘在气流通过时即被阻留下来，此即称为筛滤作用。当滤料上积存粉尘增多时，这种作用就比较显著起来。布袋除尘器有惯性力作用：气流通过滤料时，可绕纤维而过，而较大的粉尘颗粒在惯性力的作用下，仍按原方向运动，遂与滤料相撞而被捕获。布袋除尘器有热运动作用：质轻体小的粉尘</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eastAsia="zh-CN"/>
              </w:rPr>
              <w:t>1微米以下</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eastAsia="zh-CN"/>
              </w:rPr>
              <w:t>，随气流运动，非常接近于气流流线，能绕过纤维。但它们在受到</w:t>
            </w:r>
            <w:r>
              <w:rPr>
                <w:rFonts w:hint="eastAsia" w:ascii="Times New Roman" w:hAnsi="Times New Roman" w:eastAsia="宋体" w:cs="Times New Roman"/>
                <w:color w:val="auto"/>
                <w:sz w:val="24"/>
                <w:szCs w:val="24"/>
                <w:lang w:eastAsia="zh-CN"/>
              </w:rPr>
              <w:t>做</w:t>
            </w:r>
            <w:r>
              <w:rPr>
                <w:rFonts w:hint="default" w:ascii="Times New Roman" w:hAnsi="Times New Roman" w:eastAsia="宋体" w:cs="Times New Roman"/>
                <w:color w:val="auto"/>
                <w:sz w:val="24"/>
                <w:szCs w:val="24"/>
                <w:lang w:eastAsia="zh-CN"/>
              </w:rPr>
              <w:t>热运动</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eastAsia="zh-CN"/>
              </w:rPr>
              <w:t>即布朗运动</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eastAsia="zh-CN"/>
              </w:rPr>
              <w:t>的气体分子的碰撞之后，便改变原来的运动方向，这就增加了粉尘与纤维的接触机会，使粉尘能够被捕获。当滤料纤维直径越细，空隙率越小、其捕获率就越高，所以越有利于除尘。布袋除尘器属于锅炉烟气常见的治理措施，具有较好的除尘效果</w:t>
            </w:r>
            <w:r>
              <w:rPr>
                <w:rFonts w:hint="eastAsia" w:ascii="Times New Roman" w:hAnsi="Times New Roman" w:eastAsia="宋体" w:cs="Times New Roman"/>
                <w:color w:val="auto"/>
                <w:sz w:val="24"/>
                <w:szCs w:val="24"/>
                <w:lang w:eastAsia="zh-CN"/>
              </w:rPr>
              <w:t>。</w:t>
            </w:r>
          </w:p>
          <w:p w14:paraId="300E23E8">
            <w:pPr>
              <w:keepNext w:val="0"/>
              <w:keepLines w:val="0"/>
              <w:pageBreakBefore w:val="0"/>
              <w:widowControl w:val="0"/>
              <w:kinsoku/>
              <w:wordWrap/>
              <w:overflowPunct/>
              <w:topLinePunct w:val="0"/>
              <w:bidi w:val="0"/>
              <w:adjustRightInd/>
              <w:snapToGrid/>
              <w:spacing w:line="360" w:lineRule="auto"/>
              <w:ind w:left="0" w:leftChars="0" w:firstLine="480" w:firstLineChars="200"/>
              <w:textAlignment w:val="auto"/>
              <w:rPr>
                <w:rFonts w:hint="eastAsia"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lang w:eastAsia="zh-CN"/>
              </w:rPr>
              <w:t>布袋式除尘器是除尘效率较高的一种除尘设备，在试验性装置中除尘效率可达到99.5%，本次取除尘效率为99%。</w:t>
            </w:r>
          </w:p>
          <w:p w14:paraId="271C568B">
            <w:pPr>
              <w:keepNext w:val="0"/>
              <w:keepLines w:val="0"/>
              <w:pageBreakBefore w:val="0"/>
              <w:widowControl w:val="0"/>
              <w:kinsoku/>
              <w:wordWrap/>
              <w:overflowPunct/>
              <w:topLinePunct w:val="0"/>
              <w:bidi w:val="0"/>
              <w:adjustRightInd/>
              <w:snapToGrid/>
              <w:spacing w:line="360" w:lineRule="auto"/>
              <w:jc w:val="center"/>
              <w:textAlignment w:val="auto"/>
              <w:rPr>
                <w:color w:val="auto"/>
              </w:rPr>
            </w:pPr>
            <w:r>
              <w:rPr>
                <w:color w:val="auto"/>
              </w:rPr>
              <w:drawing>
                <wp:inline distT="0" distB="0" distL="114300" distR="114300">
                  <wp:extent cx="3864610" cy="3735705"/>
                  <wp:effectExtent l="0" t="0" r="2540" b="17145"/>
                  <wp:docPr id="5" name="图片 26"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6" descr="图片1"/>
                          <pic:cNvPicPr>
                            <a:picLocks noChangeAspect="1"/>
                          </pic:cNvPicPr>
                        </pic:nvPicPr>
                        <pic:blipFill>
                          <a:blip r:embed="rId17">
                            <a:grayscl/>
                          </a:blip>
                          <a:stretch>
                            <a:fillRect/>
                          </a:stretch>
                        </pic:blipFill>
                        <pic:spPr>
                          <a:xfrm>
                            <a:off x="0" y="0"/>
                            <a:ext cx="3864610" cy="3735705"/>
                          </a:xfrm>
                          <a:prstGeom prst="rect">
                            <a:avLst/>
                          </a:prstGeom>
                          <a:noFill/>
                          <a:ln>
                            <a:noFill/>
                          </a:ln>
                        </pic:spPr>
                      </pic:pic>
                    </a:graphicData>
                  </a:graphic>
                </wp:inline>
              </w:drawing>
            </w:r>
          </w:p>
          <w:p w14:paraId="2F1FC259">
            <w:pPr>
              <w:pStyle w:val="75"/>
              <w:numPr>
                <w:ilvl w:val="0"/>
                <w:numId w:val="21"/>
              </w:numPr>
              <w:ind w:left="0" w:leftChars="0" w:firstLine="0" w:firstLineChars="0"/>
              <w:jc w:val="center"/>
              <w:rPr>
                <w:rFonts w:hint="eastAsia"/>
                <w:color w:val="auto"/>
                <w:lang w:eastAsia="zh-CN"/>
              </w:rPr>
            </w:pPr>
            <w:r>
              <w:rPr>
                <w:rFonts w:hint="eastAsia" w:ascii="Times New Roman" w:hAnsi="Times New Roman" w:cs="Times New Roman"/>
                <w:b/>
                <w:bCs/>
                <w:color w:val="auto"/>
                <w:sz w:val="21"/>
                <w:szCs w:val="21"/>
                <w:highlight w:val="none"/>
                <w:lang w:val="en-US" w:eastAsia="zh-CN"/>
              </w:rPr>
              <w:t xml:space="preserve">  </w:t>
            </w:r>
            <w:r>
              <w:rPr>
                <w:rFonts w:hint="eastAsia" w:ascii="Times New Roman" w:hAnsi="Times New Roman" w:cs="Times New Roman"/>
                <w:b/>
                <w:bCs/>
                <w:color w:val="auto"/>
                <w:sz w:val="21"/>
                <w:szCs w:val="21"/>
                <w:highlight w:val="none"/>
                <w:lang w:eastAsia="zh-CN"/>
              </w:rPr>
              <w:t>布袋除尘器工作原理</w:t>
            </w:r>
            <w:r>
              <w:rPr>
                <w:rFonts w:ascii="Times New Roman" w:hAnsi="Times New Roman" w:cs="Times New Roman"/>
                <w:b/>
                <w:bCs/>
                <w:color w:val="auto"/>
                <w:sz w:val="21"/>
                <w:szCs w:val="21"/>
                <w:highlight w:val="none"/>
                <w:lang w:eastAsia="zh-CN"/>
              </w:rPr>
              <w:t>图</w:t>
            </w:r>
          </w:p>
          <w:p w14:paraId="10F4F930">
            <w:pPr>
              <w:keepNext w:val="0"/>
              <w:keepLines w:val="0"/>
              <w:pageBreakBefore w:val="0"/>
              <w:widowControl w:val="0"/>
              <w:kinsoku/>
              <w:wordWrap/>
              <w:overflowPunct/>
              <w:topLinePunct w:val="0"/>
              <w:bidi w:val="0"/>
              <w:adjustRightInd/>
              <w:snapToGrid/>
              <w:spacing w:line="360" w:lineRule="auto"/>
              <w:jc w:val="center"/>
              <w:textAlignment w:val="auto"/>
              <w:rPr>
                <w:rFonts w:hint="eastAsia"/>
                <w:color w:val="auto"/>
                <w:lang w:eastAsia="zh-CN"/>
              </w:rPr>
            </w:pPr>
          </w:p>
          <w:p w14:paraId="36029458">
            <w:pPr>
              <w:ind w:firstLine="480" w:firstLineChars="200"/>
              <w:rPr>
                <w:color w:val="auto"/>
                <w:sz w:val="24"/>
                <w:szCs w:val="24"/>
              </w:rPr>
            </w:pPr>
            <w:r>
              <w:rPr>
                <w:rFonts w:hint="eastAsia" w:ascii="Times New Roman" w:hAnsi="Times New Roman" w:cs="Times New Roman"/>
                <w:color w:val="auto"/>
                <w:sz w:val="24"/>
                <w:szCs w:val="24"/>
                <w:lang w:val="en-US" w:eastAsia="zh-CN"/>
              </w:rPr>
              <w:t>2）</w:t>
            </w:r>
            <w:r>
              <w:rPr>
                <w:color w:val="auto"/>
                <w:sz w:val="24"/>
                <w:szCs w:val="24"/>
              </w:rPr>
              <w:t>可行性分析</w:t>
            </w:r>
          </w:p>
          <w:p w14:paraId="2A8FA1A3">
            <w:pPr>
              <w:ind w:firstLine="480" w:firstLineChars="200"/>
              <w:rPr>
                <w:color w:val="auto"/>
                <w:sz w:val="24"/>
                <w:szCs w:val="24"/>
              </w:rPr>
            </w:pPr>
            <w:r>
              <w:rPr>
                <w:color w:val="auto"/>
                <w:sz w:val="24"/>
                <w:szCs w:val="24"/>
              </w:rPr>
              <w:t>废气经处理后，颗粒物排放浓度与排放速率均能够满足</w:t>
            </w:r>
            <w:r>
              <w:rPr>
                <w:rFonts w:hint="eastAsia"/>
                <w:color w:val="auto"/>
                <w:kern w:val="0"/>
                <w:sz w:val="24"/>
                <w:szCs w:val="24"/>
              </w:rPr>
              <w:t>《大气污染物综合排放标准》（GB16297-1996）表2中二级标准限值及无组织排放监控浓度限值（排放浓度≤120 mg/m</w:t>
            </w:r>
            <w:r>
              <w:rPr>
                <w:rFonts w:hint="eastAsia"/>
                <w:color w:val="auto"/>
                <w:kern w:val="0"/>
                <w:sz w:val="24"/>
                <w:szCs w:val="24"/>
                <w:vertAlign w:val="superscript"/>
              </w:rPr>
              <w:t>3</w:t>
            </w:r>
            <w:r>
              <w:rPr>
                <w:rFonts w:hint="eastAsia"/>
                <w:color w:val="auto"/>
                <w:kern w:val="0"/>
                <w:sz w:val="24"/>
                <w:szCs w:val="24"/>
              </w:rPr>
              <w:t>、排放速率≤3.5</w:t>
            </w:r>
            <w:r>
              <w:rPr>
                <w:color w:val="auto"/>
                <w:sz w:val="24"/>
                <w:szCs w:val="24"/>
              </w:rPr>
              <w:t>kg/h</w:t>
            </w:r>
            <w:r>
              <w:rPr>
                <w:rFonts w:hint="eastAsia"/>
                <w:color w:val="auto"/>
                <w:kern w:val="0"/>
                <w:sz w:val="24"/>
                <w:szCs w:val="24"/>
              </w:rPr>
              <w:t>）</w:t>
            </w:r>
            <w:r>
              <w:rPr>
                <w:bCs/>
                <w:color w:val="auto"/>
                <w:sz w:val="24"/>
                <w:szCs w:val="24"/>
              </w:rPr>
              <w:t>。</w:t>
            </w:r>
          </w:p>
          <w:p w14:paraId="39FBB1CA">
            <w:pPr>
              <w:ind w:firstLine="480" w:firstLineChars="200"/>
              <w:rPr>
                <w:color w:val="auto"/>
                <w:kern w:val="0"/>
                <w:sz w:val="24"/>
                <w:szCs w:val="24"/>
              </w:rPr>
            </w:pPr>
            <w:r>
              <w:rPr>
                <w:rFonts w:hint="eastAsia"/>
                <w:color w:val="auto"/>
                <w:sz w:val="24"/>
                <w:szCs w:val="24"/>
                <w:lang w:eastAsia="zh-CN"/>
              </w:rPr>
              <w:t>因暂无本行业的</w:t>
            </w:r>
            <w:r>
              <w:rPr>
                <w:color w:val="auto"/>
                <w:sz w:val="24"/>
                <w:szCs w:val="24"/>
              </w:rPr>
              <w:t>排污许可证申请与核发技术规范</w:t>
            </w:r>
            <w:r>
              <w:rPr>
                <w:rFonts w:hint="eastAsia"/>
                <w:color w:val="auto"/>
                <w:sz w:val="24"/>
                <w:szCs w:val="24"/>
                <w:lang w:eastAsia="zh-CN"/>
              </w:rPr>
              <w:t>，</w:t>
            </w:r>
            <w:r>
              <w:rPr>
                <w:rFonts w:hint="eastAsia"/>
                <w:color w:val="auto"/>
                <w:sz w:val="24"/>
                <w:szCs w:val="24"/>
              </w:rPr>
              <w:t>参考</w:t>
            </w:r>
            <w:r>
              <w:rPr>
                <w:color w:val="auto"/>
                <w:sz w:val="24"/>
                <w:szCs w:val="24"/>
              </w:rPr>
              <w:t>《排污许可证申请与核发技术规范</w:t>
            </w:r>
            <w:r>
              <w:rPr>
                <w:rFonts w:hint="eastAsia"/>
                <w:color w:val="auto"/>
                <w:sz w:val="24"/>
                <w:szCs w:val="24"/>
                <w:lang w:val="en-US" w:eastAsia="zh-CN"/>
              </w:rPr>
              <w:t xml:space="preserve"> </w:t>
            </w:r>
            <w:r>
              <w:rPr>
                <w:color w:val="auto"/>
                <w:sz w:val="24"/>
                <w:szCs w:val="24"/>
              </w:rPr>
              <w:t>人造板工业》（HJ 1032-2019）中附录A污染防治可行技术中表A.1废气污染防治可行技术推荐表，</w:t>
            </w:r>
            <w:r>
              <w:rPr>
                <w:rFonts w:hint="eastAsia"/>
                <w:color w:val="auto"/>
                <w:sz w:val="24"/>
                <w:szCs w:val="24"/>
                <w:lang w:eastAsia="zh-CN"/>
              </w:rPr>
              <w:t>“</w:t>
            </w:r>
            <w:r>
              <w:rPr>
                <w:color w:val="auto"/>
                <w:sz w:val="24"/>
                <w:szCs w:val="24"/>
              </w:rPr>
              <w:t>砂光、锯切、分选</w:t>
            </w:r>
            <w:r>
              <w:rPr>
                <w:rFonts w:hint="eastAsia"/>
                <w:color w:val="auto"/>
                <w:sz w:val="24"/>
                <w:szCs w:val="24"/>
                <w:lang w:eastAsia="zh-CN"/>
              </w:rPr>
              <w:t>”</w:t>
            </w:r>
            <w:r>
              <w:rPr>
                <w:color w:val="auto"/>
                <w:sz w:val="24"/>
                <w:szCs w:val="24"/>
              </w:rPr>
              <w:t>工段颗粒物可采用</w:t>
            </w:r>
            <w:r>
              <w:rPr>
                <w:rFonts w:hint="eastAsia"/>
                <w:color w:val="auto"/>
                <w:sz w:val="24"/>
                <w:szCs w:val="24"/>
                <w:lang w:eastAsia="zh-CN"/>
              </w:rPr>
              <w:t>“</w:t>
            </w:r>
            <w:r>
              <w:rPr>
                <w:color w:val="auto"/>
                <w:sz w:val="24"/>
                <w:szCs w:val="24"/>
              </w:rPr>
              <w:t>旋风分离、布袋除尘</w:t>
            </w:r>
            <w:r>
              <w:rPr>
                <w:rFonts w:hint="eastAsia"/>
                <w:color w:val="auto"/>
                <w:sz w:val="24"/>
                <w:szCs w:val="24"/>
                <w:lang w:eastAsia="zh-CN"/>
              </w:rPr>
              <w:t>”</w:t>
            </w:r>
            <w:r>
              <w:rPr>
                <w:color w:val="auto"/>
                <w:sz w:val="24"/>
                <w:szCs w:val="24"/>
              </w:rPr>
              <w:t>技术，因此本项目采用布袋除尘技术</w:t>
            </w:r>
            <w:r>
              <w:rPr>
                <w:rFonts w:hint="eastAsia"/>
                <w:color w:val="auto"/>
                <w:sz w:val="24"/>
                <w:szCs w:val="24"/>
              </w:rPr>
              <w:t>是</w:t>
            </w:r>
            <w:r>
              <w:rPr>
                <w:color w:val="auto"/>
                <w:sz w:val="24"/>
                <w:szCs w:val="24"/>
              </w:rPr>
              <w:t>可行的</w:t>
            </w:r>
            <w:r>
              <w:rPr>
                <w:color w:val="auto"/>
                <w:kern w:val="0"/>
                <w:sz w:val="24"/>
                <w:szCs w:val="24"/>
              </w:rPr>
              <w:t>。</w:t>
            </w:r>
          </w:p>
          <w:p w14:paraId="7E1A2022">
            <w:pPr>
              <w:ind w:firstLine="480" w:firstLineChars="200"/>
              <w:rPr>
                <w:rFonts w:hint="eastAsia" w:eastAsia="宋体"/>
                <w:color w:val="auto"/>
                <w:sz w:val="24"/>
                <w:szCs w:val="24"/>
                <w:lang w:eastAsia="zh-CN"/>
              </w:rPr>
            </w:pPr>
            <w:r>
              <w:rPr>
                <w:color w:val="auto"/>
                <w:sz w:val="24"/>
                <w:highlight w:val="none"/>
              </w:rPr>
              <w:fldChar w:fldCharType="begin"/>
            </w:r>
            <w:r>
              <w:rPr>
                <w:color w:val="auto"/>
                <w:sz w:val="24"/>
                <w:highlight w:val="none"/>
              </w:rPr>
              <w:instrText xml:space="preserve"> = 2 \* GB3 \* MERGEFORMAT </w:instrText>
            </w:r>
            <w:r>
              <w:rPr>
                <w:color w:val="auto"/>
                <w:sz w:val="24"/>
                <w:highlight w:val="none"/>
              </w:rPr>
              <w:fldChar w:fldCharType="separate"/>
            </w:r>
            <w:r>
              <w:rPr>
                <w:color w:val="auto"/>
                <w:sz w:val="24"/>
                <w:highlight w:val="none"/>
              </w:rPr>
              <w:t>②</w:t>
            </w:r>
            <w:r>
              <w:rPr>
                <w:color w:val="auto"/>
                <w:sz w:val="24"/>
                <w:highlight w:val="none"/>
              </w:rPr>
              <w:fldChar w:fldCharType="end"/>
            </w:r>
            <w:r>
              <w:rPr>
                <w:rFonts w:hint="eastAsia"/>
                <w:color w:val="auto"/>
                <w:sz w:val="24"/>
                <w:szCs w:val="24"/>
              </w:rPr>
              <w:t>辊涂、</w:t>
            </w:r>
            <w:r>
              <w:rPr>
                <w:rFonts w:hint="eastAsia"/>
                <w:color w:val="auto"/>
                <w:sz w:val="24"/>
                <w:szCs w:val="24"/>
                <w:lang w:val="en-US" w:eastAsia="zh-CN"/>
              </w:rPr>
              <w:t>紫外光</w:t>
            </w:r>
            <w:r>
              <w:rPr>
                <w:rFonts w:hint="eastAsia"/>
                <w:color w:val="auto"/>
                <w:sz w:val="24"/>
                <w:szCs w:val="24"/>
              </w:rPr>
              <w:t>固化工艺产生的</w:t>
            </w:r>
            <w:r>
              <w:rPr>
                <w:rFonts w:hint="eastAsia"/>
                <w:color w:val="auto"/>
                <w:sz w:val="24"/>
                <w:szCs w:val="24"/>
                <w:lang w:eastAsia="zh-CN"/>
              </w:rPr>
              <w:t>挥发性有机物</w:t>
            </w:r>
          </w:p>
          <w:p w14:paraId="00C14AEB">
            <w:pPr>
              <w:ind w:firstLine="480" w:firstLineChars="200"/>
              <w:rPr>
                <w:color w:val="auto"/>
                <w:sz w:val="24"/>
                <w:szCs w:val="24"/>
              </w:rPr>
            </w:pPr>
            <w:r>
              <w:rPr>
                <w:rFonts w:hint="eastAsia"/>
                <w:color w:val="auto"/>
                <w:sz w:val="24"/>
                <w:szCs w:val="24"/>
                <w:lang w:val="en-US" w:eastAsia="zh-CN"/>
              </w:rPr>
              <w:t>1）</w:t>
            </w:r>
            <w:r>
              <w:rPr>
                <w:color w:val="auto"/>
                <w:sz w:val="24"/>
                <w:szCs w:val="24"/>
              </w:rPr>
              <w:t>活性炭吸附原理：当气体分子运动到固体表面时，由于气体分子与固体表面分子之间相互作用，使气体分子暂时停留在固体表面，形成气体分子在固体表面浓度增大，这种现象称为气体在固体表面上的吸附。被吸附物质称为吸附质，吸附质的固体物质称为吸附剂。而活性炭吸附法是以活性炭作为吸附剂，把废气中有机物</w:t>
            </w:r>
            <w:r>
              <w:rPr>
                <w:rFonts w:hint="eastAsia"/>
                <w:color w:val="auto"/>
                <w:sz w:val="24"/>
                <w:szCs w:val="24"/>
                <w:lang w:eastAsia="zh-CN"/>
              </w:rPr>
              <w:t>组分</w:t>
            </w:r>
            <w:r>
              <w:rPr>
                <w:color w:val="auto"/>
                <w:sz w:val="24"/>
                <w:szCs w:val="24"/>
              </w:rPr>
              <w:t>吸附到固相表面进行吸附浓缩，从而达到净化废气的方法。</w:t>
            </w:r>
          </w:p>
          <w:p w14:paraId="11DE428B">
            <w:pPr>
              <w:ind w:firstLine="480" w:firstLineChars="200"/>
              <w:rPr>
                <w:color w:val="auto"/>
                <w:sz w:val="24"/>
                <w:szCs w:val="24"/>
              </w:rPr>
            </w:pPr>
            <w:r>
              <w:rPr>
                <w:color w:val="auto"/>
                <w:sz w:val="24"/>
                <w:szCs w:val="24"/>
              </w:rPr>
              <w:t>活性炭是一种具有非极性表面、疏水性、亲有机物的吸附剂。所以活性炭常常被用来吸附回收空气中的有机溶剂和恶臭物质，它可以根据需要制成不同性状和粒度，如粉末活性炭、颗粒活性炭及柱状活性炭。活性炭是由各种含碳物质（如木材、泥煤、果核、椰壳等原料）在高温下炭化后，再用水蒸气或化学药品（如氯化锌、氯化锰、氯化钙和磷酸等）进行活化处理，然后制成的孔隙十分丰富的吸附剂，其孔径平均为（10～40）×10</w:t>
            </w:r>
            <w:r>
              <w:rPr>
                <w:color w:val="auto"/>
                <w:sz w:val="24"/>
                <w:szCs w:val="24"/>
                <w:vertAlign w:val="superscript"/>
              </w:rPr>
              <w:t>-8</w:t>
            </w:r>
            <w:r>
              <w:rPr>
                <w:color w:val="auto"/>
                <w:sz w:val="24"/>
                <w:szCs w:val="24"/>
              </w:rPr>
              <w:t>cm，比表面积一般在600～1500m</w:t>
            </w:r>
            <w:r>
              <w:rPr>
                <w:color w:val="auto"/>
                <w:sz w:val="24"/>
                <w:szCs w:val="24"/>
                <w:vertAlign w:val="superscript"/>
              </w:rPr>
              <w:t>2</w:t>
            </w:r>
            <w:r>
              <w:rPr>
                <w:color w:val="auto"/>
                <w:sz w:val="24"/>
                <w:szCs w:val="24"/>
              </w:rPr>
              <w:t>/g范围内，具有优良的吸附能力。</w:t>
            </w:r>
          </w:p>
          <w:p w14:paraId="5E6F41C5">
            <w:pPr>
              <w:ind w:firstLine="480" w:firstLineChars="200"/>
              <w:rPr>
                <w:color w:val="auto"/>
                <w:sz w:val="24"/>
                <w:szCs w:val="24"/>
              </w:rPr>
            </w:pPr>
            <w:r>
              <w:rPr>
                <w:color w:val="auto"/>
                <w:sz w:val="24"/>
                <w:szCs w:val="24"/>
              </w:rPr>
              <w:t>本项目所用活性炭主要技术性能特点：</w:t>
            </w:r>
            <w:r>
              <w:rPr>
                <w:rFonts w:hint="default" w:ascii="Times New Roman" w:hAnsi="Times New Roman" w:cs="Times New Roman"/>
                <w:color w:val="auto"/>
                <w:sz w:val="24"/>
                <w:szCs w:val="24"/>
                <w:lang w:val="en-US" w:eastAsia="zh-CN"/>
              </w:rPr>
              <w:t>1.</w:t>
            </w:r>
            <w:r>
              <w:rPr>
                <w:rFonts w:hint="default" w:ascii="Times New Roman" w:hAnsi="Times New Roman" w:cs="Times New Roman"/>
                <w:color w:val="auto"/>
                <w:sz w:val="24"/>
                <w:szCs w:val="24"/>
              </w:rPr>
              <w:t>处理有机废气，</w:t>
            </w:r>
            <w:r>
              <w:rPr>
                <w:rFonts w:hint="eastAsia" w:ascii="Times New Roman" w:hAnsi="Times New Roman" w:cs="Times New Roman"/>
                <w:color w:val="auto"/>
                <w:sz w:val="24"/>
                <w:szCs w:val="24"/>
                <w:lang w:eastAsia="zh-CN"/>
              </w:rPr>
              <w:t>本项目二级活性炭吸附装置</w:t>
            </w:r>
            <w:r>
              <w:rPr>
                <w:rFonts w:hint="default" w:ascii="Times New Roman" w:hAnsi="Times New Roman" w:cs="Times New Roman"/>
                <w:color w:val="auto"/>
                <w:sz w:val="24"/>
                <w:szCs w:val="24"/>
              </w:rPr>
              <w:t>净化效率达到</w:t>
            </w:r>
            <w:r>
              <w:rPr>
                <w:rFonts w:hint="eastAsia" w:ascii="Times New Roman" w:hAnsi="Times New Roman" w:cs="Times New Roman"/>
                <w:color w:val="auto"/>
                <w:sz w:val="24"/>
                <w:szCs w:val="24"/>
                <w:lang w:val="en-US" w:eastAsia="zh-CN"/>
              </w:rPr>
              <w:t>5</w:t>
            </w:r>
            <w:r>
              <w:rPr>
                <w:rFonts w:hint="default" w:ascii="Times New Roman" w:hAnsi="Times New Roman" w:cs="Times New Roman"/>
                <w:color w:val="auto"/>
                <w:sz w:val="24"/>
                <w:szCs w:val="24"/>
              </w:rPr>
              <w:t>0%；</w:t>
            </w:r>
            <w:r>
              <w:rPr>
                <w:rFonts w:hint="default" w:ascii="Times New Roman" w:hAnsi="Times New Roman" w:cs="Times New Roman"/>
                <w:color w:val="auto"/>
                <w:sz w:val="24"/>
                <w:szCs w:val="24"/>
                <w:lang w:val="en-US" w:eastAsia="zh-CN"/>
              </w:rPr>
              <w:t>2.</w:t>
            </w:r>
            <w:r>
              <w:rPr>
                <w:rFonts w:hint="default" w:ascii="Times New Roman" w:hAnsi="Times New Roman" w:cs="Times New Roman"/>
                <w:color w:val="auto"/>
                <w:sz w:val="24"/>
                <w:szCs w:val="24"/>
              </w:rPr>
              <w:t>碘值&gt;800mg/g</w:t>
            </w:r>
            <w:r>
              <w:rPr>
                <w:rFonts w:hint="eastAsia" w:ascii="Times New Roman" w:hAnsi="Times New Roman" w:cs="Times New Roman"/>
                <w:color w:val="auto"/>
                <w:sz w:val="24"/>
                <w:szCs w:val="24"/>
                <w:lang w:eastAsia="zh-CN"/>
              </w:rPr>
              <w:t>的颗粒型活性炭</w:t>
            </w:r>
            <w:r>
              <w:rPr>
                <w:rFonts w:hint="default" w:ascii="Times New Roman" w:hAnsi="Times New Roman" w:cs="Times New Roman"/>
                <w:color w:val="auto"/>
                <w:sz w:val="24"/>
                <w:szCs w:val="24"/>
              </w:rPr>
              <w:t>。</w:t>
            </w:r>
            <w:r>
              <w:rPr>
                <w:color w:val="auto"/>
                <w:sz w:val="24"/>
                <w:szCs w:val="24"/>
              </w:rPr>
              <w:t>废气通过</w:t>
            </w:r>
            <w:r>
              <w:rPr>
                <w:rFonts w:hint="eastAsia" w:ascii="Times New Roman" w:hAnsi="Times New Roman" w:eastAsia="宋体" w:cs="Times New Roman"/>
                <w:color w:val="auto"/>
                <w:sz w:val="24"/>
                <w:szCs w:val="24"/>
                <w:highlight w:val="none"/>
                <w:lang w:eastAsia="zh-CN"/>
              </w:rPr>
              <w:t>带有自动控制系统的</w:t>
            </w:r>
            <w:r>
              <w:rPr>
                <w:color w:val="auto"/>
                <w:sz w:val="24"/>
                <w:szCs w:val="24"/>
              </w:rPr>
              <w:t>活性炭吸附层时，大部分的吸附质在吸附层内被吸附，随着吸附时间的延续，活性炭的吸附能力将下降，其有效部分将越来越薄，当活性炭饱和度达到80%，此时需对活性炭进行更换。</w:t>
            </w:r>
          </w:p>
          <w:p w14:paraId="29BB406C">
            <w:pPr>
              <w:ind w:firstLine="480" w:firstLineChars="200"/>
              <w:rPr>
                <w:color w:val="auto"/>
                <w:sz w:val="24"/>
                <w:szCs w:val="24"/>
              </w:rPr>
            </w:pPr>
            <w:r>
              <w:rPr>
                <w:color w:val="auto"/>
                <w:sz w:val="24"/>
                <w:szCs w:val="24"/>
              </w:rPr>
              <w:t>项目</w:t>
            </w:r>
            <w:r>
              <w:rPr>
                <w:rFonts w:hint="eastAsia"/>
                <w:color w:val="auto"/>
                <w:sz w:val="24"/>
                <w:szCs w:val="24"/>
              </w:rPr>
              <w:t>辊涂、</w:t>
            </w:r>
            <w:r>
              <w:rPr>
                <w:rFonts w:hint="eastAsia"/>
                <w:color w:val="auto"/>
                <w:sz w:val="24"/>
                <w:szCs w:val="24"/>
                <w:lang w:val="en-US" w:eastAsia="zh-CN"/>
              </w:rPr>
              <w:t>紫外光</w:t>
            </w:r>
            <w:r>
              <w:rPr>
                <w:rFonts w:hint="eastAsia"/>
                <w:color w:val="auto"/>
                <w:sz w:val="24"/>
                <w:szCs w:val="24"/>
              </w:rPr>
              <w:t>固化</w:t>
            </w:r>
            <w:r>
              <w:rPr>
                <w:color w:val="auto"/>
                <w:sz w:val="24"/>
                <w:szCs w:val="24"/>
              </w:rPr>
              <w:t>废气采用</w:t>
            </w:r>
            <w:r>
              <w:rPr>
                <w:rFonts w:hint="eastAsia" w:ascii="Times New Roman" w:hAnsi="Times New Roman" w:eastAsia="宋体" w:cs="Times New Roman"/>
                <w:color w:val="auto"/>
                <w:sz w:val="24"/>
                <w:szCs w:val="24"/>
                <w:highlight w:val="none"/>
                <w:lang w:eastAsia="zh-CN"/>
              </w:rPr>
              <w:t>带有自动控制系统的</w:t>
            </w:r>
            <w:r>
              <w:rPr>
                <w:color w:val="auto"/>
                <w:sz w:val="24"/>
                <w:szCs w:val="24"/>
              </w:rPr>
              <w:t>二级活性炭吸附的处理措施</w:t>
            </w:r>
            <w:r>
              <w:rPr>
                <w:rFonts w:hint="eastAsia"/>
                <w:color w:val="auto"/>
                <w:sz w:val="24"/>
                <w:szCs w:val="24"/>
                <w:lang w:eastAsia="zh-CN"/>
              </w:rPr>
              <w:t>，满足</w:t>
            </w:r>
            <w:r>
              <w:rPr>
                <w:rFonts w:hint="default" w:ascii="Times New Roman" w:hAnsi="Times New Roman" w:cs="Times New Roman"/>
                <w:color w:val="auto"/>
                <w:sz w:val="24"/>
                <w:szCs w:val="24"/>
                <w:highlight w:val="none"/>
                <w:lang w:val="en-US" w:eastAsia="zh-CN"/>
              </w:rPr>
              <w:t>2025</w:t>
            </w:r>
            <w:r>
              <w:rPr>
                <w:rFonts w:hint="eastAsia"/>
                <w:color w:val="auto"/>
                <w:sz w:val="24"/>
                <w:szCs w:val="24"/>
                <w:highlight w:val="none"/>
                <w:lang w:val="en-US" w:eastAsia="zh-CN"/>
              </w:rPr>
              <w:t>年</w:t>
            </w:r>
            <w:r>
              <w:rPr>
                <w:rFonts w:hint="eastAsia"/>
                <w:color w:val="auto"/>
                <w:sz w:val="24"/>
                <w:szCs w:val="24"/>
                <w:highlight w:val="none"/>
                <w:lang w:eastAsia="zh-CN"/>
              </w:rPr>
              <w:t>《国家污染防治技术指导目录》（环办科财</w:t>
            </w:r>
            <w:r>
              <w:rPr>
                <w:rFonts w:hint="default" w:ascii="Times New Roman" w:hAnsi="Times New Roman" w:cs="Times New Roman"/>
                <w:color w:val="auto"/>
                <w:sz w:val="24"/>
                <w:szCs w:val="24"/>
                <w:highlight w:val="none"/>
                <w:lang w:eastAsia="zh-CN"/>
              </w:rPr>
              <w:t>函〔202</w:t>
            </w:r>
            <w:r>
              <w:rPr>
                <w:rFonts w:hint="default" w:ascii="Times New Roman" w:hAnsi="Times New Roman" w:cs="Times New Roman"/>
                <w:color w:val="auto"/>
                <w:sz w:val="24"/>
                <w:szCs w:val="24"/>
                <w:highlight w:val="none"/>
                <w:lang w:val="en-US" w:eastAsia="zh-CN"/>
              </w:rPr>
              <w:t>5</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197</w:t>
            </w:r>
            <w:r>
              <w:rPr>
                <w:rFonts w:hint="default" w:ascii="Times New Roman" w:hAnsi="Times New Roman" w:cs="Times New Roman"/>
                <w:color w:val="auto"/>
                <w:sz w:val="24"/>
                <w:szCs w:val="24"/>
                <w:highlight w:val="none"/>
              </w:rPr>
              <w:t>号</w:t>
            </w:r>
            <w:r>
              <w:rPr>
                <w:rFonts w:hint="eastAsia"/>
                <w:color w:val="auto"/>
                <w:sz w:val="24"/>
                <w:szCs w:val="24"/>
                <w:highlight w:val="none"/>
                <w:lang w:eastAsia="zh-CN"/>
              </w:rPr>
              <w:t>）中要求：“无控制系统或控制系统未实现对设施关键参数进行调节控制并记录的燃烧、冷凝、吸附-脱附、吸收类VOCs治理技术”等建设运行管理中不规范的技术，视同低效类技术。</w:t>
            </w:r>
            <w:r>
              <w:rPr>
                <w:rFonts w:hint="eastAsia"/>
                <w:color w:val="auto"/>
                <w:sz w:val="24"/>
                <w:szCs w:val="24"/>
                <w:lang w:eastAsia="zh-CN"/>
              </w:rPr>
              <w:t>因此</w:t>
            </w:r>
            <w:r>
              <w:rPr>
                <w:color w:val="auto"/>
                <w:sz w:val="24"/>
                <w:szCs w:val="24"/>
              </w:rPr>
              <w:t>可有效去除</w:t>
            </w:r>
            <w:r>
              <w:rPr>
                <w:rFonts w:hint="eastAsia"/>
                <w:color w:val="auto"/>
                <w:sz w:val="24"/>
                <w:szCs w:val="24"/>
                <w:lang w:eastAsia="zh-CN"/>
              </w:rPr>
              <w:t>挥发性有机物。</w:t>
            </w:r>
          </w:p>
          <w:p w14:paraId="62281C34">
            <w:pPr>
              <w:ind w:firstLine="480" w:firstLineChars="200"/>
              <w:rPr>
                <w:color w:val="auto"/>
                <w:sz w:val="24"/>
                <w:szCs w:val="24"/>
              </w:rPr>
            </w:pPr>
            <w:r>
              <w:rPr>
                <w:rFonts w:hint="eastAsia" w:ascii="Times New Roman" w:hAnsi="Times New Roman" w:cs="Times New Roman"/>
                <w:color w:val="auto"/>
                <w:sz w:val="24"/>
                <w:szCs w:val="24"/>
                <w:lang w:val="en-US" w:eastAsia="zh-CN"/>
              </w:rPr>
              <w:t>2）</w:t>
            </w:r>
            <w:r>
              <w:rPr>
                <w:color w:val="auto"/>
                <w:sz w:val="24"/>
                <w:szCs w:val="24"/>
              </w:rPr>
              <w:t>可行性分析</w:t>
            </w:r>
          </w:p>
          <w:p w14:paraId="6B769248">
            <w:pPr>
              <w:ind w:firstLine="480" w:firstLineChars="200"/>
              <w:rPr>
                <w:color w:val="auto"/>
                <w:sz w:val="24"/>
                <w:szCs w:val="24"/>
              </w:rPr>
            </w:pPr>
            <w:r>
              <w:rPr>
                <w:color w:val="auto"/>
                <w:sz w:val="24"/>
                <w:szCs w:val="24"/>
              </w:rPr>
              <w:t>废气经处理后，排气筒</w:t>
            </w:r>
            <w:r>
              <w:rPr>
                <w:rFonts w:hint="eastAsia"/>
                <w:color w:val="auto"/>
                <w:sz w:val="24"/>
                <w:szCs w:val="24"/>
                <w:lang w:eastAsia="zh-CN"/>
              </w:rPr>
              <w:t>DA00</w:t>
            </w:r>
            <w:r>
              <w:rPr>
                <w:rFonts w:hint="eastAsia"/>
                <w:color w:val="auto"/>
                <w:sz w:val="24"/>
                <w:szCs w:val="24"/>
                <w:lang w:val="en-US" w:eastAsia="zh-CN"/>
              </w:rPr>
              <w:t>5挥发性有机物</w:t>
            </w:r>
            <w:r>
              <w:rPr>
                <w:color w:val="auto"/>
                <w:sz w:val="24"/>
                <w:szCs w:val="24"/>
              </w:rPr>
              <w:t>排放量为0.</w:t>
            </w:r>
            <w:r>
              <w:rPr>
                <w:rFonts w:hint="eastAsia"/>
                <w:color w:val="auto"/>
                <w:sz w:val="24"/>
                <w:szCs w:val="24"/>
                <w:lang w:val="en-US" w:eastAsia="zh-CN"/>
              </w:rPr>
              <w:t>26</w:t>
            </w:r>
            <w:r>
              <w:rPr>
                <w:color w:val="auto"/>
                <w:sz w:val="24"/>
                <w:szCs w:val="24"/>
              </w:rPr>
              <w:t>t/a，排放速率为</w:t>
            </w:r>
            <w:r>
              <w:rPr>
                <w:rFonts w:hint="eastAsia"/>
                <w:color w:val="auto"/>
                <w:sz w:val="24"/>
                <w:szCs w:val="24"/>
              </w:rPr>
              <w:t>0.</w:t>
            </w:r>
            <w:r>
              <w:rPr>
                <w:rFonts w:hint="eastAsia"/>
                <w:color w:val="auto"/>
                <w:sz w:val="24"/>
                <w:szCs w:val="24"/>
                <w:lang w:val="en-US" w:eastAsia="zh-CN"/>
              </w:rPr>
              <w:t>088</w:t>
            </w:r>
            <w:r>
              <w:rPr>
                <w:color w:val="auto"/>
                <w:sz w:val="24"/>
                <w:szCs w:val="24"/>
              </w:rPr>
              <w:t>kg/h</w:t>
            </w:r>
            <w:r>
              <w:rPr>
                <w:rFonts w:hint="eastAsia"/>
                <w:color w:val="auto"/>
                <w:sz w:val="24"/>
                <w:szCs w:val="24"/>
                <w:lang w:eastAsia="zh-CN"/>
              </w:rPr>
              <w:t>，</w:t>
            </w:r>
            <w:r>
              <w:rPr>
                <w:color w:val="auto"/>
                <w:sz w:val="24"/>
                <w:szCs w:val="24"/>
              </w:rPr>
              <w:t>排放浓度为</w:t>
            </w:r>
            <w:r>
              <w:rPr>
                <w:rFonts w:hint="eastAsia"/>
                <w:color w:val="auto"/>
                <w:sz w:val="24"/>
                <w:szCs w:val="24"/>
                <w:lang w:val="en-US" w:eastAsia="zh-CN"/>
              </w:rPr>
              <w:t>6.73</w:t>
            </w:r>
            <w:r>
              <w:rPr>
                <w:color w:val="auto"/>
                <w:sz w:val="24"/>
                <w:szCs w:val="24"/>
              </w:rPr>
              <w:t>mg/m</w:t>
            </w:r>
            <w:r>
              <w:rPr>
                <w:color w:val="auto"/>
                <w:sz w:val="24"/>
                <w:szCs w:val="24"/>
                <w:vertAlign w:val="superscript"/>
              </w:rPr>
              <w:t>3</w:t>
            </w:r>
            <w:r>
              <w:rPr>
                <w:color w:val="auto"/>
                <w:sz w:val="24"/>
                <w:szCs w:val="24"/>
              </w:rPr>
              <w:t>。其排放浓度与排放速率均能够满足</w:t>
            </w:r>
            <w:r>
              <w:rPr>
                <w:rFonts w:ascii="Times New Roman" w:hAnsi="Times New Roman" w:cs="Times New Roman"/>
                <w:color w:val="auto"/>
                <w:sz w:val="24"/>
                <w:szCs w:val="24"/>
              </w:rPr>
              <w:t>《工业涂装工序挥发性有机物排放标准》（DB21/3160-2019）中</w:t>
            </w:r>
            <w:r>
              <w:rPr>
                <w:rFonts w:hint="eastAsia" w:ascii="Times New Roman" w:hAnsi="Times New Roman" w:cs="Times New Roman"/>
                <w:color w:val="auto"/>
                <w:sz w:val="24"/>
                <w:szCs w:val="24"/>
                <w:lang w:eastAsia="zh-CN"/>
              </w:rPr>
              <w:t>“涉及工业涂装工序的其他行业”</w:t>
            </w:r>
            <w:r>
              <w:rPr>
                <w:rFonts w:ascii="Times New Roman" w:hAnsi="Times New Roman" w:cs="Times New Roman"/>
                <w:color w:val="auto"/>
                <w:sz w:val="24"/>
                <w:szCs w:val="24"/>
              </w:rPr>
              <w:t>排放浓度限值</w:t>
            </w:r>
            <w:r>
              <w:rPr>
                <w:rFonts w:hint="eastAsia"/>
                <w:color w:val="auto"/>
                <w:kern w:val="0"/>
                <w:sz w:val="24"/>
                <w:szCs w:val="24"/>
              </w:rPr>
              <w:t>（</w:t>
            </w:r>
            <w:r>
              <w:rPr>
                <w:rFonts w:hint="eastAsia"/>
                <w:color w:val="auto"/>
                <w:kern w:val="0"/>
                <w:sz w:val="24"/>
                <w:szCs w:val="24"/>
                <w:lang w:val="en-US" w:eastAsia="zh-CN"/>
              </w:rPr>
              <w:t>TVOC</w:t>
            </w:r>
            <w:r>
              <w:rPr>
                <w:rFonts w:hint="eastAsia"/>
                <w:color w:val="auto"/>
                <w:kern w:val="0"/>
                <w:sz w:val="24"/>
                <w:szCs w:val="24"/>
              </w:rPr>
              <w:t>排放浓度≤</w:t>
            </w:r>
            <w:r>
              <w:rPr>
                <w:rFonts w:hint="eastAsia"/>
                <w:color w:val="auto"/>
                <w:kern w:val="0"/>
                <w:sz w:val="24"/>
                <w:szCs w:val="24"/>
                <w:lang w:val="en-US" w:eastAsia="zh-CN"/>
              </w:rPr>
              <w:t>7</w:t>
            </w:r>
            <w:r>
              <w:rPr>
                <w:rFonts w:hint="eastAsia"/>
                <w:color w:val="auto"/>
                <w:kern w:val="0"/>
                <w:sz w:val="24"/>
                <w:szCs w:val="24"/>
              </w:rPr>
              <w:t>0 mg/m</w:t>
            </w:r>
            <w:r>
              <w:rPr>
                <w:rFonts w:hint="eastAsia"/>
                <w:color w:val="auto"/>
                <w:kern w:val="0"/>
                <w:sz w:val="24"/>
                <w:szCs w:val="24"/>
                <w:vertAlign w:val="superscript"/>
              </w:rPr>
              <w:t>3</w:t>
            </w:r>
            <w:r>
              <w:rPr>
                <w:rFonts w:hint="eastAsia"/>
                <w:color w:val="auto"/>
                <w:kern w:val="0"/>
                <w:sz w:val="24"/>
                <w:szCs w:val="24"/>
              </w:rPr>
              <w:t>、排放速率≤</w:t>
            </w:r>
            <w:r>
              <w:rPr>
                <w:rFonts w:hint="eastAsia"/>
                <w:color w:val="auto"/>
                <w:kern w:val="0"/>
                <w:sz w:val="24"/>
                <w:szCs w:val="24"/>
                <w:lang w:val="en-US" w:eastAsia="zh-CN"/>
              </w:rPr>
              <w:t>3.6</w:t>
            </w:r>
            <w:r>
              <w:rPr>
                <w:color w:val="auto"/>
                <w:sz w:val="24"/>
                <w:szCs w:val="24"/>
              </w:rPr>
              <w:t>kg/h</w:t>
            </w:r>
            <w:r>
              <w:rPr>
                <w:rFonts w:hint="eastAsia"/>
                <w:color w:val="auto"/>
                <w:sz w:val="24"/>
                <w:szCs w:val="24"/>
                <w:lang w:eastAsia="zh-CN"/>
              </w:rPr>
              <w:t>；</w:t>
            </w:r>
            <w:r>
              <w:rPr>
                <w:rFonts w:hint="eastAsia"/>
                <w:color w:val="auto"/>
                <w:sz w:val="24"/>
                <w:szCs w:val="24"/>
                <w:lang w:val="en-US" w:eastAsia="zh-CN"/>
              </w:rPr>
              <w:t>NMHC</w:t>
            </w:r>
            <w:r>
              <w:rPr>
                <w:rFonts w:hint="eastAsia"/>
                <w:color w:val="auto"/>
                <w:kern w:val="0"/>
                <w:sz w:val="24"/>
                <w:szCs w:val="24"/>
              </w:rPr>
              <w:t>排放浓度≤</w:t>
            </w:r>
            <w:r>
              <w:rPr>
                <w:rFonts w:hint="eastAsia"/>
                <w:color w:val="auto"/>
                <w:kern w:val="0"/>
                <w:sz w:val="24"/>
                <w:szCs w:val="24"/>
                <w:lang w:val="en-US" w:eastAsia="zh-CN"/>
              </w:rPr>
              <w:t>60</w:t>
            </w:r>
            <w:r>
              <w:rPr>
                <w:rFonts w:hint="eastAsia"/>
                <w:color w:val="auto"/>
                <w:kern w:val="0"/>
                <w:sz w:val="24"/>
                <w:szCs w:val="24"/>
              </w:rPr>
              <w:t xml:space="preserve"> mg/m</w:t>
            </w:r>
            <w:r>
              <w:rPr>
                <w:rFonts w:hint="eastAsia"/>
                <w:color w:val="auto"/>
                <w:kern w:val="0"/>
                <w:sz w:val="24"/>
                <w:szCs w:val="24"/>
                <w:vertAlign w:val="superscript"/>
              </w:rPr>
              <w:t>3</w:t>
            </w:r>
            <w:r>
              <w:rPr>
                <w:rFonts w:hint="eastAsia"/>
                <w:color w:val="auto"/>
                <w:kern w:val="0"/>
                <w:sz w:val="24"/>
                <w:szCs w:val="24"/>
              </w:rPr>
              <w:t>、排放速率≤</w:t>
            </w:r>
            <w:r>
              <w:rPr>
                <w:rFonts w:hint="eastAsia"/>
                <w:color w:val="auto"/>
                <w:kern w:val="0"/>
                <w:sz w:val="24"/>
                <w:szCs w:val="24"/>
                <w:lang w:val="en-US" w:eastAsia="zh-CN"/>
              </w:rPr>
              <w:t>2.7</w:t>
            </w:r>
            <w:r>
              <w:rPr>
                <w:color w:val="auto"/>
                <w:sz w:val="24"/>
                <w:szCs w:val="24"/>
              </w:rPr>
              <w:t>kg/h</w:t>
            </w:r>
            <w:r>
              <w:rPr>
                <w:rFonts w:hint="eastAsia"/>
                <w:color w:val="auto"/>
                <w:kern w:val="0"/>
                <w:sz w:val="24"/>
                <w:szCs w:val="24"/>
              </w:rPr>
              <w:t>）</w:t>
            </w:r>
            <w:r>
              <w:rPr>
                <w:bCs/>
                <w:color w:val="auto"/>
                <w:sz w:val="24"/>
                <w:szCs w:val="24"/>
              </w:rPr>
              <w:t>。</w:t>
            </w:r>
          </w:p>
          <w:p w14:paraId="6FB4E0A0">
            <w:pPr>
              <w:tabs>
                <w:tab w:val="left" w:pos="5277"/>
              </w:tabs>
              <w:autoSpaceDE w:val="0"/>
              <w:autoSpaceDN w:val="0"/>
              <w:ind w:firstLine="480" w:firstLineChars="200"/>
              <w:rPr>
                <w:color w:val="auto"/>
                <w:kern w:val="0"/>
                <w:sz w:val="24"/>
                <w:szCs w:val="24"/>
              </w:rPr>
            </w:pPr>
            <w:r>
              <w:rPr>
                <w:rFonts w:hint="eastAsia"/>
                <w:color w:val="auto"/>
                <w:sz w:val="24"/>
                <w:szCs w:val="24"/>
                <w:lang w:eastAsia="zh-CN"/>
              </w:rPr>
              <w:t>参考</w:t>
            </w:r>
            <w:r>
              <w:rPr>
                <w:rFonts w:hint="eastAsia"/>
                <w:color w:val="auto"/>
                <w:sz w:val="24"/>
                <w:szCs w:val="24"/>
              </w:rPr>
              <w:t xml:space="preserve">《排污许可证申请与核发技术规范 </w:t>
            </w:r>
            <w:r>
              <w:rPr>
                <w:rFonts w:ascii="Times New Roman" w:hAnsi="Times New Roman" w:cs="Times New Roman"/>
                <w:color w:val="auto"/>
                <w:sz w:val="24"/>
                <w:szCs w:val="24"/>
              </w:rPr>
              <w:t>家具制造工业</w:t>
            </w:r>
            <w:r>
              <w:rPr>
                <w:rFonts w:hint="eastAsia"/>
                <w:color w:val="auto"/>
                <w:sz w:val="24"/>
                <w:szCs w:val="24"/>
              </w:rPr>
              <w:t>》（</w:t>
            </w:r>
            <w:r>
              <w:rPr>
                <w:rFonts w:ascii="Times New Roman" w:hAnsi="Times New Roman" w:cs="Times New Roman"/>
                <w:color w:val="auto"/>
                <w:sz w:val="24"/>
                <w:szCs w:val="24"/>
              </w:rPr>
              <w:t>HJ1027-2019</w:t>
            </w:r>
            <w:r>
              <w:rPr>
                <w:rFonts w:hint="eastAsia"/>
                <w:color w:val="auto"/>
                <w:sz w:val="24"/>
                <w:szCs w:val="24"/>
              </w:rPr>
              <w:t>），</w:t>
            </w:r>
            <w:r>
              <w:rPr>
                <w:rFonts w:hint="eastAsia"/>
                <w:color w:val="auto"/>
                <w:sz w:val="24"/>
                <w:szCs w:val="24"/>
                <w:lang w:eastAsia="zh-CN"/>
              </w:rPr>
              <w:t>表</w:t>
            </w:r>
            <w:r>
              <w:rPr>
                <w:rFonts w:hint="eastAsia"/>
                <w:color w:val="auto"/>
                <w:sz w:val="24"/>
                <w:szCs w:val="24"/>
                <w:lang w:val="en-US" w:eastAsia="zh-CN"/>
              </w:rPr>
              <w:t>3重点管理排污单位废气产污环节、污染物种类、排放形式及污染防治设施一览表</w:t>
            </w:r>
            <w:r>
              <w:rPr>
                <w:color w:val="auto"/>
                <w:sz w:val="24"/>
                <w:szCs w:val="24"/>
              </w:rPr>
              <w:t>，</w:t>
            </w:r>
            <w:r>
              <w:rPr>
                <w:rFonts w:hint="eastAsia"/>
                <w:color w:val="auto"/>
                <w:sz w:val="24"/>
                <w:szCs w:val="24"/>
                <w:lang w:eastAsia="zh-CN"/>
              </w:rPr>
              <w:t>木制家具涂装车间喷漆线</w:t>
            </w:r>
            <w:r>
              <w:rPr>
                <w:rFonts w:hint="eastAsia"/>
                <w:color w:val="auto"/>
                <w:sz w:val="24"/>
                <w:szCs w:val="24"/>
              </w:rPr>
              <w:t>挥发性有机物</w:t>
            </w:r>
            <w:r>
              <w:rPr>
                <w:color w:val="auto"/>
                <w:sz w:val="24"/>
                <w:szCs w:val="24"/>
              </w:rPr>
              <w:t>可采用</w:t>
            </w:r>
            <w:r>
              <w:rPr>
                <w:rFonts w:hint="eastAsia"/>
                <w:color w:val="auto"/>
                <w:sz w:val="24"/>
                <w:szCs w:val="24"/>
                <w:lang w:eastAsia="zh-CN"/>
              </w:rPr>
              <w:t>“集气设施或密闭车间、干式过滤棉/过滤箱、旋风除尘、活性炭吸附、浓缩+燃烧/催化氧化、其他”</w:t>
            </w:r>
            <w:r>
              <w:rPr>
                <w:color w:val="auto"/>
                <w:sz w:val="24"/>
                <w:szCs w:val="24"/>
              </w:rPr>
              <w:t>技术，因此本项目采用</w:t>
            </w:r>
            <w:r>
              <w:rPr>
                <w:rFonts w:hint="eastAsia" w:ascii="Times New Roman" w:hAnsi="Times New Roman" w:eastAsia="宋体" w:cs="Times New Roman"/>
                <w:color w:val="auto"/>
                <w:sz w:val="24"/>
                <w:szCs w:val="24"/>
                <w:highlight w:val="none"/>
                <w:lang w:eastAsia="zh-CN"/>
              </w:rPr>
              <w:t>带有自动控制系统的</w:t>
            </w:r>
            <w:r>
              <w:rPr>
                <w:color w:val="auto"/>
                <w:sz w:val="24"/>
                <w:szCs w:val="24"/>
              </w:rPr>
              <w:t>二级活性炭吸附技术</w:t>
            </w:r>
            <w:r>
              <w:rPr>
                <w:rFonts w:hint="eastAsia"/>
                <w:color w:val="auto"/>
                <w:sz w:val="24"/>
                <w:szCs w:val="24"/>
              </w:rPr>
              <w:t>是</w:t>
            </w:r>
            <w:r>
              <w:rPr>
                <w:color w:val="auto"/>
                <w:sz w:val="24"/>
                <w:szCs w:val="24"/>
              </w:rPr>
              <w:t>可行的</w:t>
            </w:r>
            <w:r>
              <w:rPr>
                <w:color w:val="auto"/>
                <w:kern w:val="0"/>
                <w:sz w:val="24"/>
                <w:szCs w:val="24"/>
              </w:rPr>
              <w:t>。</w:t>
            </w:r>
          </w:p>
          <w:p w14:paraId="644A03EB">
            <w:pPr>
              <w:pStyle w:val="18"/>
              <w:tabs>
                <w:tab w:val="center" w:pos="4059"/>
                <w:tab w:val="clear" w:pos="4153"/>
              </w:tabs>
              <w:ind w:firstLine="480" w:firstLineChars="200"/>
              <w:rPr>
                <w:rFonts w:hint="eastAsia" w:eastAsia="宋体"/>
                <w:b/>
                <w:color w:val="auto"/>
                <w:kern w:val="44"/>
                <w:sz w:val="24"/>
                <w:szCs w:val="44"/>
                <w:highlight w:val="none"/>
                <w:lang w:val="en-US" w:eastAsia="zh-CN"/>
              </w:rPr>
            </w:pPr>
            <w:r>
              <w:rPr>
                <w:rFonts w:hint="eastAsia" w:ascii="Times New Roman" w:hAnsi="Times New Roman" w:eastAsia="宋体" w:cs="Times New Roman"/>
                <w:color w:val="auto"/>
                <w:sz w:val="24"/>
                <w:highlight w:val="none"/>
                <w:lang w:val="en-US" w:eastAsia="zh-CN"/>
              </w:rPr>
              <w:fldChar w:fldCharType="begin"/>
            </w:r>
            <w:r>
              <w:rPr>
                <w:rFonts w:hint="eastAsia" w:ascii="Times New Roman" w:hAnsi="Times New Roman" w:eastAsia="宋体" w:cs="Times New Roman"/>
                <w:color w:val="auto"/>
                <w:sz w:val="24"/>
                <w:highlight w:val="none"/>
                <w:lang w:val="en-US" w:eastAsia="zh-CN"/>
              </w:rPr>
              <w:instrText xml:space="preserve"> = 3 \* GB3 \* MERGEFORMAT </w:instrText>
            </w:r>
            <w:r>
              <w:rPr>
                <w:rFonts w:hint="eastAsia" w:ascii="Times New Roman" w:hAnsi="Times New Roman" w:eastAsia="宋体" w:cs="Times New Roman"/>
                <w:color w:val="auto"/>
                <w:sz w:val="24"/>
                <w:highlight w:val="none"/>
                <w:lang w:val="en-US" w:eastAsia="zh-CN"/>
              </w:rPr>
              <w:fldChar w:fldCharType="separate"/>
            </w:r>
            <w:r>
              <w:rPr>
                <w:rFonts w:ascii="Times New Roman" w:hAnsi="Times New Roman" w:eastAsia="宋体" w:cs="Times New Roman"/>
                <w:color w:val="auto"/>
                <w:sz w:val="24"/>
                <w:highlight w:val="none"/>
              </w:rPr>
              <w:t>③</w:t>
            </w:r>
            <w:r>
              <w:rPr>
                <w:rFonts w:hint="eastAsia" w:ascii="Times New Roman" w:hAnsi="Times New Roman" w:eastAsia="宋体" w:cs="Times New Roman"/>
                <w:color w:val="auto"/>
                <w:sz w:val="24"/>
                <w:highlight w:val="none"/>
                <w:lang w:val="en-US" w:eastAsia="zh-CN"/>
              </w:rPr>
              <w:fldChar w:fldCharType="end"/>
            </w:r>
            <w:r>
              <w:rPr>
                <w:rFonts w:hint="eastAsia" w:eastAsia="宋体"/>
                <w:color w:val="auto"/>
                <w:sz w:val="24"/>
                <w:szCs w:val="24"/>
                <w:lang w:eastAsia="zh-CN"/>
              </w:rPr>
              <w:t>排气筒高度</w:t>
            </w:r>
            <w:r>
              <w:rPr>
                <w:rFonts w:hint="eastAsia"/>
                <w:color w:val="auto"/>
                <w:sz w:val="24"/>
                <w:highlight w:val="none"/>
              </w:rPr>
              <w:t>合理性分析</w:t>
            </w:r>
          </w:p>
          <w:p w14:paraId="5867D16F">
            <w:pPr>
              <w:pStyle w:val="18"/>
              <w:tabs>
                <w:tab w:val="center" w:pos="4059"/>
                <w:tab w:val="clear" w:pos="4153"/>
              </w:tabs>
              <w:ind w:firstLine="480" w:firstLineChars="200"/>
              <w:rPr>
                <w:rFonts w:hint="eastAsia"/>
                <w:b/>
                <w:color w:val="auto"/>
                <w:kern w:val="44"/>
                <w:sz w:val="24"/>
                <w:szCs w:val="44"/>
                <w:highlight w:val="none"/>
                <w:lang w:val="en-US" w:eastAsia="zh-CN"/>
              </w:rPr>
            </w:pPr>
            <w:r>
              <w:rPr>
                <w:rFonts w:hint="eastAsia"/>
                <w:color w:val="auto"/>
                <w:sz w:val="24"/>
                <w:highlight w:val="none"/>
              </w:rPr>
              <w:t>根据</w:t>
            </w:r>
            <w:r>
              <w:rPr>
                <w:rFonts w:ascii="Times New Roman" w:hAnsi="Times New Roman" w:cs="Times New Roman"/>
                <w:color w:val="auto"/>
                <w:sz w:val="24"/>
                <w:szCs w:val="24"/>
              </w:rPr>
              <w:t>《工业涂装工序挥发性有机物排放标准》（DB21/3160-2019）</w:t>
            </w:r>
            <w:r>
              <w:rPr>
                <w:rFonts w:hint="eastAsia"/>
                <w:color w:val="auto"/>
                <w:sz w:val="24"/>
                <w:highlight w:val="none"/>
              </w:rPr>
              <w:t>中“</w:t>
            </w:r>
            <w:r>
              <w:rPr>
                <w:rFonts w:hint="eastAsia"/>
                <w:color w:val="auto"/>
                <w:sz w:val="24"/>
                <w:highlight w:val="none"/>
                <w:lang w:val="en-US" w:eastAsia="zh-CN"/>
              </w:rPr>
              <w:t>4.3.2</w:t>
            </w:r>
            <w:r>
              <w:rPr>
                <w:rFonts w:hint="eastAsia"/>
                <w:color w:val="auto"/>
                <w:sz w:val="24"/>
                <w:highlight w:val="none"/>
              </w:rPr>
              <w:t xml:space="preserve"> 排气筒高度应高出周边200m半径范围内的建筑5m以上。若不能达到该要求高度，排气筒的最高允许排放速率应按表2或其内插法、外推法计算出的最高允许排放速率限值的50%执行”，</w:t>
            </w:r>
            <w:r>
              <w:rPr>
                <w:rFonts w:hint="eastAsia"/>
                <w:color w:val="auto"/>
                <w:sz w:val="24"/>
                <w:highlight w:val="none"/>
                <w:lang w:eastAsia="zh-CN"/>
              </w:rPr>
              <w:t>以及</w:t>
            </w:r>
            <w:r>
              <w:rPr>
                <w:rFonts w:ascii="Times New Roman" w:hAnsi="Times New Roman" w:cs="Times New Roman"/>
                <w:color w:val="auto"/>
                <w:sz w:val="24"/>
                <w:szCs w:val="24"/>
              </w:rPr>
              <w:t>《大气污染物综合排放标准》（GB16297-1996）</w:t>
            </w:r>
            <w:r>
              <w:rPr>
                <w:rFonts w:hint="eastAsia" w:ascii="Times New Roman" w:hAnsi="Times New Roman" w:cs="Times New Roman"/>
                <w:color w:val="auto"/>
                <w:sz w:val="24"/>
                <w:szCs w:val="24"/>
                <w:lang w:eastAsia="zh-CN"/>
              </w:rPr>
              <w:t>中“7.1 排气筒高度除须遵守表列排放速率标准值外，还应高出周围200m半径范围的建筑5m以上，不能达到该要求的排气筒，应按其高度对应的表列排放速率标准值严格50%执行”，</w:t>
            </w:r>
            <w:r>
              <w:rPr>
                <w:rFonts w:hint="eastAsia"/>
                <w:color w:val="auto"/>
                <w:sz w:val="24"/>
                <w:highlight w:val="none"/>
              </w:rPr>
              <w:t>本项目</w:t>
            </w:r>
            <w:r>
              <w:rPr>
                <w:rFonts w:hint="eastAsia"/>
                <w:color w:val="auto"/>
                <w:sz w:val="24"/>
                <w:highlight w:val="none"/>
                <w:lang w:val="en-US" w:eastAsia="zh-CN"/>
              </w:rPr>
              <w:t>DA001-DA005共5根</w:t>
            </w:r>
            <w:r>
              <w:rPr>
                <w:rFonts w:hint="eastAsia"/>
                <w:color w:val="auto"/>
                <w:sz w:val="24"/>
                <w:highlight w:val="none"/>
              </w:rPr>
              <w:t>排气筒</w:t>
            </w:r>
            <w:r>
              <w:rPr>
                <w:rFonts w:hint="eastAsia"/>
                <w:color w:val="auto"/>
                <w:sz w:val="24"/>
                <w:highlight w:val="none"/>
                <w:lang w:eastAsia="zh-CN"/>
              </w:rPr>
              <w:t>，</w:t>
            </w:r>
            <w:r>
              <w:rPr>
                <w:rFonts w:hint="eastAsia"/>
                <w:color w:val="auto"/>
                <w:sz w:val="24"/>
                <w:highlight w:val="none"/>
              </w:rPr>
              <w:t>高度</w:t>
            </w:r>
            <w:r>
              <w:rPr>
                <w:rFonts w:hint="eastAsia"/>
                <w:color w:val="auto"/>
                <w:sz w:val="24"/>
                <w:highlight w:val="none"/>
                <w:lang w:eastAsia="zh-CN"/>
              </w:rPr>
              <w:t>均为</w:t>
            </w:r>
            <w:r>
              <w:rPr>
                <w:rFonts w:hint="eastAsia"/>
                <w:color w:val="auto"/>
                <w:sz w:val="24"/>
                <w:highlight w:val="none"/>
                <w:lang w:val="en-US" w:eastAsia="zh-CN"/>
              </w:rPr>
              <w:t>15</w:t>
            </w:r>
            <w:r>
              <w:rPr>
                <w:rFonts w:hint="eastAsia"/>
                <w:color w:val="auto"/>
                <w:sz w:val="24"/>
                <w:highlight w:val="none"/>
              </w:rPr>
              <w:t>m，且周围建筑物最高为</w:t>
            </w:r>
            <w:r>
              <w:rPr>
                <w:rFonts w:hint="eastAsia"/>
                <w:color w:val="auto"/>
                <w:sz w:val="24"/>
                <w:highlight w:val="none"/>
                <w:lang w:val="en-US" w:eastAsia="zh-CN"/>
              </w:rPr>
              <w:t>10</w:t>
            </w:r>
            <w:r>
              <w:rPr>
                <w:rFonts w:hint="eastAsia"/>
                <w:color w:val="auto"/>
                <w:sz w:val="24"/>
                <w:highlight w:val="none"/>
              </w:rPr>
              <w:t>m，因此本项目排气筒高度</w:t>
            </w:r>
            <w:r>
              <w:rPr>
                <w:rFonts w:hint="eastAsia"/>
                <w:color w:val="auto"/>
                <w:sz w:val="24"/>
                <w:highlight w:val="none"/>
                <w:lang w:val="en-US" w:eastAsia="zh-CN"/>
              </w:rPr>
              <w:t>15</w:t>
            </w:r>
            <w:r>
              <w:rPr>
                <w:rFonts w:hint="eastAsia"/>
                <w:color w:val="auto"/>
                <w:sz w:val="24"/>
                <w:highlight w:val="none"/>
              </w:rPr>
              <w:t>m合理。</w:t>
            </w:r>
          </w:p>
          <w:p w14:paraId="4538B5B8">
            <w:pPr>
              <w:pStyle w:val="18"/>
              <w:tabs>
                <w:tab w:val="center" w:pos="4059"/>
                <w:tab w:val="clear" w:pos="4153"/>
              </w:tabs>
              <w:ind w:firstLine="482" w:firstLineChars="200"/>
              <w:rPr>
                <w:b/>
                <w:color w:val="auto"/>
                <w:kern w:val="44"/>
                <w:sz w:val="24"/>
                <w:szCs w:val="44"/>
                <w:highlight w:val="none"/>
                <w:lang w:val="en-US" w:eastAsia="zh-CN"/>
              </w:rPr>
            </w:pPr>
            <w:r>
              <w:rPr>
                <w:rFonts w:hint="eastAsia"/>
                <w:b/>
                <w:color w:val="auto"/>
                <w:kern w:val="44"/>
                <w:sz w:val="24"/>
                <w:szCs w:val="44"/>
                <w:highlight w:val="none"/>
                <w:lang w:val="en-US" w:eastAsia="zh-CN"/>
              </w:rPr>
              <w:t>（5）</w:t>
            </w:r>
            <w:r>
              <w:rPr>
                <w:b/>
                <w:color w:val="auto"/>
                <w:kern w:val="44"/>
                <w:sz w:val="24"/>
                <w:szCs w:val="44"/>
                <w:highlight w:val="none"/>
                <w:lang w:val="en-US" w:eastAsia="zh-CN"/>
              </w:rPr>
              <w:t>达标分析</w:t>
            </w:r>
          </w:p>
          <w:p w14:paraId="5EC61F91">
            <w:pPr>
              <w:adjustRightInd w:val="0"/>
              <w:snapToGrid w:val="0"/>
              <w:ind w:firstLine="480" w:firstLineChars="200"/>
              <w:jc w:val="both"/>
              <w:rPr>
                <w:color w:val="auto"/>
                <w:spacing w:val="-10"/>
                <w:sz w:val="24"/>
                <w:highlight w:val="none"/>
              </w:rPr>
            </w:pPr>
            <w:r>
              <w:rPr>
                <w:color w:val="auto"/>
                <w:sz w:val="24"/>
                <w:highlight w:val="none"/>
              </w:rPr>
              <w:fldChar w:fldCharType="begin"/>
            </w:r>
            <w:r>
              <w:rPr>
                <w:color w:val="auto"/>
                <w:sz w:val="24"/>
                <w:highlight w:val="none"/>
              </w:rPr>
              <w:instrText xml:space="preserve"> = 1 \* GB3 \* MERGEFORMAT </w:instrText>
            </w:r>
            <w:r>
              <w:rPr>
                <w:color w:val="auto"/>
                <w:sz w:val="24"/>
                <w:highlight w:val="none"/>
              </w:rPr>
              <w:fldChar w:fldCharType="separate"/>
            </w:r>
            <w:r>
              <w:rPr>
                <w:color w:val="auto"/>
                <w:sz w:val="24"/>
                <w:highlight w:val="none"/>
              </w:rPr>
              <w:t>①</w:t>
            </w:r>
            <w:r>
              <w:rPr>
                <w:color w:val="auto"/>
                <w:sz w:val="24"/>
                <w:highlight w:val="none"/>
              </w:rPr>
              <w:fldChar w:fldCharType="end"/>
            </w:r>
            <w:r>
              <w:rPr>
                <w:color w:val="auto"/>
                <w:spacing w:val="-10"/>
                <w:sz w:val="24"/>
                <w:highlight w:val="none"/>
              </w:rPr>
              <w:t>有组织达标分析</w:t>
            </w:r>
          </w:p>
          <w:p w14:paraId="616CC406">
            <w:pPr>
              <w:pStyle w:val="75"/>
              <w:ind w:firstLine="472" w:firstLineChars="200"/>
              <w:rPr>
                <w:rFonts w:hint="default" w:ascii="Times New Roman" w:hAnsi="Times New Roman" w:cs="Times New Roman"/>
                <w:color w:val="auto"/>
                <w:spacing w:val="1"/>
                <w:highlight w:val="none"/>
                <w:lang w:val="en-US" w:eastAsia="zh-CN"/>
              </w:rPr>
            </w:pPr>
            <w:r>
              <w:rPr>
                <w:rFonts w:hint="eastAsia" w:ascii="Times New Roman" w:hAnsi="Times New Roman" w:cs="Times New Roman"/>
                <w:color w:val="auto"/>
                <w:spacing w:val="-2"/>
                <w:highlight w:val="none"/>
                <w:lang w:eastAsia="zh-CN"/>
              </w:rPr>
              <w:t>根据表4-</w:t>
            </w:r>
            <w:r>
              <w:rPr>
                <w:rFonts w:hint="eastAsia" w:ascii="Times New Roman" w:hAnsi="Times New Roman" w:cs="Times New Roman"/>
                <w:color w:val="auto"/>
                <w:spacing w:val="-2"/>
                <w:highlight w:val="none"/>
                <w:lang w:val="en-US" w:eastAsia="zh-CN"/>
              </w:rPr>
              <w:t>5</w:t>
            </w:r>
            <w:r>
              <w:rPr>
                <w:rFonts w:hint="eastAsia" w:ascii="Times New Roman" w:hAnsi="Times New Roman" w:cs="Times New Roman"/>
                <w:color w:val="auto"/>
                <w:spacing w:val="-2"/>
                <w:highlight w:val="none"/>
                <w:lang w:eastAsia="zh-CN"/>
              </w:rPr>
              <w:t>可知，</w:t>
            </w:r>
            <w:r>
              <w:rPr>
                <w:rFonts w:ascii="Times New Roman" w:hAnsi="Times New Roman" w:cs="Times New Roman"/>
                <w:color w:val="auto"/>
                <w:spacing w:val="-2"/>
                <w:highlight w:val="none"/>
                <w:lang w:eastAsia="zh-CN"/>
              </w:rPr>
              <w:t>本项目</w:t>
            </w:r>
            <w:r>
              <w:rPr>
                <w:rFonts w:hint="eastAsia" w:ascii="Times New Roman" w:hAnsi="Times New Roman" w:cs="Times New Roman"/>
                <w:color w:val="auto"/>
                <w:spacing w:val="-2"/>
                <w:highlight w:val="none"/>
                <w:lang w:eastAsia="zh-CN"/>
              </w:rPr>
              <w:t>木加工工序（</w:t>
            </w:r>
            <w:r>
              <w:rPr>
                <w:rFonts w:hint="default" w:ascii="Times New Roman" w:hAnsi="Times New Roman" w:eastAsia="宋体" w:cs="Times New Roman"/>
                <w:color w:val="auto"/>
                <w:sz w:val="24"/>
                <w:szCs w:val="24"/>
              </w:rPr>
              <w:t>下料、刨光、</w:t>
            </w:r>
            <w:r>
              <w:rPr>
                <w:rFonts w:hint="eastAsia" w:ascii="Times New Roman" w:hAnsi="Times New Roman" w:eastAsia="宋体" w:cs="Times New Roman"/>
                <w:color w:val="auto"/>
                <w:sz w:val="24"/>
                <w:szCs w:val="24"/>
                <w:lang w:eastAsia="zh-CN"/>
              </w:rPr>
              <w:t>梳齿指接、砂光、轻砂光、油砂砂光、开槽</w:t>
            </w:r>
            <w:r>
              <w:rPr>
                <w:rFonts w:hint="eastAsia" w:ascii="Times New Roman" w:hAnsi="Times New Roman" w:cs="Times New Roman"/>
                <w:color w:val="auto"/>
                <w:spacing w:val="-2"/>
                <w:highlight w:val="none"/>
                <w:lang w:eastAsia="zh-CN"/>
              </w:rPr>
              <w:t>）排放的颗粒</w:t>
            </w:r>
            <w:r>
              <w:rPr>
                <w:rFonts w:hint="eastAsia" w:ascii="Times New Roman" w:hAnsi="Times New Roman" w:cs="Times New Roman"/>
                <w:color w:val="auto"/>
                <w:spacing w:val="-2"/>
                <w:sz w:val="24"/>
                <w:szCs w:val="24"/>
                <w:highlight w:val="none"/>
                <w:lang w:eastAsia="zh-CN"/>
              </w:rPr>
              <w:t>物</w:t>
            </w:r>
            <w:r>
              <w:rPr>
                <w:rFonts w:hint="eastAsia" w:ascii="Times New Roman" w:hAnsi="Times New Roman" w:cs="Times New Roman"/>
                <w:color w:val="auto"/>
                <w:spacing w:val="-2"/>
                <w:highlight w:val="none"/>
                <w:lang w:eastAsia="zh-CN"/>
              </w:rPr>
              <w:t>浓度在</w:t>
            </w:r>
            <w:r>
              <w:rPr>
                <w:rFonts w:hint="eastAsia" w:ascii="Times New Roman" w:hAnsi="Times New Roman" w:cs="Times New Roman"/>
                <w:color w:val="auto"/>
                <w:spacing w:val="2"/>
                <w:highlight w:val="none"/>
                <w:lang w:val="en-US" w:eastAsia="zh-CN"/>
              </w:rPr>
              <w:t>0.015-4.24</w:t>
            </w:r>
            <w:r>
              <w:rPr>
                <w:rFonts w:hint="eastAsia" w:ascii="Times New Roman" w:hAnsi="Times New Roman" w:cs="Times New Roman"/>
                <w:color w:val="auto"/>
                <w:highlight w:val="none"/>
                <w:lang w:eastAsia="zh-CN"/>
              </w:rPr>
              <w:t>mg</w:t>
            </w:r>
            <w:r>
              <w:rPr>
                <w:rFonts w:ascii="Times New Roman" w:hAnsi="Times New Roman" w:cs="Times New Roman"/>
                <w:color w:val="auto"/>
                <w:spacing w:val="1"/>
                <w:highlight w:val="none"/>
              </w:rPr>
              <w:t>/</w:t>
            </w:r>
            <w:r>
              <w:rPr>
                <w:rFonts w:hint="default" w:ascii="Times New Roman" w:hAnsi="Times New Roman" w:cs="Times New Roman"/>
                <w:color w:val="auto"/>
                <w:spacing w:val="1"/>
                <w:highlight w:val="none"/>
                <w:lang w:eastAsia="zh-CN"/>
              </w:rPr>
              <w:t>m</w:t>
            </w:r>
            <w:r>
              <w:rPr>
                <w:rFonts w:hint="default" w:ascii="Times New Roman" w:hAnsi="Times New Roman" w:cs="Times New Roman"/>
                <w:color w:val="auto"/>
                <w:spacing w:val="1"/>
                <w:highlight w:val="none"/>
                <w:vertAlign w:val="superscript"/>
                <w:lang w:eastAsia="zh-CN"/>
              </w:rPr>
              <w:t>3</w:t>
            </w:r>
            <w:r>
              <w:rPr>
                <w:rFonts w:hint="default" w:ascii="Times New Roman" w:hAnsi="Times New Roman" w:cs="Times New Roman"/>
                <w:color w:val="auto"/>
                <w:spacing w:val="1"/>
                <w:highlight w:val="none"/>
                <w:lang w:eastAsia="zh-CN"/>
              </w:rPr>
              <w:t>，速率</w:t>
            </w:r>
            <w:r>
              <w:rPr>
                <w:rFonts w:hint="eastAsia" w:ascii="Times New Roman" w:hAnsi="Times New Roman" w:cs="Times New Roman"/>
                <w:color w:val="auto"/>
                <w:spacing w:val="1"/>
                <w:highlight w:val="none"/>
                <w:lang w:eastAsia="zh-CN"/>
              </w:rPr>
              <w:t>在</w:t>
            </w:r>
            <w:r>
              <w:rPr>
                <w:rFonts w:hint="default" w:ascii="Times New Roman" w:hAnsi="Times New Roman" w:cs="Times New Roman"/>
                <w:color w:val="auto"/>
                <w:spacing w:val="1"/>
                <w:highlight w:val="none"/>
                <w:lang w:val="en-US" w:eastAsia="zh-CN"/>
              </w:rPr>
              <w:t>0.000</w:t>
            </w:r>
            <w:r>
              <w:rPr>
                <w:rFonts w:hint="eastAsia" w:ascii="Times New Roman" w:hAnsi="Times New Roman" w:cs="Times New Roman"/>
                <w:color w:val="auto"/>
                <w:spacing w:val="1"/>
                <w:highlight w:val="none"/>
                <w:lang w:val="en-US" w:eastAsia="zh-CN"/>
              </w:rPr>
              <w:t>3</w:t>
            </w:r>
            <w:r>
              <w:rPr>
                <w:rFonts w:hint="default" w:ascii="Times New Roman" w:hAnsi="Times New Roman" w:cs="Times New Roman"/>
                <w:color w:val="auto"/>
                <w:spacing w:val="1"/>
                <w:highlight w:val="none"/>
                <w:lang w:val="en-US" w:eastAsia="zh-CN"/>
              </w:rPr>
              <w:t>-0.0</w:t>
            </w:r>
            <w:r>
              <w:rPr>
                <w:rFonts w:hint="eastAsia" w:ascii="Times New Roman" w:hAnsi="Times New Roman" w:cs="Times New Roman"/>
                <w:color w:val="auto"/>
                <w:spacing w:val="1"/>
                <w:highlight w:val="none"/>
                <w:lang w:val="en-US" w:eastAsia="zh-CN"/>
              </w:rPr>
              <w:t>49</w:t>
            </w:r>
            <w:r>
              <w:rPr>
                <w:rFonts w:hint="default" w:ascii="Times New Roman" w:hAnsi="Times New Roman" w:cs="Times New Roman"/>
                <w:color w:val="auto"/>
                <w:spacing w:val="1"/>
                <w:highlight w:val="none"/>
                <w:lang w:val="en-US" w:eastAsia="zh-CN"/>
              </w:rPr>
              <w:t>kg/h，</w:t>
            </w:r>
            <w:r>
              <w:rPr>
                <w:rFonts w:hint="default" w:ascii="Times New Roman" w:hAnsi="Times New Roman" w:cs="Times New Roman"/>
                <w:color w:val="auto"/>
                <w:sz w:val="24"/>
                <w:szCs w:val="24"/>
              </w:rPr>
              <w:t>颗粒物排放浓度与排放速率均能够满足</w:t>
            </w:r>
            <w:r>
              <w:rPr>
                <w:rFonts w:hint="default" w:ascii="Times New Roman" w:hAnsi="Times New Roman" w:cs="Times New Roman"/>
                <w:color w:val="auto"/>
                <w:kern w:val="0"/>
                <w:sz w:val="24"/>
                <w:szCs w:val="24"/>
              </w:rPr>
              <w:t>《大气污染物综合排放标准》（GB16297-1996）表2中二级标准限值及无组织排放监控浓度限值（排放浓度</w:t>
            </w:r>
            <w:r>
              <w:rPr>
                <w:rFonts w:hint="eastAsia"/>
                <w:color w:val="auto"/>
                <w:kern w:val="0"/>
                <w:sz w:val="24"/>
                <w:szCs w:val="24"/>
              </w:rPr>
              <w:t>≤</w:t>
            </w:r>
            <w:r>
              <w:rPr>
                <w:rFonts w:hint="default" w:ascii="Times New Roman" w:hAnsi="Times New Roman" w:cs="Times New Roman"/>
                <w:color w:val="auto"/>
                <w:kern w:val="0"/>
                <w:sz w:val="24"/>
                <w:szCs w:val="24"/>
              </w:rPr>
              <w:t>120 mg/m</w:t>
            </w:r>
            <w:r>
              <w:rPr>
                <w:rFonts w:hint="default" w:ascii="Times New Roman" w:hAnsi="Times New Roman" w:cs="Times New Roman"/>
                <w:color w:val="auto"/>
                <w:kern w:val="0"/>
                <w:sz w:val="24"/>
                <w:szCs w:val="24"/>
                <w:vertAlign w:val="superscript"/>
              </w:rPr>
              <w:t>3</w:t>
            </w:r>
            <w:r>
              <w:rPr>
                <w:rFonts w:hint="default" w:ascii="Times New Roman" w:hAnsi="Times New Roman" w:cs="Times New Roman"/>
                <w:color w:val="auto"/>
                <w:kern w:val="0"/>
                <w:sz w:val="24"/>
                <w:szCs w:val="24"/>
              </w:rPr>
              <w:t>、排放速率</w:t>
            </w:r>
            <w:r>
              <w:rPr>
                <w:rFonts w:hint="eastAsia"/>
                <w:color w:val="auto"/>
                <w:kern w:val="0"/>
                <w:sz w:val="24"/>
                <w:szCs w:val="24"/>
              </w:rPr>
              <w:t>≤</w:t>
            </w:r>
            <w:r>
              <w:rPr>
                <w:rFonts w:hint="default" w:ascii="Times New Roman" w:hAnsi="Times New Roman" w:cs="Times New Roman"/>
                <w:color w:val="auto"/>
                <w:kern w:val="0"/>
                <w:sz w:val="24"/>
                <w:szCs w:val="24"/>
              </w:rPr>
              <w:t>3.5</w:t>
            </w:r>
            <w:r>
              <w:rPr>
                <w:rFonts w:hint="default" w:ascii="Times New Roman" w:hAnsi="Times New Roman" w:cs="Times New Roman"/>
                <w:color w:val="auto"/>
                <w:sz w:val="24"/>
                <w:szCs w:val="24"/>
              </w:rPr>
              <w:t>kg/h</w:t>
            </w:r>
            <w:r>
              <w:rPr>
                <w:rFonts w:hint="default" w:ascii="Times New Roman" w:hAnsi="Times New Roman" w:cs="Times New Roman"/>
                <w:color w:val="auto"/>
                <w:kern w:val="0"/>
                <w:sz w:val="24"/>
                <w:szCs w:val="24"/>
              </w:rPr>
              <w:t>）</w:t>
            </w:r>
            <w:r>
              <w:rPr>
                <w:rFonts w:hint="default" w:ascii="Times New Roman" w:hAnsi="Times New Roman" w:cs="Times New Roman"/>
                <w:bCs/>
                <w:color w:val="auto"/>
                <w:sz w:val="24"/>
                <w:szCs w:val="24"/>
              </w:rPr>
              <w:t>。</w:t>
            </w:r>
          </w:p>
          <w:p w14:paraId="45A87458">
            <w:pPr>
              <w:ind w:firstLine="480" w:firstLineChars="200"/>
              <w:rPr>
                <w:rFonts w:hint="eastAsia" w:ascii="Times New Roman" w:hAnsi="Times New Roman" w:cs="Times New Roman"/>
                <w:color w:val="auto"/>
                <w:spacing w:val="-2"/>
                <w:highlight w:val="none"/>
                <w:lang w:eastAsia="zh-CN"/>
              </w:rPr>
            </w:pPr>
            <w:r>
              <w:rPr>
                <w:rFonts w:hint="eastAsia" w:ascii="Times New Roman" w:hAnsi="Times New Roman" w:eastAsia="宋体" w:cs="Times New Roman"/>
                <w:color w:val="auto"/>
                <w:sz w:val="24"/>
                <w:szCs w:val="24"/>
                <w:lang w:eastAsia="zh-CN"/>
              </w:rPr>
              <w:t>辊涂、</w:t>
            </w:r>
            <w:r>
              <w:rPr>
                <w:rFonts w:hint="eastAsia" w:ascii="Times New Roman" w:hAnsi="Times New Roman" w:eastAsia="宋体" w:cs="Times New Roman"/>
                <w:color w:val="auto"/>
                <w:sz w:val="24"/>
                <w:szCs w:val="24"/>
                <w:lang w:val="en-US" w:eastAsia="zh-CN"/>
              </w:rPr>
              <w:t>紫外光固化</w:t>
            </w:r>
            <w:r>
              <w:rPr>
                <w:rFonts w:ascii="Times New Roman" w:hAnsi="Times New Roman" w:cs="Times New Roman"/>
                <w:color w:val="auto"/>
                <w:spacing w:val="-2"/>
                <w:sz w:val="24"/>
                <w:szCs w:val="24"/>
                <w:highlight w:val="none"/>
                <w:lang w:eastAsia="zh-CN"/>
              </w:rPr>
              <w:t>产生的</w:t>
            </w:r>
            <w:r>
              <w:rPr>
                <w:rFonts w:hint="eastAsia" w:ascii="Times New Roman" w:hAnsi="Times New Roman" w:cs="Times New Roman"/>
                <w:color w:val="auto"/>
                <w:spacing w:val="-2"/>
                <w:sz w:val="24"/>
                <w:szCs w:val="24"/>
                <w:highlight w:val="none"/>
                <w:lang w:eastAsia="zh-CN"/>
              </w:rPr>
              <w:t>挥发性有机物浓度为</w:t>
            </w:r>
            <w:r>
              <w:rPr>
                <w:rFonts w:hint="eastAsia" w:ascii="Times New Roman" w:hAnsi="Times New Roman" w:cs="Times New Roman"/>
                <w:color w:val="auto"/>
                <w:spacing w:val="-2"/>
                <w:sz w:val="24"/>
                <w:szCs w:val="24"/>
                <w:highlight w:val="none"/>
                <w:lang w:val="en-US" w:eastAsia="zh-CN"/>
              </w:rPr>
              <w:t>6.73</w:t>
            </w:r>
            <w:r>
              <w:rPr>
                <w:rFonts w:hint="eastAsia" w:ascii="Times New Roman" w:hAnsi="Times New Roman" w:cs="Times New Roman"/>
                <w:color w:val="auto"/>
                <w:sz w:val="24"/>
                <w:szCs w:val="24"/>
                <w:highlight w:val="none"/>
                <w:lang w:eastAsia="zh-CN"/>
              </w:rPr>
              <w:t>mg</w:t>
            </w:r>
            <w:r>
              <w:rPr>
                <w:rFonts w:ascii="Times New Roman" w:hAnsi="Times New Roman" w:cs="Times New Roman"/>
                <w:color w:val="auto"/>
                <w:spacing w:val="1"/>
                <w:sz w:val="24"/>
                <w:szCs w:val="24"/>
                <w:highlight w:val="none"/>
              </w:rPr>
              <w:t>/</w:t>
            </w:r>
            <w:r>
              <w:rPr>
                <w:rFonts w:hint="eastAsia" w:ascii="Times New Roman" w:hAnsi="Times New Roman" w:cs="Times New Roman"/>
                <w:color w:val="auto"/>
                <w:spacing w:val="1"/>
                <w:sz w:val="24"/>
                <w:szCs w:val="24"/>
                <w:highlight w:val="none"/>
                <w:lang w:eastAsia="zh-CN"/>
              </w:rPr>
              <w:t>m</w:t>
            </w:r>
            <w:r>
              <w:rPr>
                <w:rFonts w:hint="eastAsia" w:ascii="Times New Roman" w:hAnsi="Times New Roman" w:cs="Times New Roman"/>
                <w:color w:val="auto"/>
                <w:spacing w:val="1"/>
                <w:sz w:val="24"/>
                <w:szCs w:val="24"/>
                <w:highlight w:val="none"/>
                <w:vertAlign w:val="superscript"/>
                <w:lang w:eastAsia="zh-CN"/>
              </w:rPr>
              <w:t>3</w:t>
            </w:r>
            <w:r>
              <w:rPr>
                <w:rFonts w:hint="eastAsia" w:ascii="Times New Roman" w:hAnsi="Times New Roman" w:cs="Times New Roman"/>
                <w:color w:val="auto"/>
                <w:spacing w:val="1"/>
                <w:sz w:val="24"/>
                <w:szCs w:val="24"/>
                <w:highlight w:val="none"/>
                <w:lang w:eastAsia="zh-CN"/>
              </w:rPr>
              <w:t>，速率为</w:t>
            </w:r>
            <w:r>
              <w:rPr>
                <w:rFonts w:hint="eastAsia" w:ascii="Times New Roman" w:hAnsi="Times New Roman" w:cs="Times New Roman"/>
                <w:color w:val="auto"/>
                <w:spacing w:val="1"/>
                <w:sz w:val="24"/>
                <w:szCs w:val="24"/>
                <w:highlight w:val="none"/>
                <w:lang w:val="en-US" w:eastAsia="zh-CN"/>
              </w:rPr>
              <w:t>0.088kg/h，</w:t>
            </w:r>
            <w:r>
              <w:rPr>
                <w:color w:val="auto"/>
                <w:sz w:val="24"/>
                <w:szCs w:val="24"/>
              </w:rPr>
              <w:t>排放浓度与排放速率均能够满足</w:t>
            </w:r>
            <w:r>
              <w:rPr>
                <w:rFonts w:ascii="Times New Roman" w:hAnsi="Times New Roman" w:cs="Times New Roman"/>
                <w:color w:val="auto"/>
                <w:sz w:val="24"/>
                <w:szCs w:val="24"/>
              </w:rPr>
              <w:t>《工业涂装工序挥发性有机物排放标准》（DB21/3160-2019）中</w:t>
            </w:r>
            <w:r>
              <w:rPr>
                <w:rFonts w:hint="eastAsia" w:ascii="Times New Roman" w:hAnsi="Times New Roman" w:cs="Times New Roman"/>
                <w:color w:val="auto"/>
                <w:sz w:val="24"/>
                <w:szCs w:val="24"/>
                <w:lang w:eastAsia="zh-CN"/>
              </w:rPr>
              <w:t>“涉及工业涂装工序的其他行业”</w:t>
            </w:r>
            <w:r>
              <w:rPr>
                <w:rFonts w:ascii="Times New Roman" w:hAnsi="Times New Roman" w:cs="Times New Roman"/>
                <w:color w:val="auto"/>
                <w:sz w:val="24"/>
                <w:szCs w:val="24"/>
              </w:rPr>
              <w:t>排放浓度限值</w:t>
            </w:r>
            <w:r>
              <w:rPr>
                <w:rFonts w:hint="eastAsia"/>
                <w:color w:val="auto"/>
                <w:kern w:val="0"/>
                <w:sz w:val="24"/>
                <w:szCs w:val="24"/>
              </w:rPr>
              <w:t>（</w:t>
            </w:r>
            <w:r>
              <w:rPr>
                <w:rFonts w:hint="eastAsia"/>
                <w:color w:val="auto"/>
                <w:kern w:val="0"/>
                <w:sz w:val="24"/>
                <w:szCs w:val="24"/>
                <w:lang w:val="en-US" w:eastAsia="zh-CN"/>
              </w:rPr>
              <w:t>TVOC</w:t>
            </w:r>
            <w:r>
              <w:rPr>
                <w:rFonts w:hint="eastAsia"/>
                <w:color w:val="auto"/>
                <w:kern w:val="0"/>
                <w:sz w:val="24"/>
                <w:szCs w:val="24"/>
              </w:rPr>
              <w:t>排放浓度≤</w:t>
            </w:r>
            <w:r>
              <w:rPr>
                <w:rFonts w:hint="eastAsia"/>
                <w:color w:val="auto"/>
                <w:kern w:val="0"/>
                <w:sz w:val="24"/>
                <w:szCs w:val="24"/>
                <w:lang w:val="en-US" w:eastAsia="zh-CN"/>
              </w:rPr>
              <w:t>7</w:t>
            </w:r>
            <w:r>
              <w:rPr>
                <w:rFonts w:hint="eastAsia"/>
                <w:color w:val="auto"/>
                <w:kern w:val="0"/>
                <w:sz w:val="24"/>
                <w:szCs w:val="24"/>
              </w:rPr>
              <w:t>0 mg/m</w:t>
            </w:r>
            <w:r>
              <w:rPr>
                <w:rFonts w:hint="eastAsia"/>
                <w:color w:val="auto"/>
                <w:kern w:val="0"/>
                <w:sz w:val="24"/>
                <w:szCs w:val="24"/>
                <w:vertAlign w:val="superscript"/>
              </w:rPr>
              <w:t>3</w:t>
            </w:r>
            <w:r>
              <w:rPr>
                <w:rFonts w:hint="eastAsia"/>
                <w:color w:val="auto"/>
                <w:kern w:val="0"/>
                <w:sz w:val="24"/>
                <w:szCs w:val="24"/>
              </w:rPr>
              <w:t>、排放速率≤</w:t>
            </w:r>
            <w:r>
              <w:rPr>
                <w:rFonts w:hint="eastAsia"/>
                <w:color w:val="auto"/>
                <w:kern w:val="0"/>
                <w:sz w:val="24"/>
                <w:szCs w:val="24"/>
                <w:lang w:val="en-US" w:eastAsia="zh-CN"/>
              </w:rPr>
              <w:t>3.6</w:t>
            </w:r>
            <w:r>
              <w:rPr>
                <w:color w:val="auto"/>
                <w:sz w:val="24"/>
                <w:szCs w:val="24"/>
              </w:rPr>
              <w:t>kg/h</w:t>
            </w:r>
            <w:r>
              <w:rPr>
                <w:rFonts w:hint="eastAsia"/>
                <w:color w:val="auto"/>
                <w:sz w:val="24"/>
                <w:szCs w:val="24"/>
                <w:lang w:eastAsia="zh-CN"/>
              </w:rPr>
              <w:t>；</w:t>
            </w:r>
            <w:r>
              <w:rPr>
                <w:rFonts w:hint="eastAsia"/>
                <w:color w:val="auto"/>
                <w:sz w:val="24"/>
                <w:szCs w:val="24"/>
                <w:lang w:val="en-US" w:eastAsia="zh-CN"/>
              </w:rPr>
              <w:t>NMHC</w:t>
            </w:r>
            <w:r>
              <w:rPr>
                <w:rFonts w:hint="eastAsia"/>
                <w:color w:val="auto"/>
                <w:kern w:val="0"/>
                <w:sz w:val="24"/>
                <w:szCs w:val="24"/>
              </w:rPr>
              <w:t>排放浓度≤</w:t>
            </w:r>
            <w:r>
              <w:rPr>
                <w:rFonts w:hint="eastAsia"/>
                <w:color w:val="auto"/>
                <w:kern w:val="0"/>
                <w:sz w:val="24"/>
                <w:szCs w:val="24"/>
                <w:lang w:val="en-US" w:eastAsia="zh-CN"/>
              </w:rPr>
              <w:t>60</w:t>
            </w:r>
            <w:r>
              <w:rPr>
                <w:rFonts w:hint="eastAsia"/>
                <w:color w:val="auto"/>
                <w:kern w:val="0"/>
                <w:sz w:val="24"/>
                <w:szCs w:val="24"/>
              </w:rPr>
              <w:t xml:space="preserve"> mg/m</w:t>
            </w:r>
            <w:r>
              <w:rPr>
                <w:rFonts w:hint="eastAsia"/>
                <w:color w:val="auto"/>
                <w:kern w:val="0"/>
                <w:sz w:val="24"/>
                <w:szCs w:val="24"/>
                <w:vertAlign w:val="superscript"/>
              </w:rPr>
              <w:t>3</w:t>
            </w:r>
            <w:r>
              <w:rPr>
                <w:rFonts w:hint="eastAsia"/>
                <w:color w:val="auto"/>
                <w:kern w:val="0"/>
                <w:sz w:val="24"/>
                <w:szCs w:val="24"/>
              </w:rPr>
              <w:t>、排放速率≤</w:t>
            </w:r>
            <w:r>
              <w:rPr>
                <w:rFonts w:hint="eastAsia"/>
                <w:color w:val="auto"/>
                <w:kern w:val="0"/>
                <w:sz w:val="24"/>
                <w:szCs w:val="24"/>
                <w:lang w:val="en-US" w:eastAsia="zh-CN"/>
              </w:rPr>
              <w:t>2.7</w:t>
            </w:r>
            <w:r>
              <w:rPr>
                <w:color w:val="auto"/>
                <w:sz w:val="24"/>
                <w:szCs w:val="24"/>
              </w:rPr>
              <w:t>kg/h</w:t>
            </w:r>
            <w:r>
              <w:rPr>
                <w:rFonts w:hint="eastAsia"/>
                <w:color w:val="auto"/>
                <w:kern w:val="0"/>
                <w:sz w:val="24"/>
                <w:szCs w:val="24"/>
              </w:rPr>
              <w:t>）</w:t>
            </w:r>
            <w:r>
              <w:rPr>
                <w:rFonts w:ascii="Times New Roman" w:hAnsi="Times New Roman" w:cs="Times New Roman"/>
                <w:color w:val="auto"/>
                <w:spacing w:val="-2"/>
                <w:highlight w:val="none"/>
                <w:lang w:eastAsia="zh-CN"/>
              </w:rPr>
              <w:t>。</w:t>
            </w:r>
          </w:p>
          <w:p w14:paraId="7AF291BE">
            <w:pPr>
              <w:ind w:firstLine="480" w:firstLineChars="200"/>
              <w:rPr>
                <w:color w:val="auto"/>
                <w:spacing w:val="-10"/>
                <w:sz w:val="24"/>
                <w:highlight w:val="none"/>
              </w:rPr>
            </w:pPr>
            <w:r>
              <w:rPr>
                <w:color w:val="auto"/>
                <w:sz w:val="24"/>
                <w:highlight w:val="none"/>
              </w:rPr>
              <w:fldChar w:fldCharType="begin"/>
            </w:r>
            <w:r>
              <w:rPr>
                <w:color w:val="auto"/>
                <w:sz w:val="24"/>
                <w:highlight w:val="none"/>
              </w:rPr>
              <w:instrText xml:space="preserve"> = 2 \* GB3 \* MERGEFORMAT </w:instrText>
            </w:r>
            <w:r>
              <w:rPr>
                <w:color w:val="auto"/>
                <w:sz w:val="24"/>
                <w:highlight w:val="none"/>
              </w:rPr>
              <w:fldChar w:fldCharType="separate"/>
            </w:r>
            <w:r>
              <w:rPr>
                <w:color w:val="auto"/>
                <w:sz w:val="24"/>
                <w:highlight w:val="none"/>
              </w:rPr>
              <w:t>②</w:t>
            </w:r>
            <w:r>
              <w:rPr>
                <w:color w:val="auto"/>
                <w:sz w:val="24"/>
                <w:highlight w:val="none"/>
              </w:rPr>
              <w:fldChar w:fldCharType="end"/>
            </w:r>
            <w:r>
              <w:rPr>
                <w:color w:val="auto"/>
                <w:spacing w:val="-10"/>
                <w:sz w:val="24"/>
                <w:highlight w:val="none"/>
              </w:rPr>
              <w:t>无组织达标分析</w:t>
            </w:r>
          </w:p>
          <w:p w14:paraId="1DA2F0A9">
            <w:pPr>
              <w:pStyle w:val="59"/>
              <w:ind w:firstLine="472"/>
              <w:rPr>
                <w:rFonts w:ascii="Times New Roman" w:hAnsi="Times New Roman" w:eastAsia="宋体" w:cs="Times New Roman"/>
                <w:color w:val="auto"/>
                <w:kern w:val="2"/>
                <w:sz w:val="24"/>
                <w:szCs w:val="24"/>
                <w:lang w:val="en-US" w:eastAsia="zh-CN" w:bidi="ar-SA"/>
              </w:rPr>
            </w:pPr>
            <w:r>
              <w:rPr>
                <w:color w:val="auto"/>
                <w:sz w:val="24"/>
                <w:highlight w:val="none"/>
              </w:rPr>
              <w:t>本项目大气污染物采用导则推荐的ARESCREEN估算模式计算，不考虑熏烟和建筑物下洗；考虑所有气象条件下（包括最不利条件下）的最大地面浓度。本项目废气污染物估算模式参数见下表。</w:t>
            </w:r>
          </w:p>
          <w:p w14:paraId="41347A55">
            <w:pPr>
              <w:pStyle w:val="68"/>
              <w:numPr>
                <w:ilvl w:val="0"/>
                <w:numId w:val="19"/>
              </w:numPr>
              <w:spacing w:line="360" w:lineRule="auto"/>
              <w:ind w:left="0" w:leftChars="0" w:firstLine="0" w:firstLineChars="0"/>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  本项目无组织排放量计算详情见下表</w:t>
            </w:r>
          </w:p>
          <w:tbl>
            <w:tblPr>
              <w:tblStyle w:val="25"/>
              <w:tblW w:w="495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2758"/>
              <w:gridCol w:w="2018"/>
              <w:gridCol w:w="3617"/>
            </w:tblGrid>
            <w:tr w14:paraId="0D3C58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761" w:type="dxa"/>
                  <w:noWrap w:val="0"/>
                  <w:vAlign w:val="center"/>
                </w:tcPr>
                <w:p w14:paraId="07EC915A">
                  <w:pPr>
                    <w:pStyle w:val="56"/>
                    <w:autoSpaceDE/>
                    <w:autoSpaceDN/>
                    <w:spacing w:line="240" w:lineRule="auto"/>
                    <w:rPr>
                      <w:rFonts w:ascii="Times New Roman" w:hAnsi="Times New Roman" w:cs="Times New Roman"/>
                      <w:color w:val="auto"/>
                      <w:sz w:val="21"/>
                      <w:szCs w:val="21"/>
                      <w:highlight w:val="none"/>
                      <w:lang w:eastAsia="zh-CN"/>
                    </w:rPr>
                  </w:pPr>
                  <w:r>
                    <w:rPr>
                      <w:rFonts w:ascii="Times New Roman" w:hAnsi="Times New Roman" w:cs="Times New Roman"/>
                      <w:color w:val="auto"/>
                      <w:sz w:val="21"/>
                      <w:szCs w:val="21"/>
                      <w:highlight w:val="none"/>
                      <w:lang w:eastAsia="zh-CN"/>
                    </w:rPr>
                    <w:t>地点</w:t>
                  </w:r>
                </w:p>
              </w:tc>
              <w:tc>
                <w:tcPr>
                  <w:tcW w:w="2020" w:type="dxa"/>
                  <w:noWrap w:val="0"/>
                  <w:vAlign w:val="center"/>
                </w:tcPr>
                <w:p w14:paraId="0CB0D318">
                  <w:pPr>
                    <w:pStyle w:val="56"/>
                    <w:autoSpaceDE/>
                    <w:autoSpaceDN/>
                    <w:spacing w:line="240" w:lineRule="auto"/>
                    <w:rPr>
                      <w:rFonts w:ascii="Times New Roman" w:hAnsi="Times New Roman" w:cs="Times New Roman"/>
                      <w:color w:val="auto"/>
                      <w:sz w:val="21"/>
                      <w:szCs w:val="21"/>
                      <w:highlight w:val="none"/>
                      <w:lang w:eastAsia="zh-CN"/>
                    </w:rPr>
                  </w:pPr>
                  <w:r>
                    <w:rPr>
                      <w:rFonts w:ascii="Times New Roman" w:hAnsi="Times New Roman" w:cs="Times New Roman"/>
                      <w:color w:val="auto"/>
                      <w:sz w:val="21"/>
                      <w:szCs w:val="21"/>
                      <w:highlight w:val="none"/>
                      <w:lang w:eastAsia="zh-CN"/>
                    </w:rPr>
                    <w:t>污染物</w:t>
                  </w:r>
                </w:p>
              </w:tc>
              <w:tc>
                <w:tcPr>
                  <w:tcW w:w="3620" w:type="dxa"/>
                  <w:noWrap w:val="0"/>
                  <w:vAlign w:val="center"/>
                </w:tcPr>
                <w:p w14:paraId="1E04F28F">
                  <w:pPr>
                    <w:pStyle w:val="56"/>
                    <w:autoSpaceDE/>
                    <w:autoSpaceDN/>
                    <w:spacing w:line="240" w:lineRule="auto"/>
                    <w:rPr>
                      <w:rFonts w:ascii="Times New Roman" w:hAnsi="Times New Roman" w:cs="Times New Roman"/>
                      <w:color w:val="auto"/>
                      <w:sz w:val="21"/>
                      <w:szCs w:val="21"/>
                      <w:highlight w:val="none"/>
                      <w:lang w:eastAsia="zh-CN"/>
                    </w:rPr>
                  </w:pPr>
                  <w:r>
                    <w:rPr>
                      <w:rFonts w:ascii="Times New Roman" w:hAnsi="Times New Roman" w:cs="Times New Roman"/>
                      <w:color w:val="auto"/>
                      <w:sz w:val="21"/>
                      <w:szCs w:val="21"/>
                      <w:highlight w:val="none"/>
                      <w:lang w:eastAsia="zh-CN"/>
                    </w:rPr>
                    <w:t>无组织排放速率</w:t>
                  </w:r>
                  <w:r>
                    <w:rPr>
                      <w:rFonts w:hint="eastAsia" w:ascii="Times New Roman" w:hAnsi="Times New Roman" w:cs="Times New Roman"/>
                      <w:color w:val="auto"/>
                      <w:sz w:val="21"/>
                      <w:szCs w:val="21"/>
                      <w:highlight w:val="none"/>
                      <w:lang w:eastAsia="zh-CN"/>
                    </w:rPr>
                    <w:t>（k</w:t>
                  </w:r>
                  <w:r>
                    <w:rPr>
                      <w:rFonts w:ascii="Times New Roman" w:hAnsi="Times New Roman" w:cs="Times New Roman"/>
                      <w:color w:val="auto"/>
                      <w:sz w:val="21"/>
                      <w:szCs w:val="21"/>
                      <w:highlight w:val="none"/>
                      <w:lang w:eastAsia="zh-CN"/>
                    </w:rPr>
                    <w:t>g/</w:t>
                  </w:r>
                  <w:r>
                    <w:rPr>
                      <w:rFonts w:hint="eastAsia" w:ascii="Times New Roman" w:hAnsi="Times New Roman" w:cs="Times New Roman"/>
                      <w:color w:val="auto"/>
                      <w:sz w:val="21"/>
                      <w:szCs w:val="21"/>
                      <w:highlight w:val="none"/>
                      <w:lang w:eastAsia="zh-CN"/>
                    </w:rPr>
                    <w:t>h）</w:t>
                  </w:r>
                </w:p>
              </w:tc>
            </w:tr>
            <w:tr w14:paraId="72F961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761" w:type="dxa"/>
                  <w:vMerge w:val="restart"/>
                  <w:noWrap w:val="0"/>
                  <w:vAlign w:val="center"/>
                </w:tcPr>
                <w:p w14:paraId="107310D1">
                  <w:pPr>
                    <w:pStyle w:val="56"/>
                    <w:autoSpaceDE/>
                    <w:autoSpaceDN/>
                    <w:spacing w:line="240" w:lineRule="auto"/>
                    <w:rPr>
                      <w:rFonts w:hint="eastAsia" w:ascii="Times New Roman" w:hAnsi="Times New Roman" w:eastAsia="宋体"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生产车间</w:t>
                  </w:r>
                </w:p>
              </w:tc>
              <w:tc>
                <w:tcPr>
                  <w:tcW w:w="2020" w:type="dxa"/>
                  <w:noWrap w:val="0"/>
                  <w:vAlign w:val="center"/>
                </w:tcPr>
                <w:p w14:paraId="392BA7C7">
                  <w:pPr>
                    <w:spacing w:line="240" w:lineRule="auto"/>
                    <w:jc w:val="center"/>
                    <w:rPr>
                      <w:color w:val="auto"/>
                      <w:kern w:val="0"/>
                      <w:szCs w:val="21"/>
                      <w:highlight w:val="none"/>
                      <w:lang w:bidi="ar"/>
                    </w:rPr>
                  </w:pPr>
                  <w:r>
                    <w:rPr>
                      <w:rFonts w:hint="eastAsia"/>
                      <w:color w:val="auto"/>
                      <w:spacing w:val="3"/>
                      <w:szCs w:val="21"/>
                      <w:highlight w:val="none"/>
                    </w:rPr>
                    <w:t>颗粒物</w:t>
                  </w:r>
                </w:p>
              </w:tc>
              <w:tc>
                <w:tcPr>
                  <w:tcW w:w="3620" w:type="dxa"/>
                  <w:noWrap w:val="0"/>
                  <w:vAlign w:val="center"/>
                </w:tcPr>
                <w:p w14:paraId="4A156BE9">
                  <w:pPr>
                    <w:spacing w:line="240" w:lineRule="auto"/>
                    <w:jc w:val="center"/>
                    <w:rPr>
                      <w:rFonts w:hint="default" w:eastAsia="宋体"/>
                      <w:color w:val="auto"/>
                      <w:szCs w:val="21"/>
                      <w:highlight w:val="none"/>
                      <w:lang w:val="en-US" w:eastAsia="zh-CN"/>
                    </w:rPr>
                  </w:pPr>
                  <w:r>
                    <w:rPr>
                      <w:rFonts w:hint="eastAsia"/>
                      <w:color w:val="auto"/>
                      <w:sz w:val="21"/>
                      <w:szCs w:val="21"/>
                      <w:lang w:val="en-US" w:eastAsia="zh-CN"/>
                    </w:rPr>
                    <w:t>0.191</w:t>
                  </w:r>
                </w:p>
              </w:tc>
            </w:tr>
            <w:tr w14:paraId="601710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761" w:type="dxa"/>
                  <w:vMerge w:val="continue"/>
                  <w:noWrap w:val="0"/>
                  <w:vAlign w:val="center"/>
                </w:tcPr>
                <w:p w14:paraId="692A1347">
                  <w:pPr>
                    <w:pStyle w:val="56"/>
                    <w:autoSpaceDE/>
                    <w:autoSpaceDN/>
                    <w:spacing w:line="240" w:lineRule="auto"/>
                    <w:rPr>
                      <w:rFonts w:hint="eastAsia" w:ascii="Times New Roman" w:hAnsi="Times New Roman" w:cs="Times New Roman"/>
                      <w:color w:val="auto"/>
                      <w:sz w:val="21"/>
                      <w:szCs w:val="21"/>
                      <w:highlight w:val="none"/>
                      <w:lang w:eastAsia="zh-CN"/>
                    </w:rPr>
                  </w:pPr>
                </w:p>
              </w:tc>
              <w:tc>
                <w:tcPr>
                  <w:tcW w:w="2020" w:type="dxa"/>
                  <w:noWrap w:val="0"/>
                  <w:vAlign w:val="center"/>
                </w:tcPr>
                <w:p w14:paraId="62FA9161">
                  <w:pPr>
                    <w:spacing w:line="240" w:lineRule="auto"/>
                    <w:jc w:val="center"/>
                    <w:rPr>
                      <w:rFonts w:hint="eastAsia" w:eastAsia="宋体"/>
                      <w:color w:val="auto"/>
                      <w:spacing w:val="3"/>
                      <w:szCs w:val="21"/>
                      <w:highlight w:val="none"/>
                      <w:lang w:eastAsia="zh-CN"/>
                    </w:rPr>
                  </w:pPr>
                  <w:r>
                    <w:rPr>
                      <w:rFonts w:hint="eastAsia"/>
                      <w:color w:val="auto"/>
                      <w:spacing w:val="3"/>
                      <w:szCs w:val="21"/>
                      <w:highlight w:val="none"/>
                      <w:lang w:eastAsia="zh-CN"/>
                    </w:rPr>
                    <w:t>挥发性有机物</w:t>
                  </w:r>
                </w:p>
              </w:tc>
              <w:tc>
                <w:tcPr>
                  <w:tcW w:w="3620" w:type="dxa"/>
                  <w:noWrap w:val="0"/>
                  <w:vAlign w:val="center"/>
                </w:tcPr>
                <w:p w14:paraId="60659849">
                  <w:pPr>
                    <w:spacing w:line="240" w:lineRule="auto"/>
                    <w:jc w:val="center"/>
                    <w:rPr>
                      <w:rFonts w:hint="default"/>
                      <w:color w:val="auto"/>
                      <w:szCs w:val="21"/>
                      <w:highlight w:val="none"/>
                      <w:lang w:val="en-US"/>
                    </w:rPr>
                  </w:pPr>
                  <w:r>
                    <w:rPr>
                      <w:rFonts w:hint="default" w:ascii="Times New Roman" w:hAnsi="Times New Roman" w:eastAsia="宋体" w:cs="Times New Roman"/>
                      <w:bCs/>
                      <w:color w:val="auto"/>
                      <w:sz w:val="21"/>
                      <w:szCs w:val="21"/>
                    </w:rPr>
                    <w:t>0.0</w:t>
                  </w:r>
                  <w:r>
                    <w:rPr>
                      <w:rFonts w:hint="eastAsia" w:ascii="Times New Roman" w:hAnsi="Times New Roman" w:eastAsia="宋体" w:cs="Times New Roman"/>
                      <w:bCs/>
                      <w:color w:val="auto"/>
                      <w:sz w:val="21"/>
                      <w:szCs w:val="21"/>
                      <w:lang w:val="en-US" w:eastAsia="zh-CN"/>
                    </w:rPr>
                    <w:t>46</w:t>
                  </w:r>
                </w:p>
              </w:tc>
            </w:tr>
          </w:tbl>
          <w:p w14:paraId="47E02FFA">
            <w:pPr>
              <w:adjustRightInd w:val="0"/>
              <w:snapToGrid w:val="0"/>
              <w:spacing w:line="240" w:lineRule="auto"/>
              <w:ind w:firstLine="480" w:firstLineChars="200"/>
              <w:textAlignment w:val="baseline"/>
              <w:rPr>
                <w:color w:val="auto"/>
                <w:sz w:val="24"/>
                <w:highlight w:val="none"/>
              </w:rPr>
            </w:pPr>
          </w:p>
          <w:p w14:paraId="68C8EEDC">
            <w:pPr>
              <w:adjustRightInd w:val="0"/>
              <w:snapToGrid w:val="0"/>
              <w:ind w:firstLine="480" w:firstLineChars="200"/>
              <w:textAlignment w:val="baseline"/>
              <w:rPr>
                <w:color w:val="auto"/>
                <w:sz w:val="24"/>
                <w:highlight w:val="none"/>
              </w:rPr>
            </w:pPr>
            <w:r>
              <w:rPr>
                <w:rFonts w:hint="eastAsia"/>
                <w:color w:val="auto"/>
                <w:sz w:val="24"/>
                <w:highlight w:val="none"/>
              </w:rPr>
              <w:t>1</w:t>
            </w:r>
            <w:r>
              <w:rPr>
                <w:color w:val="auto"/>
                <w:sz w:val="24"/>
                <w:highlight w:val="none"/>
              </w:rPr>
              <w:t>）预测因子</w:t>
            </w:r>
          </w:p>
          <w:p w14:paraId="08E97D49">
            <w:pPr>
              <w:adjustRightInd w:val="0"/>
              <w:snapToGrid w:val="0"/>
              <w:ind w:firstLine="480" w:firstLineChars="200"/>
              <w:textAlignment w:val="baseline"/>
              <w:rPr>
                <w:color w:val="auto"/>
                <w:sz w:val="24"/>
                <w:highlight w:val="none"/>
              </w:rPr>
            </w:pPr>
            <w:r>
              <w:rPr>
                <w:color w:val="auto"/>
                <w:sz w:val="24"/>
                <w:highlight w:val="none"/>
              </w:rPr>
              <w:t>本次预测因子为</w:t>
            </w:r>
            <w:r>
              <w:rPr>
                <w:rFonts w:hint="eastAsia"/>
                <w:color w:val="auto"/>
                <w:spacing w:val="-2"/>
                <w:sz w:val="24"/>
                <w:highlight w:val="none"/>
              </w:rPr>
              <w:t>颗粒物</w:t>
            </w:r>
            <w:r>
              <w:rPr>
                <w:rFonts w:hint="eastAsia"/>
                <w:color w:val="auto"/>
                <w:spacing w:val="-2"/>
                <w:sz w:val="24"/>
                <w:highlight w:val="none"/>
                <w:lang w:eastAsia="zh-CN"/>
              </w:rPr>
              <w:t>、挥发性有机物</w:t>
            </w:r>
            <w:r>
              <w:rPr>
                <w:color w:val="auto"/>
                <w:sz w:val="24"/>
                <w:highlight w:val="none"/>
              </w:rPr>
              <w:t>。</w:t>
            </w:r>
          </w:p>
          <w:p w14:paraId="1B7B08EB">
            <w:pPr>
              <w:numPr>
                <w:ilvl w:val="0"/>
                <w:numId w:val="22"/>
              </w:numPr>
              <w:adjustRightInd w:val="0"/>
              <w:snapToGrid w:val="0"/>
              <w:ind w:firstLine="480" w:firstLineChars="200"/>
              <w:textAlignment w:val="baseline"/>
              <w:rPr>
                <w:rFonts w:hint="eastAsia"/>
                <w:color w:val="auto"/>
                <w:sz w:val="24"/>
                <w:highlight w:val="none"/>
                <w:lang w:val="en-US" w:eastAsia="zh-CN"/>
              </w:rPr>
            </w:pPr>
            <w:r>
              <w:rPr>
                <w:rFonts w:hint="eastAsia"/>
                <w:color w:val="auto"/>
                <w:sz w:val="24"/>
                <w:highlight w:val="none"/>
                <w:lang w:val="en-US" w:eastAsia="zh-CN"/>
              </w:rPr>
              <w:t>预测参数</w:t>
            </w:r>
          </w:p>
          <w:p w14:paraId="1161AE6B">
            <w:pPr>
              <w:numPr>
                <w:ilvl w:val="0"/>
                <w:numId w:val="0"/>
              </w:numPr>
              <w:adjustRightInd w:val="0"/>
              <w:snapToGrid w:val="0"/>
              <w:ind w:firstLine="480" w:firstLineChars="200"/>
              <w:textAlignment w:val="baseline"/>
              <w:rPr>
                <w:rFonts w:hint="eastAsia"/>
                <w:color w:val="auto"/>
                <w:sz w:val="24"/>
                <w:highlight w:val="none"/>
              </w:rPr>
            </w:pPr>
            <w:r>
              <w:rPr>
                <w:color w:val="auto"/>
                <w:sz w:val="24"/>
                <w:highlight w:val="none"/>
              </w:rPr>
              <w:t>本项目废气污染物估算模式参数见下表。</w:t>
            </w:r>
          </w:p>
          <w:p w14:paraId="3E1FF5E2">
            <w:pPr>
              <w:pStyle w:val="68"/>
              <w:numPr>
                <w:ilvl w:val="0"/>
                <w:numId w:val="19"/>
              </w:numPr>
              <w:spacing w:line="360" w:lineRule="auto"/>
              <w:ind w:left="0" w:leftChars="0" w:firstLine="0" w:firstLineChars="0"/>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  估算模式参数表</w:t>
            </w:r>
          </w:p>
          <w:tbl>
            <w:tblPr>
              <w:tblStyle w:val="25"/>
              <w:tblW w:w="49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52"/>
              <w:gridCol w:w="3844"/>
              <w:gridCol w:w="2583"/>
            </w:tblGrid>
            <w:tr w14:paraId="2BEA28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459" w:type="pct"/>
                  <w:gridSpan w:val="2"/>
                  <w:shd w:val="clear" w:color="auto" w:fill="FFFFFF"/>
                  <w:noWrap w:val="0"/>
                  <w:vAlign w:val="center"/>
                </w:tcPr>
                <w:p w14:paraId="7795BE0A">
                  <w:pPr>
                    <w:pStyle w:val="82"/>
                    <w:tabs>
                      <w:tab w:val="center" w:pos="4153"/>
                      <w:tab w:val="right" w:pos="8306"/>
                    </w:tabs>
                    <w:adjustRightInd/>
                    <w:snapToGrid/>
                    <w:spacing w:after="0" w:line="240" w:lineRule="auto"/>
                    <w:rPr>
                      <w:color w:val="auto"/>
                      <w:szCs w:val="21"/>
                      <w:highlight w:val="none"/>
                      <w:lang w:val="en-US" w:eastAsia="zh-CN"/>
                    </w:rPr>
                  </w:pPr>
                  <w:r>
                    <w:rPr>
                      <w:color w:val="auto"/>
                      <w:szCs w:val="21"/>
                      <w:highlight w:val="none"/>
                      <w:lang w:val="en-US" w:eastAsia="zh-CN"/>
                    </w:rPr>
                    <w:t>参数</w:t>
                  </w:r>
                </w:p>
              </w:tc>
              <w:tc>
                <w:tcPr>
                  <w:tcW w:w="1541" w:type="pct"/>
                  <w:shd w:val="clear" w:color="auto" w:fill="FFFFFF"/>
                  <w:noWrap/>
                  <w:vAlign w:val="center"/>
                </w:tcPr>
                <w:p w14:paraId="7E385E53">
                  <w:pPr>
                    <w:pStyle w:val="82"/>
                    <w:tabs>
                      <w:tab w:val="center" w:pos="4153"/>
                      <w:tab w:val="right" w:pos="8306"/>
                    </w:tabs>
                    <w:adjustRightInd/>
                    <w:snapToGrid/>
                    <w:spacing w:after="0" w:line="240" w:lineRule="auto"/>
                    <w:rPr>
                      <w:color w:val="auto"/>
                      <w:szCs w:val="21"/>
                      <w:highlight w:val="none"/>
                      <w:lang w:val="en-US" w:eastAsia="zh-CN"/>
                    </w:rPr>
                  </w:pPr>
                  <w:r>
                    <w:rPr>
                      <w:color w:val="auto"/>
                      <w:szCs w:val="21"/>
                      <w:highlight w:val="none"/>
                      <w:lang w:val="en-US" w:eastAsia="zh-CN"/>
                    </w:rPr>
                    <w:t>取值</w:t>
                  </w:r>
                </w:p>
              </w:tc>
            </w:tr>
            <w:tr w14:paraId="57DFE1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5" w:type="pct"/>
                  <w:vMerge w:val="restart"/>
                  <w:shd w:val="clear" w:color="auto" w:fill="FFFFFF"/>
                  <w:noWrap w:val="0"/>
                  <w:vAlign w:val="center"/>
                </w:tcPr>
                <w:p w14:paraId="06E835EB">
                  <w:pPr>
                    <w:pStyle w:val="82"/>
                    <w:tabs>
                      <w:tab w:val="center" w:pos="4153"/>
                      <w:tab w:val="right" w:pos="8306"/>
                    </w:tabs>
                    <w:adjustRightInd/>
                    <w:snapToGrid/>
                    <w:spacing w:after="0" w:line="240" w:lineRule="auto"/>
                    <w:rPr>
                      <w:color w:val="auto"/>
                      <w:szCs w:val="21"/>
                      <w:highlight w:val="none"/>
                      <w:lang w:val="en-US" w:eastAsia="zh-CN"/>
                    </w:rPr>
                  </w:pPr>
                  <w:r>
                    <w:rPr>
                      <w:color w:val="auto"/>
                      <w:szCs w:val="21"/>
                      <w:highlight w:val="none"/>
                      <w:lang w:val="en-US" w:eastAsia="zh-CN"/>
                    </w:rPr>
                    <w:t>城市/农村选项</w:t>
                  </w:r>
                </w:p>
              </w:tc>
              <w:tc>
                <w:tcPr>
                  <w:tcW w:w="2294" w:type="pct"/>
                  <w:shd w:val="clear" w:color="auto" w:fill="FFFFFF"/>
                  <w:noWrap/>
                  <w:vAlign w:val="center"/>
                </w:tcPr>
                <w:p w14:paraId="327117DC">
                  <w:pPr>
                    <w:pStyle w:val="82"/>
                    <w:tabs>
                      <w:tab w:val="center" w:pos="4153"/>
                      <w:tab w:val="right" w:pos="8306"/>
                    </w:tabs>
                    <w:adjustRightInd/>
                    <w:snapToGrid/>
                    <w:spacing w:after="0" w:line="240" w:lineRule="auto"/>
                    <w:rPr>
                      <w:color w:val="auto"/>
                      <w:szCs w:val="21"/>
                      <w:highlight w:val="none"/>
                      <w:lang w:val="en-US" w:eastAsia="zh-CN"/>
                    </w:rPr>
                  </w:pPr>
                  <w:r>
                    <w:rPr>
                      <w:color w:val="auto"/>
                      <w:szCs w:val="21"/>
                      <w:highlight w:val="none"/>
                      <w:lang w:val="en-US" w:eastAsia="zh-CN"/>
                    </w:rPr>
                    <w:t>城市/农村</w:t>
                  </w:r>
                </w:p>
              </w:tc>
              <w:tc>
                <w:tcPr>
                  <w:tcW w:w="1541" w:type="pct"/>
                  <w:shd w:val="clear" w:color="auto" w:fill="FFFFFF"/>
                  <w:noWrap/>
                  <w:vAlign w:val="center"/>
                </w:tcPr>
                <w:p w14:paraId="24459894">
                  <w:pPr>
                    <w:spacing w:line="240" w:lineRule="auto"/>
                    <w:jc w:val="center"/>
                    <w:rPr>
                      <w:rFonts w:hint="eastAsia" w:eastAsia="宋体"/>
                      <w:color w:val="auto"/>
                      <w:szCs w:val="21"/>
                      <w:highlight w:val="none"/>
                      <w:lang w:eastAsia="zh-CN"/>
                    </w:rPr>
                  </w:pPr>
                  <w:r>
                    <w:rPr>
                      <w:rFonts w:hint="eastAsia"/>
                      <w:color w:val="auto"/>
                      <w:szCs w:val="21"/>
                      <w:highlight w:val="none"/>
                      <w:lang w:eastAsia="zh-CN"/>
                    </w:rPr>
                    <w:t>农村</w:t>
                  </w:r>
                </w:p>
              </w:tc>
            </w:tr>
            <w:tr w14:paraId="5DB162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92" w:type="dxa"/>
                  <w:vMerge w:val="continue"/>
                  <w:shd w:val="clear" w:color="auto" w:fill="auto"/>
                  <w:noWrap w:val="0"/>
                  <w:vAlign w:val="center"/>
                </w:tcPr>
                <w:p w14:paraId="3A624815">
                  <w:pPr>
                    <w:widowControl/>
                    <w:spacing w:line="240" w:lineRule="auto"/>
                    <w:jc w:val="center"/>
                    <w:rPr>
                      <w:color w:val="auto"/>
                      <w:szCs w:val="21"/>
                      <w:highlight w:val="none"/>
                    </w:rPr>
                  </w:pPr>
                </w:p>
              </w:tc>
              <w:tc>
                <w:tcPr>
                  <w:tcW w:w="2294" w:type="pct"/>
                  <w:shd w:val="clear" w:color="auto" w:fill="FFFFFF"/>
                  <w:noWrap/>
                  <w:vAlign w:val="center"/>
                </w:tcPr>
                <w:p w14:paraId="33EABDFD">
                  <w:pPr>
                    <w:pStyle w:val="82"/>
                    <w:tabs>
                      <w:tab w:val="center" w:pos="4153"/>
                      <w:tab w:val="right" w:pos="8306"/>
                    </w:tabs>
                    <w:adjustRightInd/>
                    <w:snapToGrid/>
                    <w:spacing w:after="0" w:line="240" w:lineRule="auto"/>
                    <w:rPr>
                      <w:color w:val="auto"/>
                      <w:szCs w:val="21"/>
                      <w:highlight w:val="none"/>
                      <w:lang w:val="en-US" w:eastAsia="zh-CN"/>
                    </w:rPr>
                  </w:pPr>
                  <w:r>
                    <w:rPr>
                      <w:color w:val="auto"/>
                      <w:szCs w:val="21"/>
                      <w:highlight w:val="none"/>
                      <w:lang w:val="en-US" w:eastAsia="zh-CN"/>
                    </w:rPr>
                    <w:t>人口数（城市选项时，万人）</w:t>
                  </w:r>
                </w:p>
              </w:tc>
              <w:tc>
                <w:tcPr>
                  <w:tcW w:w="1541" w:type="pct"/>
                  <w:shd w:val="clear" w:color="auto" w:fill="FFFFFF"/>
                  <w:noWrap/>
                  <w:vAlign w:val="center"/>
                </w:tcPr>
                <w:p w14:paraId="03094EC7">
                  <w:pPr>
                    <w:spacing w:line="240" w:lineRule="auto"/>
                    <w:jc w:val="center"/>
                    <w:rPr>
                      <w:rFonts w:hint="eastAsia" w:eastAsia="宋体"/>
                      <w:color w:val="auto"/>
                      <w:szCs w:val="21"/>
                      <w:highlight w:val="none"/>
                      <w:lang w:eastAsia="zh-CN"/>
                    </w:rPr>
                  </w:pPr>
                  <w:r>
                    <w:rPr>
                      <w:rFonts w:hint="eastAsia"/>
                      <w:color w:val="auto"/>
                      <w:szCs w:val="21"/>
                      <w:highlight w:val="none"/>
                      <w:lang w:val="en-US" w:eastAsia="zh-CN"/>
                    </w:rPr>
                    <w:t>/</w:t>
                  </w:r>
                </w:p>
              </w:tc>
            </w:tr>
            <w:tr w14:paraId="54B501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59" w:type="pct"/>
                  <w:gridSpan w:val="2"/>
                  <w:shd w:val="clear" w:color="auto" w:fill="FFFFFF"/>
                  <w:noWrap w:val="0"/>
                  <w:vAlign w:val="center"/>
                </w:tcPr>
                <w:p w14:paraId="7177FFDA">
                  <w:pPr>
                    <w:pStyle w:val="82"/>
                    <w:tabs>
                      <w:tab w:val="center" w:pos="4153"/>
                      <w:tab w:val="right" w:pos="8306"/>
                    </w:tabs>
                    <w:adjustRightInd/>
                    <w:snapToGrid/>
                    <w:spacing w:after="0" w:line="240" w:lineRule="auto"/>
                    <w:rPr>
                      <w:color w:val="auto"/>
                      <w:szCs w:val="21"/>
                      <w:highlight w:val="none"/>
                      <w:lang w:val="en-US" w:eastAsia="zh-CN"/>
                    </w:rPr>
                  </w:pPr>
                  <w:r>
                    <w:rPr>
                      <w:color w:val="auto"/>
                      <w:szCs w:val="21"/>
                      <w:highlight w:val="none"/>
                      <w:lang w:val="en-US" w:eastAsia="zh-CN"/>
                    </w:rPr>
                    <w:t>最高环境温度/ ℃</w:t>
                  </w:r>
                </w:p>
              </w:tc>
              <w:tc>
                <w:tcPr>
                  <w:tcW w:w="2582" w:type="dxa"/>
                  <w:shd w:val="clear" w:color="auto" w:fill="FFFFFF"/>
                  <w:noWrap/>
                  <w:vAlign w:val="center"/>
                </w:tcPr>
                <w:p w14:paraId="20D04817">
                  <w:pPr>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color w:val="auto"/>
                      <w:szCs w:val="21"/>
                      <w:highlight w:val="none"/>
                    </w:rPr>
                  </w:pPr>
                  <w:r>
                    <w:rPr>
                      <w:rFonts w:hint="eastAsia" w:eastAsia="宋体" w:cs="Times New Roman"/>
                      <w:color w:val="auto"/>
                      <w:sz w:val="21"/>
                      <w:szCs w:val="21"/>
                      <w:lang w:val="en-US" w:eastAsia="zh-CN"/>
                    </w:rPr>
                    <w:t>37.2</w:t>
                  </w:r>
                </w:p>
              </w:tc>
            </w:tr>
            <w:tr w14:paraId="3E6A21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59" w:type="pct"/>
                  <w:gridSpan w:val="2"/>
                  <w:shd w:val="clear" w:color="auto" w:fill="FFFFFF"/>
                  <w:noWrap w:val="0"/>
                  <w:vAlign w:val="center"/>
                </w:tcPr>
                <w:p w14:paraId="0AF7B203">
                  <w:pPr>
                    <w:pStyle w:val="82"/>
                    <w:tabs>
                      <w:tab w:val="center" w:pos="4153"/>
                      <w:tab w:val="right" w:pos="8306"/>
                    </w:tabs>
                    <w:adjustRightInd/>
                    <w:snapToGrid/>
                    <w:spacing w:after="0" w:line="240" w:lineRule="auto"/>
                    <w:rPr>
                      <w:color w:val="auto"/>
                      <w:szCs w:val="21"/>
                      <w:highlight w:val="none"/>
                      <w:lang w:val="en-US" w:eastAsia="zh-CN"/>
                    </w:rPr>
                  </w:pPr>
                  <w:r>
                    <w:rPr>
                      <w:color w:val="auto"/>
                      <w:szCs w:val="21"/>
                      <w:highlight w:val="none"/>
                      <w:lang w:val="en-US" w:eastAsia="zh-CN"/>
                    </w:rPr>
                    <w:t>最低环境温度/ ℃</w:t>
                  </w:r>
                </w:p>
              </w:tc>
              <w:tc>
                <w:tcPr>
                  <w:tcW w:w="2582" w:type="dxa"/>
                  <w:shd w:val="clear" w:color="auto" w:fill="FFFFFF"/>
                  <w:noWrap/>
                  <w:vAlign w:val="center"/>
                </w:tcPr>
                <w:p w14:paraId="76302F89">
                  <w:pPr>
                    <w:keepNext w:val="0"/>
                    <w:keepLines w:val="0"/>
                    <w:pageBreakBefore w:val="0"/>
                    <w:widowControl w:val="0"/>
                    <w:kinsoku/>
                    <w:wordWrap/>
                    <w:overflowPunct/>
                    <w:topLinePunct w:val="0"/>
                    <w:autoSpaceDE/>
                    <w:autoSpaceDN/>
                    <w:bidi w:val="0"/>
                    <w:adjustRightInd/>
                    <w:snapToGrid/>
                    <w:spacing w:beforeLines="0" w:line="240" w:lineRule="auto"/>
                    <w:ind w:left="0" w:leftChars="0" w:firstLine="0" w:firstLineChars="0"/>
                    <w:jc w:val="center"/>
                    <w:textAlignment w:val="auto"/>
                    <w:rPr>
                      <w:color w:val="auto"/>
                      <w:szCs w:val="21"/>
                      <w:highlight w:val="none"/>
                    </w:rPr>
                  </w:pPr>
                  <w:r>
                    <w:rPr>
                      <w:rFonts w:ascii="Times New Roman" w:hAnsi="Times New Roman" w:eastAsia="Times New Roman" w:cs="Times New Roman"/>
                      <w:color w:val="auto"/>
                      <w:spacing w:val="1"/>
                      <w:sz w:val="21"/>
                      <w:szCs w:val="21"/>
                    </w:rPr>
                    <w:t>-</w:t>
                  </w:r>
                  <w:r>
                    <w:rPr>
                      <w:rFonts w:hint="eastAsia"/>
                      <w:color w:val="auto"/>
                      <w:sz w:val="21"/>
                      <w:szCs w:val="21"/>
                      <w:lang w:val="en-US" w:eastAsia="zh-CN"/>
                    </w:rPr>
                    <w:t>37.6</w:t>
                  </w:r>
                </w:p>
              </w:tc>
            </w:tr>
            <w:tr w14:paraId="2CA7E4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59" w:type="pct"/>
                  <w:gridSpan w:val="2"/>
                  <w:shd w:val="clear" w:color="auto" w:fill="FFFFFF"/>
                  <w:noWrap w:val="0"/>
                  <w:vAlign w:val="center"/>
                </w:tcPr>
                <w:p w14:paraId="02234CED">
                  <w:pPr>
                    <w:pStyle w:val="82"/>
                    <w:tabs>
                      <w:tab w:val="center" w:pos="4153"/>
                      <w:tab w:val="right" w:pos="8306"/>
                    </w:tabs>
                    <w:adjustRightInd/>
                    <w:snapToGrid/>
                    <w:spacing w:after="0" w:line="240" w:lineRule="auto"/>
                    <w:rPr>
                      <w:color w:val="auto"/>
                      <w:szCs w:val="21"/>
                      <w:highlight w:val="none"/>
                      <w:lang w:val="en-US" w:eastAsia="zh-CN"/>
                    </w:rPr>
                  </w:pPr>
                  <w:r>
                    <w:rPr>
                      <w:color w:val="auto"/>
                      <w:szCs w:val="21"/>
                      <w:highlight w:val="none"/>
                      <w:lang w:val="en-US" w:eastAsia="zh-CN"/>
                    </w:rPr>
                    <w:t>土地利用类型</w:t>
                  </w:r>
                </w:p>
              </w:tc>
              <w:tc>
                <w:tcPr>
                  <w:tcW w:w="1541" w:type="pct"/>
                  <w:shd w:val="clear" w:color="auto" w:fill="FFFFFF"/>
                  <w:noWrap/>
                  <w:vAlign w:val="center"/>
                </w:tcPr>
                <w:p w14:paraId="0FE0A761">
                  <w:pPr>
                    <w:spacing w:line="240" w:lineRule="auto"/>
                    <w:jc w:val="center"/>
                    <w:rPr>
                      <w:rFonts w:hint="eastAsia" w:eastAsia="宋体"/>
                      <w:color w:val="auto"/>
                      <w:szCs w:val="21"/>
                      <w:highlight w:val="none"/>
                      <w:lang w:eastAsia="zh-CN"/>
                    </w:rPr>
                  </w:pPr>
                  <w:r>
                    <w:rPr>
                      <w:rFonts w:hint="eastAsia" w:eastAsia="宋体"/>
                      <w:color w:val="auto"/>
                      <w:szCs w:val="21"/>
                      <w:highlight w:val="none"/>
                      <w:lang w:eastAsia="zh-CN"/>
                    </w:rPr>
                    <w:t>林地</w:t>
                  </w:r>
                </w:p>
              </w:tc>
            </w:tr>
            <w:tr w14:paraId="2CF3E5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59" w:type="pct"/>
                  <w:gridSpan w:val="2"/>
                  <w:shd w:val="clear" w:color="auto" w:fill="FFFFFF"/>
                  <w:noWrap w:val="0"/>
                  <w:vAlign w:val="center"/>
                </w:tcPr>
                <w:p w14:paraId="1DF85892">
                  <w:pPr>
                    <w:pStyle w:val="82"/>
                    <w:tabs>
                      <w:tab w:val="center" w:pos="4153"/>
                      <w:tab w:val="right" w:pos="8306"/>
                    </w:tabs>
                    <w:adjustRightInd/>
                    <w:snapToGrid/>
                    <w:spacing w:after="0" w:line="240" w:lineRule="auto"/>
                    <w:rPr>
                      <w:color w:val="auto"/>
                      <w:szCs w:val="21"/>
                      <w:highlight w:val="none"/>
                      <w:lang w:val="en-US" w:eastAsia="zh-CN"/>
                    </w:rPr>
                  </w:pPr>
                  <w:r>
                    <w:rPr>
                      <w:color w:val="auto"/>
                      <w:szCs w:val="21"/>
                      <w:highlight w:val="none"/>
                      <w:lang w:val="en-US" w:eastAsia="zh-CN"/>
                    </w:rPr>
                    <w:t>区域湿度条件</w:t>
                  </w:r>
                </w:p>
              </w:tc>
              <w:tc>
                <w:tcPr>
                  <w:tcW w:w="1541" w:type="pct"/>
                  <w:shd w:val="clear" w:color="auto" w:fill="FFFFFF"/>
                  <w:noWrap/>
                  <w:vAlign w:val="center"/>
                </w:tcPr>
                <w:p w14:paraId="6FBF5338">
                  <w:pPr>
                    <w:spacing w:line="240" w:lineRule="auto"/>
                    <w:jc w:val="center"/>
                    <w:rPr>
                      <w:color w:val="auto"/>
                      <w:szCs w:val="21"/>
                      <w:highlight w:val="none"/>
                    </w:rPr>
                  </w:pPr>
                  <w:r>
                    <w:rPr>
                      <w:color w:val="auto"/>
                      <w:szCs w:val="21"/>
                      <w:highlight w:val="none"/>
                    </w:rPr>
                    <w:t>中等湿润</w:t>
                  </w:r>
                </w:p>
              </w:tc>
            </w:tr>
            <w:tr w14:paraId="2D6B77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5" w:type="pct"/>
                  <w:vMerge w:val="restart"/>
                  <w:shd w:val="clear" w:color="auto" w:fill="FFFFFF"/>
                  <w:noWrap w:val="0"/>
                  <w:vAlign w:val="center"/>
                </w:tcPr>
                <w:p w14:paraId="6126E8DB">
                  <w:pPr>
                    <w:pStyle w:val="82"/>
                    <w:tabs>
                      <w:tab w:val="center" w:pos="4153"/>
                      <w:tab w:val="right" w:pos="8306"/>
                    </w:tabs>
                    <w:adjustRightInd/>
                    <w:snapToGrid/>
                    <w:spacing w:after="0" w:line="240" w:lineRule="auto"/>
                    <w:rPr>
                      <w:color w:val="auto"/>
                      <w:szCs w:val="21"/>
                      <w:highlight w:val="none"/>
                      <w:lang w:val="en-US" w:eastAsia="zh-CN"/>
                    </w:rPr>
                  </w:pPr>
                  <w:r>
                    <w:rPr>
                      <w:color w:val="auto"/>
                      <w:szCs w:val="21"/>
                      <w:highlight w:val="none"/>
                      <w:lang w:val="en-US" w:eastAsia="zh-CN"/>
                    </w:rPr>
                    <w:t>是否考虑地形</w:t>
                  </w:r>
                </w:p>
              </w:tc>
              <w:tc>
                <w:tcPr>
                  <w:tcW w:w="2294" w:type="pct"/>
                  <w:shd w:val="clear" w:color="auto" w:fill="FFFFFF"/>
                  <w:noWrap/>
                  <w:vAlign w:val="center"/>
                </w:tcPr>
                <w:p w14:paraId="504D5913">
                  <w:pPr>
                    <w:pStyle w:val="82"/>
                    <w:tabs>
                      <w:tab w:val="center" w:pos="4153"/>
                      <w:tab w:val="right" w:pos="8306"/>
                    </w:tabs>
                    <w:adjustRightInd/>
                    <w:snapToGrid/>
                    <w:spacing w:after="0" w:line="240" w:lineRule="auto"/>
                    <w:rPr>
                      <w:color w:val="auto"/>
                      <w:szCs w:val="21"/>
                      <w:highlight w:val="none"/>
                      <w:lang w:val="en-US" w:eastAsia="zh-CN"/>
                    </w:rPr>
                  </w:pPr>
                  <w:r>
                    <w:rPr>
                      <w:color w:val="auto"/>
                      <w:szCs w:val="21"/>
                      <w:highlight w:val="none"/>
                      <w:lang w:val="en-US" w:eastAsia="zh-CN"/>
                    </w:rPr>
                    <w:t>考虑地形</w:t>
                  </w:r>
                </w:p>
              </w:tc>
              <w:tc>
                <w:tcPr>
                  <w:tcW w:w="1541" w:type="pct"/>
                  <w:shd w:val="clear" w:color="auto" w:fill="FFFFFF"/>
                  <w:noWrap/>
                  <w:vAlign w:val="center"/>
                </w:tcPr>
                <w:p w14:paraId="12D3DE4C">
                  <w:pPr>
                    <w:pStyle w:val="82"/>
                    <w:tabs>
                      <w:tab w:val="center" w:pos="4153"/>
                      <w:tab w:val="right" w:pos="8306"/>
                    </w:tabs>
                    <w:adjustRightInd/>
                    <w:snapToGrid/>
                    <w:spacing w:after="0" w:line="240" w:lineRule="auto"/>
                    <w:rPr>
                      <w:color w:val="auto"/>
                      <w:szCs w:val="21"/>
                      <w:highlight w:val="none"/>
                      <w:lang w:val="en-US" w:eastAsia="zh-CN"/>
                    </w:rPr>
                  </w:pPr>
                  <w:r>
                    <w:rPr>
                      <w:color w:val="auto"/>
                      <w:szCs w:val="21"/>
                      <w:highlight w:val="none"/>
                      <w:lang w:val="en-US" w:eastAsia="zh-CN"/>
                    </w:rPr>
                    <w:t>□是  √否</w:t>
                  </w:r>
                </w:p>
              </w:tc>
            </w:tr>
            <w:tr w14:paraId="3B0645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92" w:type="dxa"/>
                  <w:vMerge w:val="continue"/>
                  <w:shd w:val="clear" w:color="auto" w:fill="auto"/>
                  <w:noWrap w:val="0"/>
                  <w:vAlign w:val="center"/>
                </w:tcPr>
                <w:p w14:paraId="0D5151D5">
                  <w:pPr>
                    <w:widowControl/>
                    <w:spacing w:line="240" w:lineRule="auto"/>
                    <w:jc w:val="center"/>
                    <w:rPr>
                      <w:color w:val="auto"/>
                      <w:szCs w:val="21"/>
                      <w:highlight w:val="none"/>
                    </w:rPr>
                  </w:pPr>
                </w:p>
              </w:tc>
              <w:tc>
                <w:tcPr>
                  <w:tcW w:w="2294" w:type="pct"/>
                  <w:shd w:val="clear" w:color="auto" w:fill="FFFFFF"/>
                  <w:noWrap/>
                  <w:vAlign w:val="center"/>
                </w:tcPr>
                <w:p w14:paraId="5AE7A9CD">
                  <w:pPr>
                    <w:pStyle w:val="82"/>
                    <w:tabs>
                      <w:tab w:val="center" w:pos="4153"/>
                      <w:tab w:val="right" w:pos="8306"/>
                    </w:tabs>
                    <w:adjustRightInd/>
                    <w:snapToGrid/>
                    <w:spacing w:after="0" w:line="240" w:lineRule="auto"/>
                    <w:rPr>
                      <w:color w:val="auto"/>
                      <w:szCs w:val="21"/>
                      <w:highlight w:val="none"/>
                      <w:lang w:val="en-US" w:eastAsia="zh-CN"/>
                    </w:rPr>
                  </w:pPr>
                  <w:r>
                    <w:rPr>
                      <w:color w:val="auto"/>
                      <w:szCs w:val="21"/>
                      <w:highlight w:val="none"/>
                      <w:lang w:val="en-US" w:eastAsia="zh-CN"/>
                    </w:rPr>
                    <w:t>地形数据分辨率 / m</w:t>
                  </w:r>
                </w:p>
              </w:tc>
              <w:tc>
                <w:tcPr>
                  <w:tcW w:w="1541" w:type="pct"/>
                  <w:shd w:val="clear" w:color="auto" w:fill="FFFFFF"/>
                  <w:noWrap/>
                  <w:vAlign w:val="center"/>
                </w:tcPr>
                <w:p w14:paraId="29A548F6">
                  <w:pPr>
                    <w:pStyle w:val="82"/>
                    <w:tabs>
                      <w:tab w:val="center" w:pos="4153"/>
                      <w:tab w:val="right" w:pos="8306"/>
                    </w:tabs>
                    <w:adjustRightInd/>
                    <w:snapToGrid/>
                    <w:spacing w:after="0" w:line="240" w:lineRule="auto"/>
                    <w:rPr>
                      <w:color w:val="auto"/>
                      <w:szCs w:val="21"/>
                      <w:highlight w:val="none"/>
                      <w:lang w:val="en-US" w:eastAsia="zh-CN"/>
                    </w:rPr>
                  </w:pPr>
                  <w:r>
                    <w:rPr>
                      <w:color w:val="auto"/>
                      <w:szCs w:val="21"/>
                      <w:highlight w:val="none"/>
                      <w:lang w:val="en-US" w:eastAsia="zh-CN"/>
                    </w:rPr>
                    <w:t>/</w:t>
                  </w:r>
                </w:p>
              </w:tc>
            </w:tr>
            <w:tr w14:paraId="772509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65" w:type="pct"/>
                  <w:vMerge w:val="restart"/>
                  <w:shd w:val="clear" w:color="auto" w:fill="FFFFFF"/>
                  <w:noWrap w:val="0"/>
                  <w:vAlign w:val="center"/>
                </w:tcPr>
                <w:p w14:paraId="7A89DBCE">
                  <w:pPr>
                    <w:pStyle w:val="82"/>
                    <w:tabs>
                      <w:tab w:val="center" w:pos="4153"/>
                      <w:tab w:val="right" w:pos="8306"/>
                    </w:tabs>
                    <w:adjustRightInd/>
                    <w:snapToGrid/>
                    <w:spacing w:after="0" w:line="240" w:lineRule="auto"/>
                    <w:rPr>
                      <w:color w:val="auto"/>
                      <w:szCs w:val="21"/>
                      <w:highlight w:val="none"/>
                      <w:lang w:val="en-US" w:eastAsia="zh-CN"/>
                    </w:rPr>
                  </w:pPr>
                  <w:r>
                    <w:rPr>
                      <w:color w:val="auto"/>
                      <w:szCs w:val="21"/>
                      <w:highlight w:val="none"/>
                      <w:lang w:val="en-US" w:eastAsia="zh-CN"/>
                    </w:rPr>
                    <w:t>是否考虑岸线熏烟</w:t>
                  </w:r>
                </w:p>
              </w:tc>
              <w:tc>
                <w:tcPr>
                  <w:tcW w:w="2294" w:type="pct"/>
                  <w:shd w:val="clear" w:color="auto" w:fill="FFFFFF"/>
                  <w:noWrap/>
                  <w:vAlign w:val="center"/>
                </w:tcPr>
                <w:p w14:paraId="6B2CFDD2">
                  <w:pPr>
                    <w:pStyle w:val="82"/>
                    <w:tabs>
                      <w:tab w:val="center" w:pos="4153"/>
                      <w:tab w:val="right" w:pos="8306"/>
                    </w:tabs>
                    <w:adjustRightInd/>
                    <w:snapToGrid/>
                    <w:spacing w:after="0" w:line="240" w:lineRule="auto"/>
                    <w:rPr>
                      <w:color w:val="auto"/>
                      <w:szCs w:val="21"/>
                      <w:highlight w:val="none"/>
                      <w:lang w:val="en-US" w:eastAsia="zh-CN"/>
                    </w:rPr>
                  </w:pPr>
                  <w:r>
                    <w:rPr>
                      <w:color w:val="auto"/>
                      <w:szCs w:val="21"/>
                      <w:highlight w:val="none"/>
                      <w:lang w:val="en-US" w:eastAsia="zh-CN"/>
                    </w:rPr>
                    <w:t>考虑岸线熏烟</w:t>
                  </w:r>
                </w:p>
              </w:tc>
              <w:tc>
                <w:tcPr>
                  <w:tcW w:w="1541" w:type="pct"/>
                  <w:shd w:val="clear" w:color="auto" w:fill="FFFFFF"/>
                  <w:noWrap/>
                  <w:vAlign w:val="center"/>
                </w:tcPr>
                <w:p w14:paraId="45885C97">
                  <w:pPr>
                    <w:pStyle w:val="82"/>
                    <w:tabs>
                      <w:tab w:val="center" w:pos="4153"/>
                      <w:tab w:val="right" w:pos="8306"/>
                    </w:tabs>
                    <w:adjustRightInd/>
                    <w:snapToGrid/>
                    <w:spacing w:after="0" w:line="240" w:lineRule="auto"/>
                    <w:rPr>
                      <w:color w:val="auto"/>
                      <w:szCs w:val="21"/>
                      <w:highlight w:val="none"/>
                      <w:lang w:val="en-US" w:eastAsia="zh-CN"/>
                    </w:rPr>
                  </w:pPr>
                  <w:r>
                    <w:rPr>
                      <w:color w:val="auto"/>
                      <w:szCs w:val="21"/>
                      <w:highlight w:val="none"/>
                      <w:lang w:val="en-US" w:eastAsia="zh-CN"/>
                    </w:rPr>
                    <w:t>□是  √否</w:t>
                  </w:r>
                </w:p>
              </w:tc>
            </w:tr>
            <w:tr w14:paraId="3DE714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92" w:type="dxa"/>
                  <w:vMerge w:val="continue"/>
                  <w:shd w:val="clear" w:color="auto" w:fill="auto"/>
                  <w:noWrap w:val="0"/>
                  <w:vAlign w:val="center"/>
                </w:tcPr>
                <w:p w14:paraId="24DCDBA3">
                  <w:pPr>
                    <w:widowControl/>
                    <w:spacing w:line="240" w:lineRule="auto"/>
                    <w:jc w:val="center"/>
                    <w:rPr>
                      <w:color w:val="auto"/>
                      <w:szCs w:val="21"/>
                      <w:highlight w:val="none"/>
                    </w:rPr>
                  </w:pPr>
                </w:p>
              </w:tc>
              <w:tc>
                <w:tcPr>
                  <w:tcW w:w="2294" w:type="pct"/>
                  <w:shd w:val="clear" w:color="auto" w:fill="FFFFFF"/>
                  <w:noWrap/>
                  <w:vAlign w:val="center"/>
                </w:tcPr>
                <w:p w14:paraId="6CB33C75">
                  <w:pPr>
                    <w:pStyle w:val="82"/>
                    <w:tabs>
                      <w:tab w:val="center" w:pos="4153"/>
                      <w:tab w:val="right" w:pos="8306"/>
                    </w:tabs>
                    <w:adjustRightInd/>
                    <w:snapToGrid/>
                    <w:spacing w:after="0" w:line="240" w:lineRule="auto"/>
                    <w:rPr>
                      <w:color w:val="auto"/>
                      <w:szCs w:val="21"/>
                      <w:highlight w:val="none"/>
                      <w:lang w:val="en-US" w:eastAsia="zh-CN"/>
                    </w:rPr>
                  </w:pPr>
                  <w:r>
                    <w:rPr>
                      <w:color w:val="auto"/>
                      <w:szCs w:val="21"/>
                      <w:highlight w:val="none"/>
                      <w:lang w:val="en-US" w:eastAsia="zh-CN"/>
                    </w:rPr>
                    <w:t>岸线距离/ km</w:t>
                  </w:r>
                </w:p>
              </w:tc>
              <w:tc>
                <w:tcPr>
                  <w:tcW w:w="1541" w:type="pct"/>
                  <w:shd w:val="clear" w:color="auto" w:fill="FFFFFF"/>
                  <w:noWrap/>
                  <w:vAlign w:val="center"/>
                </w:tcPr>
                <w:p w14:paraId="02032334">
                  <w:pPr>
                    <w:pStyle w:val="82"/>
                    <w:tabs>
                      <w:tab w:val="center" w:pos="4153"/>
                      <w:tab w:val="right" w:pos="8306"/>
                    </w:tabs>
                    <w:adjustRightInd/>
                    <w:snapToGrid/>
                    <w:spacing w:after="0" w:line="240" w:lineRule="auto"/>
                    <w:rPr>
                      <w:color w:val="auto"/>
                      <w:szCs w:val="21"/>
                      <w:highlight w:val="none"/>
                      <w:lang w:val="en-US" w:eastAsia="zh-CN"/>
                    </w:rPr>
                  </w:pPr>
                  <w:r>
                    <w:rPr>
                      <w:color w:val="auto"/>
                      <w:szCs w:val="21"/>
                      <w:highlight w:val="none"/>
                      <w:lang w:val="en-US" w:eastAsia="zh-CN"/>
                    </w:rPr>
                    <w:t>/</w:t>
                  </w:r>
                </w:p>
              </w:tc>
            </w:tr>
            <w:tr w14:paraId="74AF5B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92" w:type="dxa"/>
                  <w:vMerge w:val="continue"/>
                  <w:shd w:val="clear" w:color="auto" w:fill="auto"/>
                  <w:noWrap w:val="0"/>
                  <w:vAlign w:val="center"/>
                </w:tcPr>
                <w:p w14:paraId="3308C213">
                  <w:pPr>
                    <w:widowControl/>
                    <w:spacing w:line="240" w:lineRule="auto"/>
                    <w:jc w:val="center"/>
                    <w:rPr>
                      <w:color w:val="auto"/>
                      <w:szCs w:val="21"/>
                      <w:highlight w:val="none"/>
                    </w:rPr>
                  </w:pPr>
                </w:p>
              </w:tc>
              <w:tc>
                <w:tcPr>
                  <w:tcW w:w="2294" w:type="pct"/>
                  <w:shd w:val="clear" w:color="auto" w:fill="FFFFFF"/>
                  <w:noWrap/>
                  <w:vAlign w:val="center"/>
                </w:tcPr>
                <w:p w14:paraId="79761BD9">
                  <w:pPr>
                    <w:pStyle w:val="82"/>
                    <w:tabs>
                      <w:tab w:val="center" w:pos="4153"/>
                      <w:tab w:val="right" w:pos="8306"/>
                    </w:tabs>
                    <w:adjustRightInd/>
                    <w:snapToGrid/>
                    <w:spacing w:after="0" w:line="240" w:lineRule="auto"/>
                    <w:rPr>
                      <w:color w:val="auto"/>
                      <w:szCs w:val="21"/>
                      <w:highlight w:val="none"/>
                      <w:lang w:val="en-US" w:eastAsia="zh-CN"/>
                    </w:rPr>
                  </w:pPr>
                  <w:r>
                    <w:rPr>
                      <w:color w:val="auto"/>
                      <w:szCs w:val="21"/>
                      <w:highlight w:val="none"/>
                      <w:lang w:val="en-US" w:eastAsia="zh-CN"/>
                    </w:rPr>
                    <w:t>岸线方向/ °</w:t>
                  </w:r>
                </w:p>
              </w:tc>
              <w:tc>
                <w:tcPr>
                  <w:tcW w:w="1541" w:type="pct"/>
                  <w:shd w:val="clear" w:color="auto" w:fill="FFFFFF"/>
                  <w:noWrap/>
                  <w:vAlign w:val="center"/>
                </w:tcPr>
                <w:p w14:paraId="298BD35D">
                  <w:pPr>
                    <w:pStyle w:val="82"/>
                    <w:tabs>
                      <w:tab w:val="center" w:pos="4153"/>
                      <w:tab w:val="right" w:pos="8306"/>
                    </w:tabs>
                    <w:adjustRightInd/>
                    <w:snapToGrid/>
                    <w:spacing w:after="0" w:line="240" w:lineRule="auto"/>
                    <w:rPr>
                      <w:color w:val="auto"/>
                      <w:szCs w:val="21"/>
                      <w:highlight w:val="none"/>
                      <w:lang w:val="en-US" w:eastAsia="zh-CN"/>
                    </w:rPr>
                  </w:pPr>
                  <w:r>
                    <w:rPr>
                      <w:color w:val="auto"/>
                      <w:szCs w:val="21"/>
                      <w:highlight w:val="none"/>
                      <w:lang w:val="en-US" w:eastAsia="zh-CN"/>
                    </w:rPr>
                    <w:t>/</w:t>
                  </w:r>
                </w:p>
              </w:tc>
            </w:tr>
          </w:tbl>
          <w:p w14:paraId="0CBA1120">
            <w:pPr>
              <w:rPr>
                <w:color w:val="auto"/>
                <w:szCs w:val="21"/>
                <w:highlight w:val="none"/>
              </w:rPr>
            </w:pPr>
            <w:r>
              <w:rPr>
                <w:color w:val="auto"/>
                <w:szCs w:val="21"/>
                <w:highlight w:val="none"/>
              </w:rPr>
              <w:t>注：根据导则要求，本项目为报告表，采用估算模式时，无需输入地形参数。</w:t>
            </w:r>
          </w:p>
          <w:p w14:paraId="4F589C3E">
            <w:pPr>
              <w:pStyle w:val="68"/>
              <w:numPr>
                <w:ilvl w:val="0"/>
                <w:numId w:val="19"/>
              </w:numPr>
              <w:spacing w:line="360" w:lineRule="auto"/>
              <w:ind w:left="0" w:leftChars="0" w:firstLine="0" w:firstLineChars="0"/>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  项目无组织废气产排污情况一览表</w:t>
            </w:r>
          </w:p>
          <w:tbl>
            <w:tblPr>
              <w:tblStyle w:val="25"/>
              <w:tblW w:w="497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19"/>
              <w:gridCol w:w="1033"/>
              <w:gridCol w:w="1147"/>
              <w:gridCol w:w="718"/>
              <w:gridCol w:w="724"/>
              <w:gridCol w:w="655"/>
              <w:gridCol w:w="571"/>
              <w:gridCol w:w="622"/>
              <w:gridCol w:w="608"/>
              <w:gridCol w:w="874"/>
              <w:gridCol w:w="946"/>
            </w:tblGrid>
            <w:tr w14:paraId="146CBB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08" w:type="pct"/>
                  <w:vMerge w:val="restart"/>
                  <w:noWrap w:val="0"/>
                  <w:vAlign w:val="center"/>
                </w:tcPr>
                <w:p w14:paraId="6EAD2592">
                  <w:pPr>
                    <w:pStyle w:val="56"/>
                    <w:autoSpaceDE/>
                    <w:autoSpaceDN/>
                    <w:spacing w:line="240" w:lineRule="auto"/>
                    <w:rPr>
                      <w:rFonts w:ascii="Times New Roman" w:hAnsi="Times New Roman" w:cs="Times New Roman"/>
                      <w:b/>
                      <w:bCs/>
                      <w:color w:val="auto"/>
                      <w:sz w:val="21"/>
                      <w:szCs w:val="21"/>
                      <w:highlight w:val="none"/>
                      <w:lang w:eastAsia="zh-CN"/>
                    </w:rPr>
                  </w:pPr>
                  <w:r>
                    <w:rPr>
                      <w:rFonts w:ascii="Times New Roman" w:hAnsi="Times New Roman" w:cs="Times New Roman"/>
                      <w:b/>
                      <w:bCs/>
                      <w:color w:val="auto"/>
                      <w:sz w:val="21"/>
                      <w:szCs w:val="21"/>
                      <w:highlight w:val="none"/>
                      <w:lang w:eastAsia="zh-CN"/>
                    </w:rPr>
                    <w:t>名称</w:t>
                  </w:r>
                </w:p>
              </w:tc>
              <w:tc>
                <w:tcPr>
                  <w:tcW w:w="1294" w:type="pct"/>
                  <w:gridSpan w:val="2"/>
                  <w:noWrap w:val="0"/>
                  <w:vAlign w:val="center"/>
                </w:tcPr>
                <w:p w14:paraId="113A8691">
                  <w:pPr>
                    <w:pStyle w:val="56"/>
                    <w:autoSpaceDE/>
                    <w:autoSpaceDN/>
                    <w:spacing w:line="240" w:lineRule="auto"/>
                    <w:rPr>
                      <w:rFonts w:ascii="Times New Roman" w:hAnsi="Times New Roman" w:cs="Times New Roman"/>
                      <w:b/>
                      <w:bCs/>
                      <w:color w:val="auto"/>
                      <w:sz w:val="21"/>
                      <w:szCs w:val="21"/>
                      <w:highlight w:val="none"/>
                      <w:lang w:eastAsia="zh-CN"/>
                    </w:rPr>
                  </w:pPr>
                  <w:r>
                    <w:rPr>
                      <w:rFonts w:ascii="Times New Roman" w:hAnsi="Times New Roman" w:cs="Times New Roman"/>
                      <w:b/>
                      <w:bCs/>
                      <w:color w:val="auto"/>
                      <w:sz w:val="21"/>
                      <w:szCs w:val="21"/>
                      <w:highlight w:val="none"/>
                      <w:lang w:eastAsia="zh-CN"/>
                    </w:rPr>
                    <w:t>面源起点坐标/m</w:t>
                  </w:r>
                </w:p>
              </w:tc>
              <w:tc>
                <w:tcPr>
                  <w:tcW w:w="426" w:type="pct"/>
                  <w:vMerge w:val="restart"/>
                  <w:noWrap w:val="0"/>
                  <w:vAlign w:val="center"/>
                </w:tcPr>
                <w:p w14:paraId="11C883F7">
                  <w:pPr>
                    <w:pStyle w:val="56"/>
                    <w:autoSpaceDE/>
                    <w:autoSpaceDN/>
                    <w:spacing w:line="240" w:lineRule="auto"/>
                    <w:rPr>
                      <w:rFonts w:ascii="Times New Roman" w:hAnsi="Times New Roman" w:cs="Times New Roman"/>
                      <w:b/>
                      <w:bCs/>
                      <w:color w:val="auto"/>
                      <w:sz w:val="21"/>
                      <w:szCs w:val="21"/>
                      <w:highlight w:val="none"/>
                      <w:lang w:eastAsia="zh-CN"/>
                    </w:rPr>
                  </w:pPr>
                  <w:r>
                    <w:rPr>
                      <w:rFonts w:ascii="Times New Roman" w:hAnsi="Times New Roman" w:cs="Times New Roman"/>
                      <w:b/>
                      <w:bCs/>
                      <w:color w:val="auto"/>
                      <w:sz w:val="21"/>
                      <w:szCs w:val="21"/>
                      <w:highlight w:val="none"/>
                      <w:lang w:eastAsia="zh-CN"/>
                    </w:rPr>
                    <w:t>面源</w:t>
                  </w:r>
                  <w:r>
                    <w:rPr>
                      <w:rFonts w:hint="eastAsia" w:ascii="Times New Roman" w:hAnsi="Times New Roman" w:cs="Times New Roman"/>
                      <w:b/>
                      <w:bCs/>
                      <w:color w:val="auto"/>
                      <w:sz w:val="21"/>
                      <w:szCs w:val="21"/>
                      <w:highlight w:val="none"/>
                      <w:lang w:eastAsia="zh-CN"/>
                    </w:rPr>
                    <w:t>海拔</w:t>
                  </w:r>
                  <w:r>
                    <w:rPr>
                      <w:rFonts w:ascii="Times New Roman" w:hAnsi="Times New Roman" w:cs="Times New Roman"/>
                      <w:b/>
                      <w:bCs/>
                      <w:color w:val="auto"/>
                      <w:sz w:val="21"/>
                      <w:szCs w:val="21"/>
                      <w:highlight w:val="none"/>
                      <w:lang w:eastAsia="zh-CN"/>
                    </w:rPr>
                    <w:t>/m</w:t>
                  </w:r>
                </w:p>
              </w:tc>
              <w:tc>
                <w:tcPr>
                  <w:tcW w:w="430" w:type="pct"/>
                  <w:vMerge w:val="restart"/>
                  <w:noWrap w:val="0"/>
                  <w:vAlign w:val="center"/>
                </w:tcPr>
                <w:p w14:paraId="6B086158">
                  <w:pPr>
                    <w:pStyle w:val="56"/>
                    <w:autoSpaceDE/>
                    <w:autoSpaceDN/>
                    <w:spacing w:line="240" w:lineRule="auto"/>
                    <w:rPr>
                      <w:rFonts w:ascii="Times New Roman" w:hAnsi="Times New Roman" w:cs="Times New Roman"/>
                      <w:b/>
                      <w:bCs/>
                      <w:color w:val="auto"/>
                      <w:sz w:val="21"/>
                      <w:szCs w:val="21"/>
                      <w:highlight w:val="none"/>
                      <w:lang w:eastAsia="zh-CN"/>
                    </w:rPr>
                  </w:pPr>
                  <w:r>
                    <w:rPr>
                      <w:rFonts w:ascii="Times New Roman" w:hAnsi="Times New Roman" w:cs="Times New Roman"/>
                      <w:b/>
                      <w:bCs/>
                      <w:color w:val="auto"/>
                      <w:sz w:val="21"/>
                      <w:szCs w:val="21"/>
                      <w:highlight w:val="none"/>
                      <w:lang w:eastAsia="zh-CN"/>
                    </w:rPr>
                    <w:t>面源</w:t>
                  </w:r>
                  <w:r>
                    <w:rPr>
                      <w:rFonts w:hint="eastAsia" w:ascii="Times New Roman" w:hAnsi="Times New Roman" w:cs="Times New Roman"/>
                      <w:b/>
                      <w:bCs/>
                      <w:color w:val="auto"/>
                      <w:sz w:val="21"/>
                      <w:szCs w:val="21"/>
                      <w:highlight w:val="none"/>
                      <w:lang w:eastAsia="zh-CN"/>
                    </w:rPr>
                    <w:t>面积</w:t>
                  </w:r>
                </w:p>
                <w:p w14:paraId="2B42B428">
                  <w:pPr>
                    <w:pStyle w:val="56"/>
                    <w:autoSpaceDE/>
                    <w:autoSpaceDN/>
                    <w:spacing w:line="240" w:lineRule="auto"/>
                    <w:rPr>
                      <w:rFonts w:hint="default" w:ascii="Times New Roman" w:hAnsi="Times New Roman" w:cs="Times New Roman"/>
                      <w:b/>
                      <w:bCs/>
                      <w:color w:val="auto"/>
                      <w:sz w:val="21"/>
                      <w:szCs w:val="21"/>
                      <w:highlight w:val="none"/>
                      <w:lang w:val="en-US" w:eastAsia="zh-CN"/>
                    </w:rPr>
                  </w:pPr>
                  <w:r>
                    <w:rPr>
                      <w:rFonts w:ascii="Times New Roman" w:hAnsi="Times New Roman" w:cs="Times New Roman"/>
                      <w:b/>
                      <w:bCs/>
                      <w:color w:val="auto"/>
                      <w:sz w:val="21"/>
                      <w:szCs w:val="21"/>
                      <w:highlight w:val="none"/>
                      <w:lang w:eastAsia="zh-CN"/>
                    </w:rPr>
                    <w:t>/m</w:t>
                  </w:r>
                  <w:r>
                    <w:rPr>
                      <w:rFonts w:hint="eastAsia" w:ascii="Times New Roman" w:hAnsi="Times New Roman" w:cs="Times New Roman"/>
                      <w:b/>
                      <w:bCs/>
                      <w:color w:val="auto"/>
                      <w:sz w:val="21"/>
                      <w:szCs w:val="21"/>
                      <w:highlight w:val="none"/>
                      <w:vertAlign w:val="superscript"/>
                      <w:lang w:val="en-US" w:eastAsia="zh-CN"/>
                    </w:rPr>
                    <w:t>2</w:t>
                  </w:r>
                </w:p>
              </w:tc>
              <w:tc>
                <w:tcPr>
                  <w:tcW w:w="389" w:type="pct"/>
                  <w:vMerge w:val="restart"/>
                  <w:noWrap w:val="0"/>
                  <w:vAlign w:val="center"/>
                </w:tcPr>
                <w:p w14:paraId="11D7450F">
                  <w:pPr>
                    <w:pStyle w:val="56"/>
                    <w:autoSpaceDE/>
                    <w:autoSpaceDN/>
                    <w:spacing w:line="240" w:lineRule="auto"/>
                    <w:rPr>
                      <w:rFonts w:ascii="Times New Roman" w:hAnsi="Times New Roman" w:cs="Times New Roman"/>
                      <w:b/>
                      <w:bCs/>
                      <w:color w:val="auto"/>
                      <w:sz w:val="21"/>
                      <w:szCs w:val="21"/>
                      <w:highlight w:val="none"/>
                      <w:lang w:eastAsia="zh-CN"/>
                    </w:rPr>
                  </w:pPr>
                  <w:r>
                    <w:rPr>
                      <w:rFonts w:ascii="Times New Roman" w:hAnsi="Times New Roman" w:cs="Times New Roman"/>
                      <w:b/>
                      <w:bCs/>
                      <w:color w:val="auto"/>
                      <w:sz w:val="21"/>
                      <w:szCs w:val="21"/>
                      <w:highlight w:val="none"/>
                      <w:lang w:eastAsia="zh-CN"/>
                    </w:rPr>
                    <w:t>与正北向夹角</w:t>
                  </w:r>
                </w:p>
                <w:p w14:paraId="25949596">
                  <w:pPr>
                    <w:pStyle w:val="56"/>
                    <w:autoSpaceDE/>
                    <w:autoSpaceDN/>
                    <w:spacing w:line="240" w:lineRule="auto"/>
                    <w:rPr>
                      <w:rFonts w:hint="default" w:ascii="Times New Roman" w:hAnsi="Times New Roman" w:cs="Times New Roman"/>
                      <w:b/>
                      <w:bCs/>
                      <w:color w:val="auto"/>
                      <w:sz w:val="21"/>
                      <w:szCs w:val="21"/>
                      <w:highlight w:val="none"/>
                      <w:lang w:val="en-US" w:eastAsia="zh-CN"/>
                    </w:rPr>
                  </w:pPr>
                  <w:r>
                    <w:rPr>
                      <w:rFonts w:ascii="Times New Roman" w:hAnsi="Times New Roman" w:cs="Times New Roman"/>
                      <w:b/>
                      <w:bCs/>
                      <w:color w:val="auto"/>
                      <w:sz w:val="21"/>
                      <w:szCs w:val="21"/>
                      <w:highlight w:val="none"/>
                      <w:lang w:eastAsia="zh-CN"/>
                    </w:rPr>
                    <w:t>/</w:t>
                  </w:r>
                  <w:r>
                    <w:rPr>
                      <w:rFonts w:ascii="Times New Roman" w:hAnsi="Times New Roman" w:cs="Times New Roman"/>
                      <w:b/>
                      <w:bCs/>
                      <w:color w:val="auto"/>
                      <w:spacing w:val="3"/>
                      <w:sz w:val="21"/>
                      <w:szCs w:val="21"/>
                      <w:highlight w:val="none"/>
                      <w:lang w:eastAsia="zh-CN"/>
                    </w:rPr>
                    <w:t xml:space="preserve"> </w:t>
                  </w:r>
                  <w:r>
                    <w:rPr>
                      <w:rFonts w:ascii="Times New Roman" w:hAnsi="Times New Roman" w:cs="Times New Roman"/>
                      <w:b/>
                      <w:bCs/>
                      <w:color w:val="auto"/>
                      <w:sz w:val="21"/>
                      <w:szCs w:val="21"/>
                      <w:highlight w:val="none"/>
                      <w:lang w:eastAsia="zh-CN"/>
                    </w:rPr>
                    <w:t>°</w:t>
                  </w:r>
                  <w:r>
                    <w:rPr>
                      <w:rFonts w:hint="eastAsia" w:ascii="Times New Roman" w:hAnsi="Times New Roman" w:cs="Times New Roman"/>
                      <w:b/>
                      <w:bCs/>
                      <w:color w:val="auto"/>
                      <w:sz w:val="21"/>
                      <w:szCs w:val="21"/>
                      <w:highlight w:val="none"/>
                      <w:lang w:val="en-US" w:eastAsia="zh-CN"/>
                    </w:rPr>
                    <w:t>4</w:t>
                  </w:r>
                </w:p>
              </w:tc>
              <w:tc>
                <w:tcPr>
                  <w:tcW w:w="339" w:type="pct"/>
                  <w:vMerge w:val="restart"/>
                  <w:noWrap w:val="0"/>
                  <w:vAlign w:val="center"/>
                </w:tcPr>
                <w:p w14:paraId="3D28AEC1">
                  <w:pPr>
                    <w:pStyle w:val="56"/>
                    <w:autoSpaceDE/>
                    <w:autoSpaceDN/>
                    <w:spacing w:line="240" w:lineRule="auto"/>
                    <w:rPr>
                      <w:rFonts w:ascii="Times New Roman" w:hAnsi="Times New Roman" w:cs="Times New Roman"/>
                      <w:b/>
                      <w:bCs/>
                      <w:color w:val="auto"/>
                      <w:sz w:val="21"/>
                      <w:szCs w:val="21"/>
                      <w:highlight w:val="none"/>
                      <w:lang w:eastAsia="zh-CN"/>
                    </w:rPr>
                  </w:pPr>
                  <w:r>
                    <w:rPr>
                      <w:rFonts w:ascii="Times New Roman" w:hAnsi="Times New Roman" w:cs="Times New Roman"/>
                      <w:b/>
                      <w:bCs/>
                      <w:color w:val="auto"/>
                      <w:sz w:val="21"/>
                      <w:szCs w:val="21"/>
                      <w:highlight w:val="none"/>
                      <w:lang w:eastAsia="zh-CN"/>
                    </w:rPr>
                    <w:t>面源有效排放</w:t>
                  </w:r>
                  <w:r>
                    <w:rPr>
                      <w:rFonts w:ascii="Times New Roman" w:hAnsi="Times New Roman" w:cs="Times New Roman"/>
                      <w:b/>
                      <w:bCs/>
                      <w:color w:val="auto"/>
                      <w:spacing w:val="-1"/>
                      <w:sz w:val="21"/>
                      <w:szCs w:val="21"/>
                      <w:highlight w:val="none"/>
                      <w:lang w:eastAsia="zh-CN"/>
                    </w:rPr>
                    <w:t>高度/m</w:t>
                  </w:r>
                </w:p>
              </w:tc>
              <w:tc>
                <w:tcPr>
                  <w:tcW w:w="369" w:type="pct"/>
                  <w:vMerge w:val="restart"/>
                  <w:noWrap w:val="0"/>
                  <w:vAlign w:val="center"/>
                </w:tcPr>
                <w:p w14:paraId="7CD011FC">
                  <w:pPr>
                    <w:pStyle w:val="56"/>
                    <w:autoSpaceDE/>
                    <w:autoSpaceDN/>
                    <w:spacing w:line="240" w:lineRule="auto"/>
                    <w:rPr>
                      <w:rFonts w:ascii="Times New Roman" w:hAnsi="Times New Roman" w:cs="Times New Roman"/>
                      <w:b/>
                      <w:bCs/>
                      <w:color w:val="auto"/>
                      <w:sz w:val="21"/>
                      <w:szCs w:val="21"/>
                      <w:highlight w:val="none"/>
                      <w:lang w:eastAsia="zh-CN"/>
                    </w:rPr>
                  </w:pPr>
                  <w:r>
                    <w:rPr>
                      <w:rFonts w:ascii="Times New Roman" w:hAnsi="Times New Roman" w:cs="Times New Roman"/>
                      <w:b/>
                      <w:bCs/>
                      <w:color w:val="auto"/>
                      <w:sz w:val="21"/>
                      <w:szCs w:val="21"/>
                      <w:highlight w:val="none"/>
                      <w:lang w:eastAsia="zh-CN"/>
                    </w:rPr>
                    <w:t>年排放小</w:t>
                  </w:r>
                  <w:r>
                    <w:rPr>
                      <w:rFonts w:ascii="Times New Roman" w:hAnsi="Times New Roman" w:cs="Times New Roman"/>
                      <w:b/>
                      <w:bCs/>
                      <w:color w:val="auto"/>
                      <w:spacing w:val="-1"/>
                      <w:sz w:val="21"/>
                      <w:szCs w:val="21"/>
                      <w:highlight w:val="none"/>
                      <w:lang w:eastAsia="zh-CN"/>
                    </w:rPr>
                    <w:t>时数/h</w:t>
                  </w:r>
                </w:p>
              </w:tc>
              <w:tc>
                <w:tcPr>
                  <w:tcW w:w="361" w:type="pct"/>
                  <w:vMerge w:val="restart"/>
                  <w:noWrap w:val="0"/>
                  <w:vAlign w:val="center"/>
                </w:tcPr>
                <w:p w14:paraId="582F0404">
                  <w:pPr>
                    <w:pStyle w:val="56"/>
                    <w:autoSpaceDE/>
                    <w:autoSpaceDN/>
                    <w:spacing w:line="240" w:lineRule="auto"/>
                    <w:rPr>
                      <w:rFonts w:ascii="Times New Roman" w:hAnsi="Times New Roman" w:cs="Times New Roman"/>
                      <w:b/>
                      <w:bCs/>
                      <w:color w:val="auto"/>
                      <w:sz w:val="21"/>
                      <w:szCs w:val="21"/>
                      <w:highlight w:val="none"/>
                      <w:lang w:eastAsia="zh-CN"/>
                    </w:rPr>
                  </w:pPr>
                  <w:r>
                    <w:rPr>
                      <w:rFonts w:ascii="Times New Roman" w:hAnsi="Times New Roman" w:cs="Times New Roman"/>
                      <w:b/>
                      <w:bCs/>
                      <w:color w:val="auto"/>
                      <w:sz w:val="21"/>
                      <w:szCs w:val="21"/>
                      <w:highlight w:val="none"/>
                      <w:lang w:eastAsia="zh-CN"/>
                    </w:rPr>
                    <w:t>排放</w:t>
                  </w:r>
                </w:p>
                <w:p w14:paraId="4BE76675">
                  <w:pPr>
                    <w:pStyle w:val="56"/>
                    <w:autoSpaceDE/>
                    <w:autoSpaceDN/>
                    <w:spacing w:line="240" w:lineRule="auto"/>
                    <w:rPr>
                      <w:rFonts w:ascii="Times New Roman" w:hAnsi="Times New Roman" w:cs="Times New Roman"/>
                      <w:b/>
                      <w:bCs/>
                      <w:color w:val="auto"/>
                      <w:sz w:val="21"/>
                      <w:szCs w:val="21"/>
                      <w:highlight w:val="none"/>
                      <w:lang w:eastAsia="zh-CN"/>
                    </w:rPr>
                  </w:pPr>
                  <w:r>
                    <w:rPr>
                      <w:rFonts w:ascii="Times New Roman" w:hAnsi="Times New Roman" w:cs="Times New Roman"/>
                      <w:b/>
                      <w:bCs/>
                      <w:color w:val="auto"/>
                      <w:sz w:val="21"/>
                      <w:szCs w:val="21"/>
                      <w:highlight w:val="none"/>
                      <w:lang w:eastAsia="zh-CN"/>
                    </w:rPr>
                    <w:t>工况</w:t>
                  </w:r>
                </w:p>
              </w:tc>
              <w:tc>
                <w:tcPr>
                  <w:tcW w:w="519" w:type="pct"/>
                  <w:vMerge w:val="restart"/>
                  <w:noWrap w:val="0"/>
                  <w:vAlign w:val="center"/>
                </w:tcPr>
                <w:p w14:paraId="08A93F39">
                  <w:pPr>
                    <w:pStyle w:val="56"/>
                    <w:autoSpaceDE/>
                    <w:autoSpaceDN/>
                    <w:spacing w:line="240" w:lineRule="auto"/>
                    <w:rPr>
                      <w:rFonts w:ascii="Times New Roman" w:hAnsi="Times New Roman" w:cs="Times New Roman"/>
                      <w:b/>
                      <w:bCs/>
                      <w:color w:val="auto"/>
                      <w:sz w:val="21"/>
                      <w:szCs w:val="21"/>
                      <w:highlight w:val="none"/>
                      <w:lang w:eastAsia="zh-CN"/>
                    </w:rPr>
                  </w:pPr>
                  <w:r>
                    <w:rPr>
                      <w:rFonts w:ascii="Times New Roman" w:hAnsi="Times New Roman" w:cs="Times New Roman"/>
                      <w:b/>
                      <w:bCs/>
                      <w:color w:val="auto"/>
                      <w:sz w:val="21"/>
                      <w:szCs w:val="21"/>
                      <w:highlight w:val="none"/>
                      <w:lang w:eastAsia="zh-CN"/>
                    </w:rPr>
                    <w:t>污染物</w:t>
                  </w:r>
                </w:p>
              </w:tc>
              <w:tc>
                <w:tcPr>
                  <w:tcW w:w="561" w:type="pct"/>
                  <w:vMerge w:val="restart"/>
                  <w:noWrap w:val="0"/>
                  <w:vAlign w:val="center"/>
                </w:tcPr>
                <w:p w14:paraId="15F2EF0E">
                  <w:pPr>
                    <w:pStyle w:val="56"/>
                    <w:autoSpaceDE/>
                    <w:autoSpaceDN/>
                    <w:spacing w:line="240" w:lineRule="auto"/>
                    <w:rPr>
                      <w:rFonts w:ascii="Times New Roman" w:hAnsi="Times New Roman" w:cs="Times New Roman"/>
                      <w:b/>
                      <w:bCs/>
                      <w:color w:val="auto"/>
                      <w:sz w:val="21"/>
                      <w:szCs w:val="21"/>
                      <w:highlight w:val="none"/>
                    </w:rPr>
                  </w:pPr>
                  <w:r>
                    <w:rPr>
                      <w:rFonts w:ascii="Times New Roman" w:hAnsi="Times New Roman" w:cs="Times New Roman"/>
                      <w:b/>
                      <w:bCs/>
                      <w:color w:val="auto"/>
                      <w:sz w:val="21"/>
                      <w:szCs w:val="21"/>
                      <w:highlight w:val="none"/>
                    </w:rPr>
                    <w:t>排放</w:t>
                  </w:r>
                </w:p>
                <w:p w14:paraId="55E31F81">
                  <w:pPr>
                    <w:pStyle w:val="56"/>
                    <w:autoSpaceDE/>
                    <w:autoSpaceDN/>
                    <w:spacing w:line="240" w:lineRule="auto"/>
                    <w:rPr>
                      <w:rFonts w:ascii="Times New Roman" w:hAnsi="Times New Roman" w:cs="Times New Roman"/>
                      <w:b/>
                      <w:bCs/>
                      <w:color w:val="auto"/>
                      <w:sz w:val="21"/>
                      <w:szCs w:val="21"/>
                      <w:highlight w:val="none"/>
                    </w:rPr>
                  </w:pPr>
                  <w:r>
                    <w:rPr>
                      <w:rFonts w:ascii="Times New Roman" w:hAnsi="Times New Roman" w:cs="Times New Roman"/>
                      <w:b/>
                      <w:bCs/>
                      <w:color w:val="auto"/>
                      <w:sz w:val="21"/>
                      <w:szCs w:val="21"/>
                      <w:highlight w:val="none"/>
                    </w:rPr>
                    <w:t>速率</w:t>
                  </w:r>
                </w:p>
                <w:p w14:paraId="39B40A88">
                  <w:pPr>
                    <w:pStyle w:val="56"/>
                    <w:autoSpaceDE/>
                    <w:autoSpaceDN/>
                    <w:spacing w:line="240" w:lineRule="auto"/>
                    <w:rPr>
                      <w:rFonts w:ascii="Times New Roman" w:hAnsi="Times New Roman" w:cs="Times New Roman"/>
                      <w:b/>
                      <w:bCs/>
                      <w:color w:val="auto"/>
                      <w:sz w:val="21"/>
                      <w:szCs w:val="21"/>
                      <w:highlight w:val="none"/>
                      <w:lang w:eastAsia="zh-CN"/>
                    </w:rPr>
                  </w:pPr>
                  <w:r>
                    <w:rPr>
                      <w:rFonts w:hint="eastAsia" w:ascii="Times New Roman" w:hAnsi="Times New Roman" w:cs="Times New Roman"/>
                      <w:b/>
                      <w:bCs/>
                      <w:color w:val="auto"/>
                      <w:sz w:val="21"/>
                      <w:szCs w:val="21"/>
                      <w:highlight w:val="none"/>
                      <w:lang w:eastAsia="zh-CN"/>
                    </w:rPr>
                    <w:t>（k</w:t>
                  </w:r>
                  <w:r>
                    <w:rPr>
                      <w:rFonts w:ascii="Times New Roman" w:hAnsi="Times New Roman" w:cs="Times New Roman"/>
                      <w:b/>
                      <w:bCs/>
                      <w:color w:val="auto"/>
                      <w:sz w:val="21"/>
                      <w:szCs w:val="21"/>
                      <w:highlight w:val="none"/>
                      <w:lang w:eastAsia="zh-CN"/>
                    </w:rPr>
                    <w:t>g/</w:t>
                  </w:r>
                  <w:r>
                    <w:rPr>
                      <w:rFonts w:hint="eastAsia" w:ascii="Times New Roman" w:hAnsi="Times New Roman" w:cs="Times New Roman"/>
                      <w:b/>
                      <w:bCs/>
                      <w:color w:val="auto"/>
                      <w:sz w:val="21"/>
                      <w:szCs w:val="21"/>
                      <w:highlight w:val="none"/>
                      <w:lang w:eastAsia="zh-CN"/>
                    </w:rPr>
                    <w:t>h）</w:t>
                  </w:r>
                </w:p>
              </w:tc>
            </w:tr>
            <w:tr w14:paraId="5D7E40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08" w:type="pct"/>
                  <w:vMerge w:val="continue"/>
                  <w:noWrap w:val="0"/>
                  <w:vAlign w:val="center"/>
                </w:tcPr>
                <w:p w14:paraId="7A0DBD0A">
                  <w:pPr>
                    <w:widowControl/>
                    <w:spacing w:line="240" w:lineRule="auto"/>
                    <w:jc w:val="center"/>
                    <w:rPr>
                      <w:color w:val="auto"/>
                      <w:szCs w:val="21"/>
                      <w:highlight w:val="none"/>
                    </w:rPr>
                  </w:pPr>
                </w:p>
              </w:tc>
              <w:tc>
                <w:tcPr>
                  <w:tcW w:w="613" w:type="pct"/>
                  <w:noWrap w:val="0"/>
                  <w:vAlign w:val="center"/>
                </w:tcPr>
                <w:p w14:paraId="48680B27">
                  <w:pPr>
                    <w:pStyle w:val="56"/>
                    <w:autoSpaceDE/>
                    <w:autoSpaceDN/>
                    <w:spacing w:line="240" w:lineRule="auto"/>
                    <w:rPr>
                      <w:rFonts w:ascii="Times New Roman" w:hAnsi="Times New Roman" w:cs="Times New Roman"/>
                      <w:b/>
                      <w:bCs/>
                      <w:color w:val="auto"/>
                      <w:sz w:val="21"/>
                      <w:szCs w:val="21"/>
                      <w:highlight w:val="none"/>
                      <w:lang w:eastAsia="zh-CN"/>
                    </w:rPr>
                  </w:pPr>
                  <w:r>
                    <w:rPr>
                      <w:rFonts w:ascii="Times New Roman" w:hAnsi="Times New Roman" w:cs="Times New Roman"/>
                      <w:b/>
                      <w:bCs/>
                      <w:color w:val="auto"/>
                      <w:sz w:val="21"/>
                      <w:szCs w:val="21"/>
                      <w:highlight w:val="none"/>
                      <w:lang w:eastAsia="zh-CN"/>
                    </w:rPr>
                    <w:t>X</w:t>
                  </w:r>
                </w:p>
              </w:tc>
              <w:tc>
                <w:tcPr>
                  <w:tcW w:w="681" w:type="pct"/>
                  <w:noWrap w:val="0"/>
                  <w:vAlign w:val="center"/>
                </w:tcPr>
                <w:p w14:paraId="7FC364AE">
                  <w:pPr>
                    <w:pStyle w:val="56"/>
                    <w:autoSpaceDE/>
                    <w:autoSpaceDN/>
                    <w:spacing w:line="240" w:lineRule="auto"/>
                    <w:rPr>
                      <w:rFonts w:ascii="Times New Roman" w:hAnsi="Times New Roman" w:cs="Times New Roman"/>
                      <w:b/>
                      <w:bCs/>
                      <w:color w:val="auto"/>
                      <w:sz w:val="21"/>
                      <w:szCs w:val="21"/>
                      <w:highlight w:val="none"/>
                      <w:lang w:eastAsia="zh-CN"/>
                    </w:rPr>
                  </w:pPr>
                  <w:r>
                    <w:rPr>
                      <w:rFonts w:ascii="Times New Roman" w:hAnsi="Times New Roman" w:cs="Times New Roman"/>
                      <w:b/>
                      <w:bCs/>
                      <w:color w:val="auto"/>
                      <w:sz w:val="21"/>
                      <w:szCs w:val="21"/>
                      <w:highlight w:val="none"/>
                      <w:lang w:eastAsia="zh-CN"/>
                    </w:rPr>
                    <w:t>Y</w:t>
                  </w:r>
                </w:p>
              </w:tc>
              <w:tc>
                <w:tcPr>
                  <w:tcW w:w="426" w:type="pct"/>
                  <w:vMerge w:val="continue"/>
                  <w:noWrap w:val="0"/>
                  <w:vAlign w:val="center"/>
                </w:tcPr>
                <w:p w14:paraId="767FF970">
                  <w:pPr>
                    <w:widowControl/>
                    <w:spacing w:line="240" w:lineRule="auto"/>
                    <w:jc w:val="center"/>
                    <w:rPr>
                      <w:color w:val="auto"/>
                      <w:szCs w:val="21"/>
                      <w:highlight w:val="none"/>
                    </w:rPr>
                  </w:pPr>
                </w:p>
              </w:tc>
              <w:tc>
                <w:tcPr>
                  <w:tcW w:w="430" w:type="pct"/>
                  <w:vMerge w:val="continue"/>
                  <w:noWrap w:val="0"/>
                  <w:vAlign w:val="center"/>
                </w:tcPr>
                <w:p w14:paraId="3A7C8FB1">
                  <w:pPr>
                    <w:widowControl/>
                    <w:spacing w:line="240" w:lineRule="auto"/>
                    <w:jc w:val="center"/>
                    <w:rPr>
                      <w:color w:val="auto"/>
                      <w:szCs w:val="21"/>
                      <w:highlight w:val="none"/>
                    </w:rPr>
                  </w:pPr>
                </w:p>
              </w:tc>
              <w:tc>
                <w:tcPr>
                  <w:tcW w:w="389" w:type="pct"/>
                  <w:vMerge w:val="continue"/>
                  <w:noWrap w:val="0"/>
                  <w:vAlign w:val="center"/>
                </w:tcPr>
                <w:p w14:paraId="4AEC1903">
                  <w:pPr>
                    <w:widowControl/>
                    <w:spacing w:line="240" w:lineRule="auto"/>
                    <w:jc w:val="center"/>
                    <w:rPr>
                      <w:color w:val="auto"/>
                      <w:szCs w:val="21"/>
                      <w:highlight w:val="none"/>
                    </w:rPr>
                  </w:pPr>
                </w:p>
              </w:tc>
              <w:tc>
                <w:tcPr>
                  <w:tcW w:w="339" w:type="pct"/>
                  <w:vMerge w:val="continue"/>
                  <w:noWrap w:val="0"/>
                  <w:vAlign w:val="center"/>
                </w:tcPr>
                <w:p w14:paraId="643E042A">
                  <w:pPr>
                    <w:widowControl/>
                    <w:spacing w:line="240" w:lineRule="auto"/>
                    <w:jc w:val="center"/>
                    <w:rPr>
                      <w:color w:val="auto"/>
                      <w:szCs w:val="21"/>
                      <w:highlight w:val="none"/>
                    </w:rPr>
                  </w:pPr>
                </w:p>
              </w:tc>
              <w:tc>
                <w:tcPr>
                  <w:tcW w:w="369" w:type="pct"/>
                  <w:vMerge w:val="continue"/>
                  <w:noWrap w:val="0"/>
                  <w:vAlign w:val="center"/>
                </w:tcPr>
                <w:p w14:paraId="51B3C988">
                  <w:pPr>
                    <w:widowControl/>
                    <w:spacing w:line="240" w:lineRule="auto"/>
                    <w:jc w:val="center"/>
                    <w:rPr>
                      <w:color w:val="auto"/>
                      <w:szCs w:val="21"/>
                      <w:highlight w:val="none"/>
                    </w:rPr>
                  </w:pPr>
                </w:p>
              </w:tc>
              <w:tc>
                <w:tcPr>
                  <w:tcW w:w="361" w:type="pct"/>
                  <w:vMerge w:val="continue"/>
                  <w:noWrap w:val="0"/>
                  <w:vAlign w:val="center"/>
                </w:tcPr>
                <w:p w14:paraId="01BD56D0">
                  <w:pPr>
                    <w:widowControl/>
                    <w:spacing w:line="240" w:lineRule="auto"/>
                    <w:jc w:val="center"/>
                    <w:rPr>
                      <w:color w:val="auto"/>
                      <w:szCs w:val="21"/>
                      <w:highlight w:val="none"/>
                    </w:rPr>
                  </w:pPr>
                </w:p>
              </w:tc>
              <w:tc>
                <w:tcPr>
                  <w:tcW w:w="519" w:type="pct"/>
                  <w:vMerge w:val="continue"/>
                  <w:noWrap w:val="0"/>
                  <w:vAlign w:val="center"/>
                </w:tcPr>
                <w:p w14:paraId="3D784553">
                  <w:pPr>
                    <w:pStyle w:val="56"/>
                    <w:autoSpaceDE/>
                    <w:autoSpaceDN/>
                    <w:spacing w:line="240" w:lineRule="auto"/>
                    <w:rPr>
                      <w:rFonts w:ascii="Times New Roman" w:hAnsi="Times New Roman" w:cs="Times New Roman"/>
                      <w:color w:val="auto"/>
                      <w:sz w:val="21"/>
                      <w:szCs w:val="21"/>
                      <w:highlight w:val="none"/>
                      <w:lang w:eastAsia="zh-CN"/>
                    </w:rPr>
                  </w:pPr>
                </w:p>
              </w:tc>
              <w:tc>
                <w:tcPr>
                  <w:tcW w:w="561" w:type="pct"/>
                  <w:vMerge w:val="continue"/>
                  <w:noWrap w:val="0"/>
                  <w:vAlign w:val="center"/>
                </w:tcPr>
                <w:p w14:paraId="491B4EAD">
                  <w:pPr>
                    <w:pStyle w:val="56"/>
                    <w:autoSpaceDE/>
                    <w:autoSpaceDN/>
                    <w:spacing w:line="240" w:lineRule="auto"/>
                    <w:rPr>
                      <w:rFonts w:ascii="Times New Roman" w:hAnsi="Times New Roman" w:cs="Times New Roman"/>
                      <w:color w:val="auto"/>
                      <w:sz w:val="21"/>
                      <w:szCs w:val="21"/>
                      <w:highlight w:val="none"/>
                      <w:lang w:eastAsia="zh-CN"/>
                    </w:rPr>
                  </w:pPr>
                </w:p>
              </w:tc>
            </w:tr>
            <w:tr w14:paraId="16650D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08" w:type="pct"/>
                  <w:vMerge w:val="restart"/>
                  <w:noWrap w:val="0"/>
                  <w:vAlign w:val="center"/>
                </w:tcPr>
                <w:p w14:paraId="3F600586">
                  <w:pPr>
                    <w:pStyle w:val="56"/>
                    <w:autoSpaceDE/>
                    <w:autoSpaceDN/>
                    <w:spacing w:line="240" w:lineRule="auto"/>
                    <w:rPr>
                      <w:rFonts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lang w:eastAsia="zh-CN"/>
                    </w:rPr>
                    <w:t>生产</w:t>
                  </w:r>
                  <w:r>
                    <w:rPr>
                      <w:rFonts w:hint="default" w:ascii="Times New Roman" w:hAnsi="Times New Roman" w:eastAsia="宋体" w:cs="Times New Roman"/>
                      <w:color w:val="auto"/>
                      <w:sz w:val="21"/>
                      <w:szCs w:val="21"/>
                    </w:rPr>
                    <w:t>车间</w:t>
                  </w:r>
                </w:p>
              </w:tc>
              <w:tc>
                <w:tcPr>
                  <w:tcW w:w="613" w:type="pct"/>
                  <w:vMerge w:val="restart"/>
                  <w:noWrap w:val="0"/>
                  <w:vAlign w:val="center"/>
                </w:tcPr>
                <w:p w14:paraId="2A61921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kern w:val="0"/>
                      <w:szCs w:val="21"/>
                      <w:highlight w:val="none"/>
                      <w:lang w:bidi="ar"/>
                    </w:rPr>
                  </w:pPr>
                  <w:r>
                    <w:rPr>
                      <w:rFonts w:hint="default" w:ascii="Times New Roman" w:hAnsi="Times New Roman" w:eastAsia="宋体" w:cs="Times New Roman"/>
                      <w:color w:val="auto"/>
                      <w:sz w:val="21"/>
                      <w:szCs w:val="21"/>
                    </w:rPr>
                    <w:t>124.013910</w:t>
                  </w:r>
                </w:p>
              </w:tc>
              <w:tc>
                <w:tcPr>
                  <w:tcW w:w="681" w:type="pct"/>
                  <w:vMerge w:val="restart"/>
                  <w:noWrap w:val="0"/>
                  <w:vAlign w:val="center"/>
                </w:tcPr>
                <w:p w14:paraId="0514E06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kern w:val="0"/>
                      <w:szCs w:val="21"/>
                      <w:highlight w:val="none"/>
                      <w:lang w:bidi="ar"/>
                    </w:rPr>
                  </w:pPr>
                  <w:r>
                    <w:rPr>
                      <w:rFonts w:hint="default" w:ascii="Times New Roman" w:hAnsi="Times New Roman" w:eastAsia="宋体" w:cs="Times New Roman"/>
                      <w:color w:val="auto"/>
                      <w:sz w:val="21"/>
                      <w:szCs w:val="21"/>
                    </w:rPr>
                    <w:t>41.72348</w:t>
                  </w:r>
                  <w:r>
                    <w:rPr>
                      <w:rFonts w:hint="eastAsia" w:ascii="Times New Roman" w:hAnsi="Times New Roman" w:eastAsia="宋体" w:cs="Times New Roman"/>
                      <w:color w:val="auto"/>
                      <w:sz w:val="21"/>
                      <w:szCs w:val="21"/>
                      <w:lang w:val="en-US" w:eastAsia="zh-CN"/>
                    </w:rPr>
                    <w:t>3</w:t>
                  </w:r>
                </w:p>
              </w:tc>
              <w:tc>
                <w:tcPr>
                  <w:tcW w:w="426" w:type="pct"/>
                  <w:vMerge w:val="restart"/>
                  <w:noWrap w:val="0"/>
                  <w:vAlign w:val="center"/>
                </w:tcPr>
                <w:p w14:paraId="5CF8A4FE">
                  <w:pPr>
                    <w:pStyle w:val="56"/>
                    <w:autoSpaceDE/>
                    <w:autoSpaceDN/>
                    <w:spacing w:line="240" w:lineRule="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129</w:t>
                  </w:r>
                </w:p>
              </w:tc>
              <w:tc>
                <w:tcPr>
                  <w:tcW w:w="430" w:type="pct"/>
                  <w:vMerge w:val="restart"/>
                  <w:noWrap w:val="0"/>
                  <w:vAlign w:val="center"/>
                </w:tcPr>
                <w:p w14:paraId="0796D665">
                  <w:pPr>
                    <w:pStyle w:val="56"/>
                    <w:autoSpaceDE/>
                    <w:autoSpaceDN/>
                    <w:spacing w:line="240" w:lineRule="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7161.82</w:t>
                  </w:r>
                </w:p>
              </w:tc>
              <w:tc>
                <w:tcPr>
                  <w:tcW w:w="389" w:type="pct"/>
                  <w:vMerge w:val="restart"/>
                  <w:noWrap w:val="0"/>
                  <w:vAlign w:val="center"/>
                </w:tcPr>
                <w:p w14:paraId="1B6341B8">
                  <w:pPr>
                    <w:pStyle w:val="56"/>
                    <w:autoSpaceDE/>
                    <w:autoSpaceDN/>
                    <w:spacing w:line="240" w:lineRule="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30</w:t>
                  </w:r>
                </w:p>
              </w:tc>
              <w:tc>
                <w:tcPr>
                  <w:tcW w:w="339" w:type="pct"/>
                  <w:vMerge w:val="restart"/>
                  <w:noWrap w:val="0"/>
                  <w:vAlign w:val="center"/>
                </w:tcPr>
                <w:p w14:paraId="46AD9FA1">
                  <w:pPr>
                    <w:spacing w:line="240" w:lineRule="auto"/>
                    <w:jc w:val="center"/>
                    <w:rPr>
                      <w:rFonts w:hint="eastAsia" w:eastAsia="宋体"/>
                      <w:color w:val="auto"/>
                      <w:szCs w:val="21"/>
                      <w:highlight w:val="none"/>
                      <w:lang w:eastAsia="zh-CN"/>
                    </w:rPr>
                  </w:pPr>
                  <w:r>
                    <w:rPr>
                      <w:rFonts w:hint="eastAsia"/>
                      <w:color w:val="auto"/>
                      <w:szCs w:val="21"/>
                      <w:highlight w:val="none"/>
                      <w:lang w:val="en-US" w:eastAsia="zh-CN"/>
                    </w:rPr>
                    <w:t>4</w:t>
                  </w:r>
                </w:p>
              </w:tc>
              <w:tc>
                <w:tcPr>
                  <w:tcW w:w="369" w:type="pct"/>
                  <w:vMerge w:val="restart"/>
                  <w:noWrap w:val="0"/>
                  <w:vAlign w:val="center"/>
                </w:tcPr>
                <w:p w14:paraId="2CAD1CA0">
                  <w:pPr>
                    <w:pStyle w:val="56"/>
                    <w:autoSpaceDE/>
                    <w:autoSpaceDN/>
                    <w:spacing w:line="240" w:lineRule="auto"/>
                    <w:rPr>
                      <w:rFonts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val="en-US" w:eastAsia="zh-CN"/>
                    </w:rPr>
                    <w:t>297</w:t>
                  </w:r>
                  <w:r>
                    <w:rPr>
                      <w:rFonts w:hint="eastAsia" w:ascii="Times New Roman" w:hAnsi="Times New Roman" w:cs="Times New Roman"/>
                      <w:color w:val="auto"/>
                      <w:sz w:val="21"/>
                      <w:szCs w:val="21"/>
                      <w:highlight w:val="none"/>
                      <w:lang w:eastAsia="zh-CN"/>
                    </w:rPr>
                    <w:t>0</w:t>
                  </w:r>
                </w:p>
              </w:tc>
              <w:tc>
                <w:tcPr>
                  <w:tcW w:w="361" w:type="pct"/>
                  <w:vMerge w:val="restart"/>
                  <w:noWrap w:val="0"/>
                  <w:vAlign w:val="center"/>
                </w:tcPr>
                <w:p w14:paraId="17190AAE">
                  <w:pPr>
                    <w:pStyle w:val="56"/>
                    <w:autoSpaceDE/>
                    <w:autoSpaceDN/>
                    <w:spacing w:line="240" w:lineRule="auto"/>
                    <w:rPr>
                      <w:rFonts w:ascii="Times New Roman" w:hAnsi="Times New Roman" w:cs="Times New Roman"/>
                      <w:color w:val="auto"/>
                      <w:sz w:val="21"/>
                      <w:szCs w:val="21"/>
                      <w:highlight w:val="none"/>
                      <w:lang w:eastAsia="zh-CN"/>
                    </w:rPr>
                  </w:pPr>
                  <w:r>
                    <w:rPr>
                      <w:rFonts w:ascii="Times New Roman" w:hAnsi="Times New Roman" w:cs="Times New Roman"/>
                      <w:color w:val="auto"/>
                      <w:sz w:val="21"/>
                      <w:szCs w:val="21"/>
                      <w:highlight w:val="none"/>
                      <w:lang w:eastAsia="zh-CN"/>
                    </w:rPr>
                    <w:t>正常</w:t>
                  </w:r>
                </w:p>
              </w:tc>
              <w:tc>
                <w:tcPr>
                  <w:tcW w:w="874" w:type="dxa"/>
                  <w:noWrap w:val="0"/>
                  <w:vAlign w:val="center"/>
                </w:tcPr>
                <w:p w14:paraId="7BD58765">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szCs w:val="21"/>
                      <w:highlight w:val="none"/>
                    </w:rPr>
                  </w:pPr>
                  <w:r>
                    <w:rPr>
                      <w:rFonts w:hint="default" w:ascii="Times New Roman" w:hAnsi="Times New Roman" w:eastAsia="宋体" w:cs="Times New Roman"/>
                      <w:color w:val="auto"/>
                      <w:sz w:val="21"/>
                      <w:szCs w:val="21"/>
                      <w:lang w:eastAsia="zh-CN"/>
                    </w:rPr>
                    <w:t>颗粒物</w:t>
                  </w:r>
                </w:p>
              </w:tc>
              <w:tc>
                <w:tcPr>
                  <w:tcW w:w="946" w:type="dxa"/>
                  <w:noWrap w:val="0"/>
                  <w:vAlign w:val="center"/>
                </w:tcPr>
                <w:p w14:paraId="39A13BEC">
                  <w:pPr>
                    <w:spacing w:line="240" w:lineRule="auto"/>
                    <w:jc w:val="center"/>
                    <w:rPr>
                      <w:rFonts w:hint="default"/>
                      <w:color w:val="auto"/>
                      <w:szCs w:val="21"/>
                      <w:highlight w:val="none"/>
                      <w:lang w:val="en-US"/>
                    </w:rPr>
                  </w:pPr>
                  <w:r>
                    <w:rPr>
                      <w:rFonts w:hint="eastAsia"/>
                      <w:color w:val="auto"/>
                      <w:sz w:val="21"/>
                      <w:szCs w:val="21"/>
                      <w:lang w:val="en-US" w:eastAsia="zh-CN"/>
                    </w:rPr>
                    <w:t>0.191</w:t>
                  </w:r>
                </w:p>
              </w:tc>
            </w:tr>
            <w:tr w14:paraId="5CBD8D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08" w:type="pct"/>
                  <w:vMerge w:val="continue"/>
                  <w:noWrap w:val="0"/>
                  <w:vAlign w:val="center"/>
                </w:tcPr>
                <w:p w14:paraId="64016F88">
                  <w:pPr>
                    <w:pStyle w:val="56"/>
                    <w:autoSpaceDE/>
                    <w:autoSpaceDN/>
                    <w:spacing w:line="240" w:lineRule="auto"/>
                    <w:rPr>
                      <w:rFonts w:hint="eastAsia" w:ascii="Times New Roman" w:hAnsi="Times New Roman" w:cs="Times New Roman"/>
                      <w:color w:val="auto"/>
                      <w:sz w:val="21"/>
                      <w:szCs w:val="21"/>
                      <w:lang w:eastAsia="zh-CN"/>
                    </w:rPr>
                  </w:pPr>
                </w:p>
              </w:tc>
              <w:tc>
                <w:tcPr>
                  <w:tcW w:w="613" w:type="pct"/>
                  <w:vMerge w:val="continue"/>
                  <w:noWrap w:val="0"/>
                  <w:vAlign w:val="center"/>
                </w:tcPr>
                <w:p w14:paraId="08E7D0C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p>
              </w:tc>
              <w:tc>
                <w:tcPr>
                  <w:tcW w:w="681" w:type="pct"/>
                  <w:vMerge w:val="continue"/>
                  <w:noWrap w:val="0"/>
                  <w:vAlign w:val="center"/>
                </w:tcPr>
                <w:p w14:paraId="2C060FA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p>
              </w:tc>
              <w:tc>
                <w:tcPr>
                  <w:tcW w:w="426" w:type="pct"/>
                  <w:vMerge w:val="continue"/>
                  <w:noWrap w:val="0"/>
                  <w:vAlign w:val="center"/>
                </w:tcPr>
                <w:p w14:paraId="5DC6A451">
                  <w:pPr>
                    <w:pStyle w:val="56"/>
                    <w:autoSpaceDE/>
                    <w:autoSpaceDN/>
                    <w:spacing w:line="240" w:lineRule="auto"/>
                    <w:rPr>
                      <w:rFonts w:hint="eastAsia" w:ascii="Times New Roman" w:hAnsi="Times New Roman" w:cs="Times New Roman"/>
                      <w:color w:val="auto"/>
                      <w:sz w:val="21"/>
                      <w:szCs w:val="21"/>
                      <w:highlight w:val="none"/>
                      <w:lang w:val="en-US" w:eastAsia="zh-CN"/>
                    </w:rPr>
                  </w:pPr>
                </w:p>
              </w:tc>
              <w:tc>
                <w:tcPr>
                  <w:tcW w:w="430" w:type="pct"/>
                  <w:vMerge w:val="continue"/>
                  <w:noWrap w:val="0"/>
                  <w:vAlign w:val="center"/>
                </w:tcPr>
                <w:p w14:paraId="011F1E21">
                  <w:pPr>
                    <w:pStyle w:val="56"/>
                    <w:autoSpaceDE/>
                    <w:autoSpaceDN/>
                    <w:spacing w:line="240" w:lineRule="auto"/>
                    <w:rPr>
                      <w:rFonts w:hint="eastAsia" w:ascii="Times New Roman" w:hAnsi="Times New Roman" w:cs="Times New Roman"/>
                      <w:color w:val="auto"/>
                      <w:sz w:val="21"/>
                      <w:szCs w:val="21"/>
                      <w:highlight w:val="none"/>
                      <w:lang w:eastAsia="zh-CN"/>
                    </w:rPr>
                  </w:pPr>
                </w:p>
              </w:tc>
              <w:tc>
                <w:tcPr>
                  <w:tcW w:w="389" w:type="pct"/>
                  <w:vMerge w:val="continue"/>
                  <w:noWrap w:val="0"/>
                  <w:vAlign w:val="center"/>
                </w:tcPr>
                <w:p w14:paraId="770C6E89">
                  <w:pPr>
                    <w:pStyle w:val="56"/>
                    <w:autoSpaceDE/>
                    <w:autoSpaceDN/>
                    <w:spacing w:line="240" w:lineRule="auto"/>
                    <w:rPr>
                      <w:rFonts w:hint="eastAsia" w:ascii="Times New Roman" w:hAnsi="Times New Roman" w:cs="Times New Roman"/>
                      <w:color w:val="auto"/>
                      <w:sz w:val="21"/>
                      <w:szCs w:val="21"/>
                      <w:highlight w:val="none"/>
                      <w:lang w:val="en-US" w:eastAsia="zh-CN"/>
                    </w:rPr>
                  </w:pPr>
                </w:p>
              </w:tc>
              <w:tc>
                <w:tcPr>
                  <w:tcW w:w="339" w:type="pct"/>
                  <w:vMerge w:val="continue"/>
                  <w:noWrap w:val="0"/>
                  <w:vAlign w:val="center"/>
                </w:tcPr>
                <w:p w14:paraId="1F0643DE">
                  <w:pPr>
                    <w:spacing w:line="240" w:lineRule="auto"/>
                    <w:jc w:val="center"/>
                    <w:rPr>
                      <w:rFonts w:hint="eastAsia"/>
                      <w:color w:val="auto"/>
                      <w:szCs w:val="21"/>
                      <w:highlight w:val="none"/>
                      <w:lang w:val="en-US" w:eastAsia="zh-CN"/>
                    </w:rPr>
                  </w:pPr>
                </w:p>
              </w:tc>
              <w:tc>
                <w:tcPr>
                  <w:tcW w:w="369" w:type="pct"/>
                  <w:vMerge w:val="continue"/>
                  <w:noWrap w:val="0"/>
                  <w:vAlign w:val="center"/>
                </w:tcPr>
                <w:p w14:paraId="53461E00">
                  <w:pPr>
                    <w:pStyle w:val="56"/>
                    <w:autoSpaceDE/>
                    <w:autoSpaceDN/>
                    <w:spacing w:line="240" w:lineRule="auto"/>
                    <w:rPr>
                      <w:rFonts w:hint="eastAsia" w:ascii="Times New Roman" w:hAnsi="Times New Roman" w:cs="Times New Roman"/>
                      <w:color w:val="auto"/>
                      <w:sz w:val="21"/>
                      <w:szCs w:val="21"/>
                      <w:highlight w:val="none"/>
                      <w:lang w:val="en-US" w:eastAsia="zh-CN"/>
                    </w:rPr>
                  </w:pPr>
                </w:p>
              </w:tc>
              <w:tc>
                <w:tcPr>
                  <w:tcW w:w="361" w:type="pct"/>
                  <w:vMerge w:val="continue"/>
                  <w:noWrap w:val="0"/>
                  <w:vAlign w:val="center"/>
                </w:tcPr>
                <w:p w14:paraId="308975DC">
                  <w:pPr>
                    <w:pStyle w:val="56"/>
                    <w:autoSpaceDE/>
                    <w:autoSpaceDN/>
                    <w:spacing w:line="240" w:lineRule="auto"/>
                    <w:rPr>
                      <w:rFonts w:ascii="Times New Roman" w:hAnsi="Times New Roman" w:cs="Times New Roman"/>
                      <w:color w:val="auto"/>
                      <w:sz w:val="21"/>
                      <w:szCs w:val="21"/>
                      <w:highlight w:val="none"/>
                      <w:lang w:eastAsia="zh-CN"/>
                    </w:rPr>
                  </w:pPr>
                </w:p>
              </w:tc>
              <w:tc>
                <w:tcPr>
                  <w:tcW w:w="874" w:type="dxa"/>
                  <w:noWrap w:val="0"/>
                  <w:vAlign w:val="center"/>
                </w:tcPr>
                <w:p w14:paraId="1E0F852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auto"/>
                      <w:spacing w:val="3"/>
                      <w:szCs w:val="21"/>
                      <w:highlight w:val="none"/>
                    </w:rPr>
                  </w:pPr>
                  <w:r>
                    <w:rPr>
                      <w:rFonts w:hint="default" w:ascii="Times New Roman" w:hAnsi="Times New Roman" w:eastAsia="宋体" w:cs="Times New Roman"/>
                      <w:color w:val="auto"/>
                      <w:sz w:val="21"/>
                      <w:szCs w:val="21"/>
                      <w:lang w:eastAsia="zh-CN"/>
                    </w:rPr>
                    <w:t>VOC</w:t>
                  </w:r>
                  <w:r>
                    <w:rPr>
                      <w:rFonts w:hint="default" w:ascii="Times New Roman" w:hAnsi="Times New Roman" w:eastAsia="宋体" w:cs="Times New Roman"/>
                      <w:color w:val="auto"/>
                      <w:sz w:val="21"/>
                      <w:szCs w:val="21"/>
                      <w:vertAlign w:val="subscript"/>
                      <w:lang w:eastAsia="zh-CN"/>
                    </w:rPr>
                    <w:t>S</w:t>
                  </w:r>
                </w:p>
              </w:tc>
              <w:tc>
                <w:tcPr>
                  <w:tcW w:w="946" w:type="dxa"/>
                  <w:noWrap w:val="0"/>
                  <w:vAlign w:val="center"/>
                </w:tcPr>
                <w:p w14:paraId="4AC3B920">
                  <w:pPr>
                    <w:spacing w:line="240" w:lineRule="auto"/>
                    <w:jc w:val="center"/>
                    <w:rPr>
                      <w:rFonts w:hint="eastAsia"/>
                      <w:color w:val="auto"/>
                      <w:szCs w:val="21"/>
                      <w:highlight w:val="none"/>
                    </w:rPr>
                  </w:pPr>
                  <w:r>
                    <w:rPr>
                      <w:rFonts w:hint="default" w:ascii="Times New Roman" w:hAnsi="Times New Roman" w:eastAsia="宋体" w:cs="Times New Roman"/>
                      <w:bCs/>
                      <w:color w:val="auto"/>
                      <w:sz w:val="21"/>
                      <w:szCs w:val="21"/>
                    </w:rPr>
                    <w:t>0.0</w:t>
                  </w:r>
                  <w:r>
                    <w:rPr>
                      <w:rFonts w:hint="eastAsia" w:ascii="Times New Roman" w:hAnsi="Times New Roman" w:eastAsia="宋体" w:cs="Times New Roman"/>
                      <w:bCs/>
                      <w:color w:val="auto"/>
                      <w:sz w:val="21"/>
                      <w:szCs w:val="21"/>
                      <w:lang w:val="en-US" w:eastAsia="zh-CN"/>
                    </w:rPr>
                    <w:t>46</w:t>
                  </w:r>
                </w:p>
              </w:tc>
            </w:tr>
          </w:tbl>
          <w:p w14:paraId="662ABFAA">
            <w:pPr>
              <w:pStyle w:val="68"/>
              <w:numPr>
                <w:ilvl w:val="0"/>
                <w:numId w:val="0"/>
              </w:numPr>
              <w:tabs>
                <w:tab w:val="left" w:pos="0"/>
              </w:tabs>
              <w:spacing w:line="360" w:lineRule="auto"/>
              <w:ind w:leftChars="0"/>
              <w:jc w:val="both"/>
              <w:rPr>
                <w:rFonts w:hint="eastAsia" w:ascii="Times New Roman" w:hAnsi="Times New Roman" w:eastAsia="宋体" w:cs="Times New Roman"/>
                <w:color w:val="auto"/>
                <w:highlight w:val="none"/>
                <w:lang w:val="en-US" w:eastAsia="zh-CN"/>
              </w:rPr>
            </w:pPr>
          </w:p>
          <w:p w14:paraId="1DEEC5ED">
            <w:pPr>
              <w:pStyle w:val="68"/>
              <w:numPr>
                <w:ilvl w:val="0"/>
                <w:numId w:val="19"/>
              </w:numPr>
              <w:spacing w:line="360" w:lineRule="auto"/>
              <w:ind w:left="0" w:leftChars="0" w:firstLine="0" w:firstLineChars="0"/>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  无组织污染物贡献浓度预测结果表</w:t>
            </w:r>
          </w:p>
          <w:tbl>
            <w:tblPr>
              <w:tblStyle w:val="26"/>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65"/>
              <w:gridCol w:w="955"/>
              <w:gridCol w:w="1420"/>
              <w:gridCol w:w="1155"/>
              <w:gridCol w:w="1288"/>
              <w:gridCol w:w="1288"/>
              <w:gridCol w:w="1290"/>
            </w:tblGrid>
            <w:tr w14:paraId="29C7FF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23" w:type="dxa"/>
                  <w:gridSpan w:val="2"/>
                  <w:vMerge w:val="restart"/>
                  <w:tcBorders>
                    <w:tl2br w:val="nil"/>
                    <w:tr2bl w:val="nil"/>
                  </w:tcBorders>
                  <w:noWrap w:val="0"/>
                  <w:vAlign w:val="center"/>
                </w:tcPr>
                <w:p w14:paraId="4C86D8C1">
                  <w:pPr>
                    <w:pStyle w:val="99"/>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Style w:val="27"/>
                      <w:rFonts w:hint="default" w:ascii="Times New Roman" w:hAnsi="Times New Roman" w:eastAsia="宋体" w:cs="Times New Roman"/>
                      <w:color w:val="auto"/>
                      <w:sz w:val="21"/>
                      <w:szCs w:val="21"/>
                      <w:highlight w:val="none"/>
                    </w:rPr>
                  </w:pPr>
                  <w:r>
                    <w:rPr>
                      <w:rStyle w:val="27"/>
                      <w:rFonts w:hint="default" w:ascii="Times New Roman" w:hAnsi="Times New Roman" w:eastAsia="宋体" w:cs="Times New Roman"/>
                      <w:color w:val="auto"/>
                      <w:sz w:val="21"/>
                      <w:szCs w:val="21"/>
                      <w:highlight w:val="none"/>
                    </w:rPr>
                    <w:t>污染物种类</w:t>
                  </w:r>
                </w:p>
              </w:tc>
              <w:tc>
                <w:tcPr>
                  <w:tcW w:w="3866" w:type="dxa"/>
                  <w:gridSpan w:val="3"/>
                  <w:tcBorders>
                    <w:tl2br w:val="nil"/>
                    <w:tr2bl w:val="nil"/>
                  </w:tcBorders>
                  <w:noWrap w:val="0"/>
                  <w:vAlign w:val="center"/>
                </w:tcPr>
                <w:p w14:paraId="1CCC22A6">
                  <w:pPr>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无组织</w:t>
                  </w:r>
                </w:p>
              </w:tc>
              <w:tc>
                <w:tcPr>
                  <w:tcW w:w="1289" w:type="dxa"/>
                  <w:vMerge w:val="restart"/>
                  <w:tcBorders>
                    <w:tl2br w:val="nil"/>
                    <w:tr2bl w:val="nil"/>
                  </w:tcBorders>
                  <w:noWrap w:val="0"/>
                  <w:vAlign w:val="center"/>
                </w:tcPr>
                <w:p w14:paraId="327419B9">
                  <w:pPr>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评价标准</w:t>
                  </w:r>
                </w:p>
                <w:p w14:paraId="25974DF7">
                  <w:pPr>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kern w:val="0"/>
                      <w:sz w:val="21"/>
                      <w:szCs w:val="21"/>
                      <w:highlight w:val="none"/>
                    </w:rPr>
                    <w:t>μ</w:t>
                  </w:r>
                  <w:r>
                    <w:rPr>
                      <w:rFonts w:hint="default" w:ascii="Times New Roman" w:hAnsi="Times New Roman" w:eastAsia="宋体" w:cs="Times New Roman"/>
                      <w:color w:val="auto"/>
                      <w:sz w:val="21"/>
                      <w:szCs w:val="21"/>
                      <w:highlight w:val="none"/>
                      <w:lang w:val="en-US"/>
                    </w:rPr>
                    <w:t>g/m</w:t>
                  </w:r>
                  <w:r>
                    <w:rPr>
                      <w:rFonts w:hint="default" w:ascii="Times New Roman" w:hAnsi="Times New Roman" w:eastAsia="宋体" w:cs="Times New Roman"/>
                      <w:color w:val="auto"/>
                      <w:kern w:val="0"/>
                      <w:sz w:val="21"/>
                      <w:szCs w:val="21"/>
                      <w:highlight w:val="none"/>
                      <w:vertAlign w:val="superscript"/>
                    </w:rPr>
                    <w:t>3</w:t>
                  </w:r>
                  <w:r>
                    <w:rPr>
                      <w:rFonts w:hint="default" w:ascii="Times New Roman" w:hAnsi="Times New Roman" w:eastAsia="宋体" w:cs="Times New Roman"/>
                      <w:color w:val="auto"/>
                      <w:sz w:val="21"/>
                      <w:szCs w:val="21"/>
                      <w:highlight w:val="none"/>
                      <w:lang w:val="en-US" w:eastAsia="zh-CN"/>
                    </w:rPr>
                    <w:t>）</w:t>
                  </w:r>
                </w:p>
              </w:tc>
              <w:tc>
                <w:tcPr>
                  <w:tcW w:w="1291" w:type="dxa"/>
                  <w:vMerge w:val="restart"/>
                  <w:tcBorders>
                    <w:tl2br w:val="nil"/>
                    <w:tr2bl w:val="nil"/>
                  </w:tcBorders>
                  <w:noWrap w:val="0"/>
                  <w:vAlign w:val="center"/>
                </w:tcPr>
                <w:p w14:paraId="064D9C40">
                  <w:pPr>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rPr>
                    <w:t>Pmax</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rPr>
                    <w:t>%</w:t>
                  </w:r>
                  <w:r>
                    <w:rPr>
                      <w:rFonts w:hint="default" w:ascii="Times New Roman" w:hAnsi="Times New Roman" w:eastAsia="宋体" w:cs="Times New Roman"/>
                      <w:color w:val="auto"/>
                      <w:sz w:val="21"/>
                      <w:szCs w:val="21"/>
                      <w:highlight w:val="none"/>
                      <w:lang w:val="en-US" w:eastAsia="zh-CN"/>
                    </w:rPr>
                    <w:t>）</w:t>
                  </w:r>
                </w:p>
              </w:tc>
            </w:tr>
            <w:tr w14:paraId="50EAD7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23" w:type="dxa"/>
                  <w:gridSpan w:val="2"/>
                  <w:vMerge w:val="continue"/>
                  <w:tcBorders>
                    <w:tl2br w:val="nil"/>
                    <w:tr2bl w:val="nil"/>
                  </w:tcBorders>
                  <w:noWrap w:val="0"/>
                  <w:vAlign w:val="center"/>
                </w:tcPr>
                <w:p w14:paraId="32658925">
                  <w:pPr>
                    <w:pStyle w:val="99"/>
                    <w:keepNext w:val="0"/>
                    <w:keepLines w:val="0"/>
                    <w:pageBreakBefore w:val="0"/>
                    <w:widowControl w:val="0"/>
                    <w:kinsoku/>
                    <w:wordWrap/>
                    <w:overflowPunct/>
                    <w:topLinePunct w:val="0"/>
                    <w:autoSpaceDE/>
                    <w:autoSpaceDN/>
                    <w:bidi w:val="0"/>
                    <w:adjustRightInd w:val="0"/>
                    <w:snapToGrid/>
                    <w:spacing w:line="240" w:lineRule="auto"/>
                    <w:jc w:val="center"/>
                    <w:textAlignment w:val="auto"/>
                    <w:rPr>
                      <w:rStyle w:val="27"/>
                      <w:rFonts w:hint="default" w:ascii="Times New Roman" w:hAnsi="Times New Roman" w:eastAsia="宋体" w:cs="Times New Roman"/>
                      <w:color w:val="auto"/>
                      <w:sz w:val="21"/>
                      <w:szCs w:val="21"/>
                      <w:highlight w:val="none"/>
                    </w:rPr>
                  </w:pPr>
                </w:p>
              </w:tc>
              <w:tc>
                <w:tcPr>
                  <w:tcW w:w="1421" w:type="dxa"/>
                  <w:tcBorders>
                    <w:tl2br w:val="nil"/>
                    <w:tr2bl w:val="nil"/>
                  </w:tcBorders>
                  <w:noWrap w:val="0"/>
                  <w:vAlign w:val="center"/>
                </w:tcPr>
                <w:p w14:paraId="0787D3AE">
                  <w:pPr>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最大落地点浓度（</w:t>
                  </w:r>
                  <w:r>
                    <w:rPr>
                      <w:rFonts w:hint="default" w:ascii="Times New Roman" w:hAnsi="Times New Roman" w:eastAsia="宋体" w:cs="Times New Roman"/>
                      <w:color w:val="auto"/>
                      <w:kern w:val="0"/>
                      <w:sz w:val="21"/>
                      <w:szCs w:val="21"/>
                      <w:highlight w:val="none"/>
                    </w:rPr>
                    <w:t>μg/m</w:t>
                  </w:r>
                  <w:r>
                    <w:rPr>
                      <w:rFonts w:hint="default" w:ascii="Times New Roman" w:hAnsi="Times New Roman" w:eastAsia="宋体" w:cs="Times New Roman"/>
                      <w:color w:val="auto"/>
                      <w:kern w:val="0"/>
                      <w:sz w:val="21"/>
                      <w:szCs w:val="21"/>
                      <w:highlight w:val="none"/>
                      <w:vertAlign w:val="superscript"/>
                    </w:rPr>
                    <w:t>3</w:t>
                  </w:r>
                  <w:r>
                    <w:rPr>
                      <w:rFonts w:hint="default" w:ascii="Times New Roman" w:hAnsi="Times New Roman" w:eastAsia="宋体" w:cs="Times New Roman"/>
                      <w:color w:val="auto"/>
                      <w:sz w:val="21"/>
                      <w:szCs w:val="21"/>
                      <w:highlight w:val="none"/>
                      <w:lang w:val="en-US" w:eastAsia="zh-CN"/>
                    </w:rPr>
                    <w:t>）</w:t>
                  </w:r>
                </w:p>
              </w:tc>
              <w:tc>
                <w:tcPr>
                  <w:tcW w:w="1156" w:type="dxa"/>
                  <w:tcBorders>
                    <w:tl2br w:val="nil"/>
                    <w:tr2bl w:val="nil"/>
                  </w:tcBorders>
                  <w:noWrap w:val="0"/>
                  <w:vAlign w:val="center"/>
                </w:tcPr>
                <w:p w14:paraId="3A79020E">
                  <w:pPr>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eastAsia="zh-CN"/>
                    </w:rPr>
                  </w:pPr>
                  <w:r>
                    <w:rPr>
                      <w:rFonts w:hint="default" w:ascii="Times New Roman" w:hAnsi="Times New Roman" w:eastAsia="宋体" w:cs="Times New Roman"/>
                      <w:color w:val="auto"/>
                      <w:kern w:val="0"/>
                      <w:sz w:val="21"/>
                      <w:szCs w:val="21"/>
                      <w:highlight w:val="none"/>
                      <w:vertAlign w:val="baseline"/>
                      <w:lang w:eastAsia="zh-CN"/>
                    </w:rPr>
                    <w:t>最大浓度距离</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kern w:val="0"/>
                      <w:sz w:val="21"/>
                      <w:szCs w:val="21"/>
                      <w:highlight w:val="none"/>
                      <w:vertAlign w:val="baseline"/>
                      <w:lang w:eastAsia="zh-CN"/>
                    </w:rPr>
                    <w:t>m</w:t>
                  </w:r>
                  <w:r>
                    <w:rPr>
                      <w:rFonts w:hint="default" w:ascii="Times New Roman" w:hAnsi="Times New Roman" w:eastAsia="宋体" w:cs="Times New Roman"/>
                      <w:color w:val="auto"/>
                      <w:sz w:val="21"/>
                      <w:szCs w:val="21"/>
                      <w:highlight w:val="none"/>
                      <w:lang w:val="en-US" w:eastAsia="zh-CN"/>
                    </w:rPr>
                    <w:t>）</w:t>
                  </w:r>
                </w:p>
              </w:tc>
              <w:tc>
                <w:tcPr>
                  <w:tcW w:w="1289" w:type="dxa"/>
                  <w:tcBorders>
                    <w:tl2br w:val="nil"/>
                    <w:tr2bl w:val="nil"/>
                  </w:tcBorders>
                  <w:noWrap w:val="0"/>
                  <w:vAlign w:val="center"/>
                </w:tcPr>
                <w:p w14:paraId="0F07D55E">
                  <w:pPr>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eastAsia" w:ascii="Times New Roman" w:hAnsi="Times New Roman" w:eastAsia="宋体" w:cs="Times New Roman"/>
                      <w:color w:val="auto"/>
                      <w:kern w:val="0"/>
                      <w:sz w:val="21"/>
                      <w:szCs w:val="21"/>
                      <w:highlight w:val="none"/>
                      <w:vertAlign w:val="baseline"/>
                      <w:lang w:val="en-US" w:eastAsia="zh-CN"/>
                    </w:rPr>
                  </w:pPr>
                  <w:r>
                    <w:rPr>
                      <w:rFonts w:hint="eastAsia" w:ascii="Times New Roman" w:hAnsi="Times New Roman" w:eastAsia="宋体" w:cs="Times New Roman"/>
                      <w:color w:val="auto"/>
                      <w:kern w:val="0"/>
                      <w:sz w:val="21"/>
                      <w:szCs w:val="21"/>
                      <w:highlight w:val="none"/>
                      <w:vertAlign w:val="baseline"/>
                      <w:lang w:val="en-US" w:eastAsia="zh-CN"/>
                    </w:rPr>
                    <w:t>厂界</w:t>
                  </w:r>
                  <w:r>
                    <w:rPr>
                      <w:rFonts w:hint="default" w:ascii="Times New Roman" w:hAnsi="Times New Roman" w:eastAsia="宋体" w:cs="Times New Roman"/>
                      <w:color w:val="auto"/>
                      <w:sz w:val="21"/>
                      <w:szCs w:val="21"/>
                      <w:highlight w:val="none"/>
                      <w:lang w:val="en-US" w:eastAsia="zh-CN"/>
                    </w:rPr>
                    <w:t>浓度（</w:t>
                  </w:r>
                  <w:r>
                    <w:rPr>
                      <w:rFonts w:hint="default" w:ascii="Times New Roman" w:hAnsi="Times New Roman" w:eastAsia="宋体" w:cs="Times New Roman"/>
                      <w:color w:val="auto"/>
                      <w:kern w:val="0"/>
                      <w:sz w:val="21"/>
                      <w:szCs w:val="21"/>
                      <w:highlight w:val="none"/>
                    </w:rPr>
                    <w:t>μg/m</w:t>
                  </w:r>
                  <w:r>
                    <w:rPr>
                      <w:rFonts w:hint="default" w:ascii="Times New Roman" w:hAnsi="Times New Roman" w:eastAsia="宋体" w:cs="Times New Roman"/>
                      <w:color w:val="auto"/>
                      <w:kern w:val="0"/>
                      <w:sz w:val="21"/>
                      <w:szCs w:val="21"/>
                      <w:highlight w:val="none"/>
                      <w:vertAlign w:val="superscript"/>
                    </w:rPr>
                    <w:t>3</w:t>
                  </w:r>
                  <w:r>
                    <w:rPr>
                      <w:rFonts w:hint="default" w:ascii="Times New Roman" w:hAnsi="Times New Roman" w:eastAsia="宋体" w:cs="Times New Roman"/>
                      <w:color w:val="auto"/>
                      <w:sz w:val="21"/>
                      <w:szCs w:val="21"/>
                      <w:highlight w:val="none"/>
                      <w:lang w:val="en-US" w:eastAsia="zh-CN"/>
                    </w:rPr>
                    <w:t>）</w:t>
                  </w:r>
                </w:p>
              </w:tc>
              <w:tc>
                <w:tcPr>
                  <w:tcW w:w="1289" w:type="dxa"/>
                  <w:vMerge w:val="continue"/>
                  <w:tcBorders>
                    <w:tl2br w:val="nil"/>
                    <w:tr2bl w:val="nil"/>
                  </w:tcBorders>
                  <w:noWrap w:val="0"/>
                  <w:vAlign w:val="center"/>
                </w:tcPr>
                <w:p w14:paraId="6A71642E">
                  <w:pPr>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eastAsia="zh-CN"/>
                    </w:rPr>
                  </w:pPr>
                </w:p>
              </w:tc>
              <w:tc>
                <w:tcPr>
                  <w:tcW w:w="1291" w:type="dxa"/>
                  <w:vMerge w:val="continue"/>
                  <w:tcBorders>
                    <w:tl2br w:val="nil"/>
                    <w:tr2bl w:val="nil"/>
                  </w:tcBorders>
                  <w:noWrap w:val="0"/>
                  <w:vAlign w:val="center"/>
                </w:tcPr>
                <w:p w14:paraId="4625931B">
                  <w:pPr>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eastAsia="zh-CN"/>
                    </w:rPr>
                  </w:pPr>
                </w:p>
              </w:tc>
            </w:tr>
            <w:tr w14:paraId="6C374F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7" w:type="dxa"/>
                  <w:vMerge w:val="restart"/>
                  <w:tcBorders>
                    <w:tl2br w:val="nil"/>
                    <w:tr2bl w:val="nil"/>
                  </w:tcBorders>
                  <w:noWrap w:val="0"/>
                  <w:vAlign w:val="center"/>
                </w:tcPr>
                <w:p w14:paraId="17160612">
                  <w:pPr>
                    <w:keepNext w:val="0"/>
                    <w:keepLines w:val="0"/>
                    <w:pageBreakBefore w:val="0"/>
                    <w:widowControl/>
                    <w:suppressLineNumbers w:val="0"/>
                    <w:kinsoku/>
                    <w:wordWrap/>
                    <w:overflowPunct/>
                    <w:topLinePunct w:val="0"/>
                    <w:autoSpaceDE/>
                    <w:autoSpaceDN/>
                    <w:bidi w:val="0"/>
                    <w:snapToGrid/>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生产车间</w:t>
                  </w:r>
                </w:p>
              </w:tc>
              <w:tc>
                <w:tcPr>
                  <w:tcW w:w="956" w:type="dxa"/>
                  <w:tcBorders>
                    <w:tl2br w:val="nil"/>
                    <w:tr2bl w:val="nil"/>
                  </w:tcBorders>
                  <w:noWrap w:val="0"/>
                  <w:vAlign w:val="center"/>
                </w:tcPr>
                <w:p w14:paraId="65F578A7">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颗粒物</w:t>
                  </w:r>
                </w:p>
              </w:tc>
              <w:tc>
                <w:tcPr>
                  <w:tcW w:w="1421" w:type="dxa"/>
                  <w:tcBorders>
                    <w:tl2br w:val="nil"/>
                    <w:tr2bl w:val="nil"/>
                  </w:tcBorders>
                  <w:noWrap w:val="0"/>
                  <w:vAlign w:val="center"/>
                </w:tcPr>
                <w:p w14:paraId="7BAB4DC3">
                  <w:pPr>
                    <w:keepNext w:val="0"/>
                    <w:keepLines w:val="0"/>
                    <w:pageBreakBefore w:val="0"/>
                    <w:widowControl w:val="0"/>
                    <w:numPr>
                      <w:ilvl w:val="0"/>
                      <w:numId w:val="0"/>
                    </w:numPr>
                    <w:kinsoku/>
                    <w:wordWrap/>
                    <w:overflowPunct/>
                    <w:topLinePunct w:val="0"/>
                    <w:autoSpaceDE/>
                    <w:autoSpaceDN/>
                    <w:bidi w:val="0"/>
                    <w:adjustRightInd w:val="0"/>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eastAsia" w:ascii="Times New Roman" w:hAnsi="Times New Roman" w:eastAsia="宋体" w:cs="Times New Roman"/>
                      <w:color w:val="auto"/>
                      <w:kern w:val="0"/>
                      <w:sz w:val="21"/>
                      <w:szCs w:val="21"/>
                      <w:highlight w:val="none"/>
                      <w:vertAlign w:val="baseline"/>
                      <w:lang w:val="en-US" w:eastAsia="zh-CN"/>
                    </w:rPr>
                    <w:t>99.15</w:t>
                  </w:r>
                </w:p>
              </w:tc>
              <w:tc>
                <w:tcPr>
                  <w:tcW w:w="1156" w:type="dxa"/>
                  <w:tcBorders>
                    <w:tl2br w:val="nil"/>
                    <w:tr2bl w:val="nil"/>
                  </w:tcBorders>
                  <w:noWrap w:val="0"/>
                  <w:vAlign w:val="center"/>
                </w:tcPr>
                <w:p w14:paraId="1DE3F4E1">
                  <w:pPr>
                    <w:keepNext w:val="0"/>
                    <w:keepLines w:val="0"/>
                    <w:pageBreakBefore w:val="0"/>
                    <w:widowControl w:val="0"/>
                    <w:numPr>
                      <w:ilvl w:val="0"/>
                      <w:numId w:val="0"/>
                    </w:numPr>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eastAsia" w:ascii="Times New Roman" w:hAnsi="Times New Roman" w:eastAsia="宋体" w:cs="Times New Roman"/>
                      <w:color w:val="auto"/>
                      <w:kern w:val="0"/>
                      <w:sz w:val="21"/>
                      <w:szCs w:val="21"/>
                      <w:highlight w:val="none"/>
                      <w:vertAlign w:val="baseline"/>
                      <w:lang w:val="en-US" w:eastAsia="zh-CN"/>
                    </w:rPr>
                    <w:t>75</w:t>
                  </w:r>
                </w:p>
              </w:tc>
              <w:tc>
                <w:tcPr>
                  <w:tcW w:w="1289" w:type="dxa"/>
                  <w:tcBorders>
                    <w:tl2br w:val="nil"/>
                    <w:tr2bl w:val="nil"/>
                  </w:tcBorders>
                  <w:noWrap w:val="0"/>
                  <w:vAlign w:val="center"/>
                </w:tcPr>
                <w:p w14:paraId="4BAA45BF">
                  <w:pPr>
                    <w:keepNext w:val="0"/>
                    <w:keepLines w:val="0"/>
                    <w:pageBreakBefore w:val="0"/>
                    <w:widowControl w:val="0"/>
                    <w:numPr>
                      <w:ilvl w:val="0"/>
                      <w:numId w:val="0"/>
                    </w:numPr>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eastAsia" w:ascii="Times New Roman" w:hAnsi="Times New Roman" w:eastAsia="宋体" w:cs="Times New Roman"/>
                      <w:color w:val="auto"/>
                      <w:kern w:val="0"/>
                      <w:sz w:val="21"/>
                      <w:szCs w:val="21"/>
                      <w:highlight w:val="none"/>
                      <w:vertAlign w:val="baseline"/>
                      <w:lang w:val="en-US" w:eastAsia="zh-CN"/>
                    </w:rPr>
                    <w:t>75.44</w:t>
                  </w:r>
                </w:p>
              </w:tc>
              <w:tc>
                <w:tcPr>
                  <w:tcW w:w="1289" w:type="dxa"/>
                  <w:tcBorders>
                    <w:tl2br w:val="nil"/>
                    <w:tr2bl w:val="nil"/>
                  </w:tcBorders>
                  <w:noWrap w:val="0"/>
                  <w:vAlign w:val="center"/>
                </w:tcPr>
                <w:p w14:paraId="671C4C33">
                  <w:pPr>
                    <w:keepNext w:val="0"/>
                    <w:keepLines w:val="0"/>
                    <w:pageBreakBefore w:val="0"/>
                    <w:widowControl w:val="0"/>
                    <w:numPr>
                      <w:ilvl w:val="0"/>
                      <w:numId w:val="0"/>
                    </w:numPr>
                    <w:kinsoku/>
                    <w:wordWrap/>
                    <w:overflowPunct/>
                    <w:topLinePunct w:val="0"/>
                    <w:autoSpaceDE/>
                    <w:autoSpaceDN/>
                    <w:bidi w:val="0"/>
                    <w:adjustRightInd w:val="0"/>
                    <w:snapToGrid/>
                    <w:spacing w:line="240" w:lineRule="auto"/>
                    <w:ind w:left="0" w:leftChars="0"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default" w:ascii="Times New Roman" w:hAnsi="Times New Roman" w:eastAsia="宋体" w:cs="Times New Roman"/>
                      <w:color w:val="auto"/>
                      <w:kern w:val="0"/>
                      <w:sz w:val="21"/>
                      <w:szCs w:val="21"/>
                      <w:highlight w:val="none"/>
                      <w:vertAlign w:val="baseline"/>
                      <w:lang w:val="en-US" w:eastAsia="zh-CN"/>
                    </w:rPr>
                    <w:t>900</w:t>
                  </w:r>
                </w:p>
              </w:tc>
              <w:tc>
                <w:tcPr>
                  <w:tcW w:w="1291" w:type="dxa"/>
                  <w:tcBorders>
                    <w:tl2br w:val="nil"/>
                    <w:tr2bl w:val="nil"/>
                  </w:tcBorders>
                  <w:noWrap w:val="0"/>
                  <w:vAlign w:val="center"/>
                </w:tcPr>
                <w:p w14:paraId="5D13417F">
                  <w:pPr>
                    <w:keepNext w:val="0"/>
                    <w:keepLines w:val="0"/>
                    <w:pageBreakBefore w:val="0"/>
                    <w:widowControl/>
                    <w:suppressLineNumbers w:val="0"/>
                    <w:kinsoku/>
                    <w:wordWrap/>
                    <w:overflowPunct/>
                    <w:topLinePunct w:val="0"/>
                    <w:autoSpaceDE/>
                    <w:autoSpaceDN/>
                    <w:bidi w:val="0"/>
                    <w:snapToGrid/>
                    <w:spacing w:line="240" w:lineRule="auto"/>
                    <w:jc w:val="center"/>
                    <w:textAlignment w:val="center"/>
                    <w:rPr>
                      <w:rFonts w:hint="default" w:ascii="Times New Roman" w:hAnsi="Times New Roman" w:eastAsia="宋体" w:cs="Times New Roman"/>
                      <w:color w:val="auto"/>
                      <w:kern w:val="0"/>
                      <w:sz w:val="21"/>
                      <w:szCs w:val="21"/>
                      <w:highlight w:val="none"/>
                      <w:vertAlign w:val="baseline"/>
                      <w:lang w:val="en-US" w:eastAsia="zh-CN"/>
                    </w:rPr>
                  </w:pPr>
                  <w:r>
                    <w:rPr>
                      <w:rFonts w:hint="eastAsia" w:ascii="Times New Roman" w:hAnsi="Times New Roman" w:eastAsia="宋体" w:cs="Times New Roman"/>
                      <w:color w:val="auto"/>
                      <w:kern w:val="0"/>
                      <w:sz w:val="21"/>
                      <w:szCs w:val="21"/>
                      <w:highlight w:val="none"/>
                      <w:vertAlign w:val="baseline"/>
                      <w:lang w:val="en-US" w:eastAsia="zh-CN"/>
                    </w:rPr>
                    <w:t>11.02</w:t>
                  </w:r>
                </w:p>
              </w:tc>
            </w:tr>
            <w:tr w14:paraId="1322B0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67" w:type="dxa"/>
                  <w:vMerge w:val="continue"/>
                  <w:tcBorders>
                    <w:tl2br w:val="nil"/>
                    <w:tr2bl w:val="nil"/>
                  </w:tcBorders>
                  <w:noWrap w:val="0"/>
                  <w:vAlign w:val="center"/>
                </w:tcPr>
                <w:p w14:paraId="7FD899D6">
                  <w:pPr>
                    <w:keepNext w:val="0"/>
                    <w:keepLines w:val="0"/>
                    <w:pageBreakBefore w:val="0"/>
                    <w:widowControl/>
                    <w:suppressLineNumbers w:val="0"/>
                    <w:kinsoku/>
                    <w:wordWrap/>
                    <w:overflowPunct/>
                    <w:topLinePunct w:val="0"/>
                    <w:autoSpaceDE/>
                    <w:autoSpaceDN/>
                    <w:bidi w:val="0"/>
                    <w:snapToGrid/>
                    <w:spacing w:line="240" w:lineRule="auto"/>
                    <w:jc w:val="center"/>
                    <w:textAlignment w:val="center"/>
                    <w:rPr>
                      <w:rFonts w:hint="default" w:ascii="Times New Roman" w:hAnsi="Times New Roman" w:eastAsia="宋体" w:cs="Times New Roman"/>
                      <w:color w:val="auto"/>
                      <w:sz w:val="21"/>
                      <w:szCs w:val="21"/>
                      <w:highlight w:val="none"/>
                      <w:lang w:val="en-US" w:eastAsia="zh-CN"/>
                    </w:rPr>
                  </w:pPr>
                </w:p>
              </w:tc>
              <w:tc>
                <w:tcPr>
                  <w:tcW w:w="956" w:type="dxa"/>
                  <w:tcBorders>
                    <w:tl2br w:val="nil"/>
                    <w:tr2bl w:val="nil"/>
                  </w:tcBorders>
                  <w:noWrap w:val="0"/>
                  <w:vAlign w:val="center"/>
                </w:tcPr>
                <w:p w14:paraId="27CB3BBD">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lang w:eastAsia="zh-CN"/>
                    </w:rPr>
                    <w:t>VOC</w:t>
                  </w:r>
                  <w:r>
                    <w:rPr>
                      <w:rFonts w:hint="default" w:ascii="Times New Roman" w:hAnsi="Times New Roman" w:eastAsia="宋体" w:cs="Times New Roman"/>
                      <w:color w:val="auto"/>
                      <w:sz w:val="21"/>
                      <w:szCs w:val="21"/>
                      <w:vertAlign w:val="subscript"/>
                      <w:lang w:eastAsia="zh-CN"/>
                    </w:rPr>
                    <w:t>S</w:t>
                  </w:r>
                </w:p>
              </w:tc>
              <w:tc>
                <w:tcPr>
                  <w:tcW w:w="1421" w:type="dxa"/>
                  <w:tcBorders>
                    <w:tl2br w:val="nil"/>
                    <w:tr2bl w:val="nil"/>
                  </w:tcBorders>
                  <w:noWrap w:val="0"/>
                  <w:vAlign w:val="center"/>
                </w:tcPr>
                <w:p w14:paraId="61F6124C">
                  <w:pPr>
                    <w:keepNext w:val="0"/>
                    <w:keepLines w:val="0"/>
                    <w:pageBreakBefore w:val="0"/>
                    <w:widowControl w:val="0"/>
                    <w:numPr>
                      <w:ilvl w:val="0"/>
                      <w:numId w:val="0"/>
                    </w:numPr>
                    <w:kinsoku/>
                    <w:wordWrap/>
                    <w:overflowPunct/>
                    <w:topLinePunct w:val="0"/>
                    <w:autoSpaceDE/>
                    <w:autoSpaceDN/>
                    <w:bidi w:val="0"/>
                    <w:adjustRightInd w:val="0"/>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eastAsia" w:ascii="Times New Roman" w:hAnsi="Times New Roman" w:eastAsia="宋体" w:cs="Times New Roman"/>
                      <w:color w:val="auto"/>
                      <w:kern w:val="0"/>
                      <w:sz w:val="21"/>
                      <w:szCs w:val="21"/>
                      <w:highlight w:val="none"/>
                      <w:vertAlign w:val="baseline"/>
                      <w:lang w:val="en-US" w:eastAsia="zh-CN"/>
                    </w:rPr>
                    <w:t>23.94</w:t>
                  </w:r>
                </w:p>
              </w:tc>
              <w:tc>
                <w:tcPr>
                  <w:tcW w:w="1156" w:type="dxa"/>
                  <w:tcBorders>
                    <w:tl2br w:val="nil"/>
                    <w:tr2bl w:val="nil"/>
                  </w:tcBorders>
                  <w:noWrap w:val="0"/>
                  <w:vAlign w:val="center"/>
                </w:tcPr>
                <w:p w14:paraId="30B8B68B">
                  <w:pPr>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eastAsia" w:ascii="Times New Roman" w:hAnsi="Times New Roman" w:eastAsia="宋体" w:cs="Times New Roman"/>
                      <w:color w:val="auto"/>
                      <w:kern w:val="0"/>
                      <w:sz w:val="21"/>
                      <w:szCs w:val="21"/>
                      <w:highlight w:val="none"/>
                      <w:vertAlign w:val="baseline"/>
                      <w:lang w:val="en-US" w:eastAsia="zh-CN"/>
                    </w:rPr>
                    <w:t>75</w:t>
                  </w:r>
                </w:p>
              </w:tc>
              <w:tc>
                <w:tcPr>
                  <w:tcW w:w="1289" w:type="dxa"/>
                  <w:tcBorders>
                    <w:tl2br w:val="nil"/>
                    <w:tr2bl w:val="nil"/>
                  </w:tcBorders>
                  <w:noWrap w:val="0"/>
                  <w:vAlign w:val="center"/>
                </w:tcPr>
                <w:p w14:paraId="1CAAB234">
                  <w:pPr>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eastAsia" w:ascii="Times New Roman" w:hAnsi="Times New Roman" w:eastAsia="宋体" w:cs="Times New Roman"/>
                      <w:color w:val="auto"/>
                      <w:kern w:val="0"/>
                      <w:sz w:val="21"/>
                      <w:szCs w:val="21"/>
                      <w:highlight w:val="none"/>
                      <w:vertAlign w:val="baseline"/>
                      <w:lang w:val="en-US" w:eastAsia="zh-CN"/>
                    </w:rPr>
                    <w:t>18.22</w:t>
                  </w:r>
                </w:p>
              </w:tc>
              <w:tc>
                <w:tcPr>
                  <w:tcW w:w="1289" w:type="dxa"/>
                  <w:tcBorders>
                    <w:tl2br w:val="nil"/>
                    <w:tr2bl w:val="nil"/>
                  </w:tcBorders>
                  <w:noWrap w:val="0"/>
                  <w:vAlign w:val="center"/>
                </w:tcPr>
                <w:p w14:paraId="76845940">
                  <w:pPr>
                    <w:keepNext w:val="0"/>
                    <w:keepLines w:val="0"/>
                    <w:pageBreakBefore w:val="0"/>
                    <w:widowControl w:val="0"/>
                    <w:numPr>
                      <w:ilvl w:val="0"/>
                      <w:numId w:val="0"/>
                    </w:numPr>
                    <w:kinsoku/>
                    <w:wordWrap/>
                    <w:overflowPunct/>
                    <w:topLinePunct w:val="0"/>
                    <w:autoSpaceDE/>
                    <w:autoSpaceDN/>
                    <w:bidi w:val="0"/>
                    <w:adjustRightInd w:val="0"/>
                    <w:snapToGrid/>
                    <w:spacing w:line="240" w:lineRule="auto"/>
                    <w:jc w:val="center"/>
                    <w:textAlignment w:val="auto"/>
                    <w:rPr>
                      <w:rFonts w:hint="default" w:ascii="Times New Roman" w:hAnsi="Times New Roman" w:eastAsia="宋体" w:cs="Times New Roman"/>
                      <w:color w:val="auto"/>
                      <w:kern w:val="0"/>
                      <w:sz w:val="21"/>
                      <w:szCs w:val="21"/>
                      <w:highlight w:val="none"/>
                      <w:vertAlign w:val="baseline"/>
                      <w:lang w:val="en-US" w:eastAsia="zh-CN"/>
                    </w:rPr>
                  </w:pPr>
                  <w:r>
                    <w:rPr>
                      <w:rFonts w:hint="eastAsia" w:ascii="Times New Roman" w:hAnsi="Times New Roman" w:eastAsia="宋体" w:cs="Times New Roman"/>
                      <w:color w:val="auto"/>
                      <w:kern w:val="0"/>
                      <w:sz w:val="21"/>
                      <w:szCs w:val="21"/>
                      <w:highlight w:val="none"/>
                      <w:vertAlign w:val="baseline"/>
                      <w:lang w:val="en-US" w:eastAsia="zh-CN"/>
                    </w:rPr>
                    <w:t>1200</w:t>
                  </w:r>
                </w:p>
              </w:tc>
              <w:tc>
                <w:tcPr>
                  <w:tcW w:w="1291" w:type="dxa"/>
                  <w:tcBorders>
                    <w:tl2br w:val="nil"/>
                    <w:tr2bl w:val="nil"/>
                  </w:tcBorders>
                  <w:noWrap w:val="0"/>
                  <w:vAlign w:val="center"/>
                </w:tcPr>
                <w:p w14:paraId="2587318A">
                  <w:pPr>
                    <w:keepNext w:val="0"/>
                    <w:keepLines w:val="0"/>
                    <w:pageBreakBefore w:val="0"/>
                    <w:widowControl/>
                    <w:suppressLineNumbers w:val="0"/>
                    <w:kinsoku/>
                    <w:wordWrap/>
                    <w:overflowPunct/>
                    <w:topLinePunct w:val="0"/>
                    <w:autoSpaceDE/>
                    <w:autoSpaceDN/>
                    <w:bidi w:val="0"/>
                    <w:snapToGrid/>
                    <w:spacing w:line="240" w:lineRule="auto"/>
                    <w:jc w:val="center"/>
                    <w:textAlignment w:val="center"/>
                    <w:rPr>
                      <w:rFonts w:hint="default" w:ascii="Times New Roman" w:hAnsi="Times New Roman" w:eastAsia="宋体" w:cs="Times New Roman"/>
                      <w:color w:val="auto"/>
                      <w:kern w:val="0"/>
                      <w:sz w:val="21"/>
                      <w:szCs w:val="21"/>
                      <w:highlight w:val="none"/>
                      <w:vertAlign w:val="baseline"/>
                      <w:lang w:val="en-US" w:eastAsia="zh-CN"/>
                    </w:rPr>
                  </w:pPr>
                  <w:r>
                    <w:rPr>
                      <w:rFonts w:hint="eastAsia" w:ascii="Times New Roman" w:hAnsi="Times New Roman" w:eastAsia="宋体" w:cs="Times New Roman"/>
                      <w:color w:val="auto"/>
                      <w:kern w:val="0"/>
                      <w:sz w:val="21"/>
                      <w:szCs w:val="21"/>
                      <w:highlight w:val="none"/>
                      <w:vertAlign w:val="baseline"/>
                      <w:lang w:val="en-US" w:eastAsia="zh-CN"/>
                    </w:rPr>
                    <w:t>2.00</w:t>
                  </w:r>
                </w:p>
              </w:tc>
            </w:tr>
          </w:tbl>
          <w:p w14:paraId="06E4483C">
            <w:pPr>
              <w:rPr>
                <w:rFonts w:hint="eastAsia"/>
                <w:color w:val="auto"/>
                <w:highlight w:val="none"/>
              </w:rPr>
            </w:pPr>
          </w:p>
          <w:p w14:paraId="244F8FD4">
            <w:pPr>
              <w:keepNext w:val="0"/>
              <w:keepLines w:val="0"/>
              <w:pageBreakBefore w:val="0"/>
              <w:widowControl w:val="0"/>
              <w:kinsoku/>
              <w:wordWrap/>
              <w:overflowPunct/>
              <w:topLinePunct w:val="0"/>
              <w:autoSpaceDE/>
              <w:autoSpaceDN/>
              <w:bidi w:val="0"/>
              <w:adjustRightInd/>
              <w:snapToGrid/>
              <w:ind w:firstLine="480" w:firstLineChars="200"/>
              <w:textAlignment w:val="auto"/>
              <w:rPr>
                <w:color w:val="auto"/>
                <w:kern w:val="0"/>
                <w:sz w:val="24"/>
                <w:highlight w:val="none"/>
              </w:rPr>
            </w:pPr>
            <w:r>
              <w:rPr>
                <w:color w:val="auto"/>
                <w:kern w:val="0"/>
                <w:sz w:val="24"/>
                <w:highlight w:val="none"/>
              </w:rPr>
              <w:t>根据预测结果：</w:t>
            </w:r>
          </w:p>
          <w:p w14:paraId="138776DF">
            <w:pPr>
              <w:pStyle w:val="75"/>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color w:val="auto"/>
                <w:highlight w:val="none"/>
              </w:rPr>
            </w:pPr>
            <w:r>
              <w:rPr>
                <w:rFonts w:ascii="Times New Roman" w:hAnsi="Times New Roman" w:cs="Times New Roman"/>
                <w:color w:val="auto"/>
              </w:rPr>
              <w:t>由上表可知，</w:t>
            </w:r>
            <w:r>
              <w:rPr>
                <w:rFonts w:hint="eastAsia"/>
                <w:color w:val="auto"/>
                <w:highlight w:val="none"/>
              </w:rPr>
              <w:t>无组织排放的</w:t>
            </w:r>
            <w:r>
              <w:rPr>
                <w:rFonts w:ascii="Times New Roman" w:hAnsi="Times New Roman" w:cs="Times New Roman"/>
                <w:color w:val="auto"/>
              </w:rPr>
              <w:t>颗粒物</w:t>
            </w:r>
            <w:r>
              <w:rPr>
                <w:rFonts w:hint="eastAsia"/>
                <w:color w:val="auto"/>
                <w:highlight w:val="none"/>
              </w:rPr>
              <w:t>厂界处浓度</w:t>
            </w:r>
            <w:r>
              <w:rPr>
                <w:rFonts w:hint="eastAsia"/>
                <w:color w:val="auto"/>
                <w:highlight w:val="none"/>
                <w:lang w:eastAsia="zh-CN"/>
              </w:rPr>
              <w:t>及最大落地点浓度</w:t>
            </w:r>
            <w:r>
              <w:rPr>
                <w:rFonts w:hint="eastAsia"/>
                <w:color w:val="auto"/>
                <w:highlight w:val="none"/>
              </w:rPr>
              <w:t>未超过</w:t>
            </w:r>
            <w:r>
              <w:rPr>
                <w:rFonts w:ascii="Times New Roman" w:hAnsi="Times New Roman" w:cs="Times New Roman"/>
                <w:color w:val="auto"/>
              </w:rPr>
              <w:t>《大气污染物综合排放标准》（GB16297-1996）中</w:t>
            </w:r>
            <w:r>
              <w:rPr>
                <w:rFonts w:ascii="Times New Roman" w:hAnsi="Times New Roman" w:cs="Times New Roman"/>
                <w:color w:val="auto"/>
                <w:sz w:val="24"/>
                <w:szCs w:val="24"/>
              </w:rPr>
              <w:t>表2新污染源大气污染物排放限值标准要求</w:t>
            </w:r>
            <w:r>
              <w:rPr>
                <w:rFonts w:hint="eastAsia" w:ascii="Times New Roman" w:hAnsi="Times New Roman" w:cs="Times New Roman"/>
                <w:color w:val="auto"/>
                <w:lang w:eastAsia="zh-CN"/>
              </w:rPr>
              <w:t>及</w:t>
            </w:r>
            <w:r>
              <w:rPr>
                <w:rFonts w:hint="default" w:ascii="Times New Roman" w:hAnsi="Times New Roman" w:eastAsia="宋体" w:cs="Times New Roman"/>
                <w:color w:val="auto"/>
                <w:kern w:val="2"/>
                <w:sz w:val="24"/>
                <w:szCs w:val="21"/>
                <w:lang w:val="en-US" w:eastAsia="zh-CN" w:bidi="ar-SA"/>
              </w:rPr>
              <w:t>《环境空气质量标准》</w:t>
            </w:r>
            <w:r>
              <w:rPr>
                <w:rFonts w:hint="eastAsia" w:ascii="Times New Roman" w:hAnsi="Times New Roman" w:eastAsia="宋体" w:cs="Times New Roman"/>
                <w:color w:val="auto"/>
                <w:kern w:val="2"/>
                <w:sz w:val="24"/>
                <w:szCs w:val="21"/>
                <w:lang w:val="en-US" w:eastAsia="zh-CN" w:bidi="ar-SA"/>
              </w:rPr>
              <w:t>（</w:t>
            </w:r>
            <w:r>
              <w:rPr>
                <w:rFonts w:hint="default" w:ascii="Times New Roman" w:hAnsi="Times New Roman" w:eastAsia="宋体" w:cs="Times New Roman"/>
                <w:color w:val="auto"/>
                <w:kern w:val="2"/>
                <w:sz w:val="24"/>
                <w:szCs w:val="21"/>
                <w:lang w:val="en-US" w:eastAsia="zh-CN" w:bidi="ar-SA"/>
              </w:rPr>
              <w:t>GB3095-20</w:t>
            </w:r>
            <w:r>
              <w:rPr>
                <w:rFonts w:hint="eastAsia" w:ascii="Times New Roman" w:hAnsi="Times New Roman" w:eastAsia="宋体" w:cs="Times New Roman"/>
                <w:color w:val="auto"/>
                <w:kern w:val="2"/>
                <w:sz w:val="24"/>
                <w:szCs w:val="21"/>
                <w:lang w:val="en-US" w:eastAsia="zh-CN" w:bidi="ar-SA"/>
              </w:rPr>
              <w:t>26）</w:t>
            </w:r>
            <w:r>
              <w:rPr>
                <w:rFonts w:hint="eastAsia" w:ascii="Times New Roman" w:hAnsi="宋体" w:eastAsia="宋体" w:cs="Times New Roman"/>
                <w:color w:val="auto"/>
                <w:sz w:val="24"/>
                <w:highlight w:val="none"/>
                <w:lang w:eastAsia="zh-CN"/>
              </w:rPr>
              <w:t>浓度限值中</w:t>
            </w:r>
            <w:r>
              <w:rPr>
                <w:rFonts w:hint="default" w:ascii="Times New Roman" w:hAnsi="Times New Roman" w:eastAsia="宋体" w:cs="Times New Roman"/>
                <w:color w:val="auto"/>
                <w:kern w:val="2"/>
                <w:sz w:val="24"/>
                <w:szCs w:val="21"/>
                <w:lang w:val="en-US" w:eastAsia="zh-CN" w:bidi="ar-SA"/>
              </w:rPr>
              <w:t>二级标准</w:t>
            </w:r>
            <w:r>
              <w:rPr>
                <w:rFonts w:hint="eastAsia" w:ascii="Times New Roman" w:hAnsi="Times New Roman" w:eastAsia="宋体" w:cs="Times New Roman"/>
                <w:color w:val="auto"/>
                <w:kern w:val="2"/>
                <w:sz w:val="24"/>
                <w:szCs w:val="21"/>
                <w:lang w:val="en-US" w:eastAsia="zh-CN" w:bidi="ar-SA"/>
              </w:rPr>
              <w:t>要求</w:t>
            </w:r>
            <w:r>
              <w:rPr>
                <w:rFonts w:hint="eastAsia" w:ascii="Times New Roman" w:hAnsi="Times New Roman" w:eastAsia="宋体" w:cs="Times New Roman"/>
                <w:color w:val="auto"/>
                <w:lang w:eastAsia="zh-CN"/>
              </w:rPr>
              <w:t>；</w:t>
            </w:r>
            <w:r>
              <w:rPr>
                <w:rFonts w:hint="eastAsia"/>
                <w:color w:val="auto"/>
                <w:highlight w:val="none"/>
              </w:rPr>
              <w:t>无组织排放的</w:t>
            </w:r>
            <w:r>
              <w:rPr>
                <w:rFonts w:ascii="Times New Roman" w:hAnsi="Times New Roman" w:cs="Times New Roman"/>
                <w:color w:val="auto"/>
              </w:rPr>
              <w:t>TVOC</w:t>
            </w:r>
            <w:r>
              <w:rPr>
                <w:rFonts w:hint="eastAsia"/>
                <w:color w:val="auto"/>
                <w:highlight w:val="none"/>
              </w:rPr>
              <w:t>厂界处浓度</w:t>
            </w:r>
            <w:r>
              <w:rPr>
                <w:rFonts w:hint="eastAsia"/>
                <w:color w:val="auto"/>
                <w:highlight w:val="none"/>
                <w:lang w:eastAsia="zh-CN"/>
              </w:rPr>
              <w:t>及最大落地点浓度</w:t>
            </w:r>
            <w:r>
              <w:rPr>
                <w:rFonts w:hint="eastAsia"/>
                <w:color w:val="auto"/>
                <w:highlight w:val="none"/>
              </w:rPr>
              <w:t>未超过</w:t>
            </w:r>
            <w:r>
              <w:rPr>
                <w:rFonts w:ascii="Times New Roman" w:hAnsi="Times New Roman" w:cs="Times New Roman"/>
                <w:color w:val="auto"/>
              </w:rPr>
              <w:t>《工业涂装工序挥发性有机物排放标准》（DB21/3160-2019）中表3标准排放限值</w:t>
            </w:r>
            <w:r>
              <w:rPr>
                <w:rFonts w:hint="eastAsia" w:ascii="Times New Roman" w:hAnsi="Times New Roman" w:cs="Times New Roman"/>
                <w:color w:val="auto"/>
                <w:lang w:eastAsia="zh-CN"/>
              </w:rPr>
              <w:t>及</w:t>
            </w:r>
            <w:r>
              <w:rPr>
                <w:rFonts w:hint="default" w:ascii="Times New Roman" w:hAnsi="Times New Roman" w:cs="Times New Roman"/>
                <w:color w:val="auto"/>
                <w:szCs w:val="24"/>
                <w:highlight w:val="none"/>
              </w:rPr>
              <w:t>《环境影响评价技术导则-大气环境》（HJ2.2-2018）附</w:t>
            </w:r>
            <w:r>
              <w:rPr>
                <w:rFonts w:hint="default" w:ascii="Times New Roman" w:hAnsi="Times New Roman" w:cs="Times New Roman"/>
                <w:color w:val="auto"/>
                <w:highlight w:val="none"/>
              </w:rPr>
              <w:t>录D</w:t>
            </w:r>
            <w:r>
              <w:rPr>
                <w:rFonts w:hint="eastAsia" w:ascii="Times New Roman" w:hAnsi="Times New Roman" w:cs="Times New Roman"/>
                <w:color w:val="auto"/>
                <w:highlight w:val="none"/>
                <w:lang w:eastAsia="zh-CN"/>
              </w:rPr>
              <w:t>要求</w:t>
            </w:r>
            <w:r>
              <w:rPr>
                <w:rFonts w:ascii="Times New Roman" w:hAnsi="Times New Roman" w:cs="Times New Roman"/>
                <w:color w:val="auto"/>
              </w:rPr>
              <w:t>，故本项目无组织排放的污染物浓度厂界达标。</w:t>
            </w:r>
          </w:p>
          <w:p w14:paraId="293482AE">
            <w:pPr>
              <w:pStyle w:val="18"/>
              <w:tabs>
                <w:tab w:val="center" w:pos="4059"/>
                <w:tab w:val="clear" w:pos="4153"/>
              </w:tabs>
              <w:ind w:firstLine="482" w:firstLineChars="200"/>
              <w:jc w:val="both"/>
              <w:rPr>
                <w:b/>
                <w:bCs/>
                <w:color w:val="auto"/>
                <w:sz w:val="24"/>
                <w:szCs w:val="24"/>
                <w:highlight w:val="none"/>
                <w:lang w:val="en-US" w:eastAsia="zh-CN"/>
              </w:rPr>
            </w:pPr>
            <w:r>
              <w:rPr>
                <w:rFonts w:hint="eastAsia"/>
                <w:b/>
                <w:bCs/>
                <w:color w:val="auto"/>
                <w:sz w:val="24"/>
                <w:szCs w:val="24"/>
                <w:highlight w:val="none"/>
                <w:lang w:val="en-US" w:eastAsia="zh-CN"/>
              </w:rPr>
              <w:t>（6）</w:t>
            </w:r>
            <w:r>
              <w:rPr>
                <w:b/>
                <w:bCs/>
                <w:color w:val="auto"/>
                <w:sz w:val="24"/>
                <w:szCs w:val="24"/>
                <w:highlight w:val="none"/>
                <w:lang w:val="en-US" w:eastAsia="zh-CN"/>
              </w:rPr>
              <w:t>大气环境防护距离</w:t>
            </w:r>
          </w:p>
          <w:p w14:paraId="64E94513">
            <w:pPr>
              <w:widowControl/>
              <w:ind w:firstLine="480" w:firstLineChars="200"/>
              <w:jc w:val="both"/>
              <w:rPr>
                <w:rFonts w:hint="default"/>
                <w:color w:val="auto"/>
                <w:lang w:val="en-US" w:eastAsia="zh-CN"/>
              </w:rPr>
            </w:pPr>
            <w:r>
              <w:rPr>
                <w:rFonts w:hint="eastAsia" w:ascii="Times New Roman" w:hAnsi="Times New Roman" w:eastAsia="宋体" w:cs="Times New Roman"/>
                <w:b w:val="0"/>
                <w:bCs w:val="0"/>
                <w:color w:val="auto"/>
                <w:kern w:val="2"/>
                <w:sz w:val="24"/>
                <w:szCs w:val="32"/>
                <w:highlight w:val="none"/>
                <w:lang w:val="en-US" w:eastAsia="zh-CN" w:bidi="ar-SA"/>
              </w:rPr>
              <w:t>根据《环境影响评价技术导则 大气环境》（HJ2.2-2018）中大气环境防护距离确定方法：对于项目厂界浓度满足大气污染物厂界浓度限值，但厂界外大气污染物短期贡献浓度超过环境质量浓度限值的，可以自厂界向外设置一定范围的大气环境防护区域，以确保大气环境防护区域外的污染物贡献浓度满足环境质量标准。本项目颗粒物</w:t>
            </w:r>
            <w:r>
              <w:rPr>
                <w:rFonts w:hint="eastAsia" w:cs="Times New Roman"/>
                <w:b w:val="0"/>
                <w:bCs w:val="0"/>
                <w:color w:val="auto"/>
                <w:kern w:val="2"/>
                <w:sz w:val="24"/>
                <w:szCs w:val="32"/>
                <w:highlight w:val="none"/>
                <w:lang w:val="en-US" w:eastAsia="zh-CN" w:bidi="ar-SA"/>
              </w:rPr>
              <w:t>厂界</w:t>
            </w:r>
            <w:r>
              <w:rPr>
                <w:rFonts w:hint="eastAsia" w:ascii="Times New Roman" w:hAnsi="Times New Roman" w:eastAsia="宋体" w:cs="Times New Roman"/>
                <w:b w:val="0"/>
                <w:bCs w:val="0"/>
                <w:color w:val="auto"/>
                <w:kern w:val="2"/>
                <w:sz w:val="24"/>
                <w:szCs w:val="32"/>
                <w:highlight w:val="none"/>
                <w:lang w:val="en-US" w:eastAsia="zh-CN" w:bidi="ar-SA"/>
              </w:rPr>
              <w:t>浓度</w:t>
            </w:r>
            <w:r>
              <w:rPr>
                <w:rFonts w:hint="eastAsia" w:cs="Times New Roman"/>
                <w:b w:val="0"/>
                <w:bCs w:val="0"/>
                <w:color w:val="auto"/>
                <w:kern w:val="2"/>
                <w:sz w:val="24"/>
                <w:szCs w:val="32"/>
                <w:highlight w:val="none"/>
                <w:lang w:val="en-US" w:eastAsia="zh-CN" w:bidi="ar-SA"/>
              </w:rPr>
              <w:t>均</w:t>
            </w:r>
            <w:r>
              <w:rPr>
                <w:rFonts w:hint="eastAsia" w:ascii="Times New Roman" w:hAnsi="Times New Roman" w:eastAsia="宋体" w:cs="Times New Roman"/>
                <w:b w:val="0"/>
                <w:bCs w:val="0"/>
                <w:color w:val="auto"/>
                <w:kern w:val="2"/>
                <w:sz w:val="24"/>
                <w:szCs w:val="32"/>
                <w:highlight w:val="none"/>
                <w:lang w:val="en-US" w:eastAsia="zh-CN" w:bidi="ar-SA"/>
              </w:rPr>
              <w:t>小于</w:t>
            </w:r>
            <w:r>
              <w:rPr>
                <w:rFonts w:hAnsi="宋体"/>
                <w:color w:val="auto"/>
                <w:sz w:val="24"/>
              </w:rPr>
              <w:t>《环境空气质量标准》（</w:t>
            </w:r>
            <w:r>
              <w:rPr>
                <w:color w:val="auto"/>
                <w:sz w:val="24"/>
              </w:rPr>
              <w:t>GB3095-20</w:t>
            </w:r>
            <w:r>
              <w:rPr>
                <w:rFonts w:hint="eastAsia"/>
                <w:color w:val="auto"/>
                <w:sz w:val="24"/>
                <w:lang w:val="en-US" w:eastAsia="zh-CN"/>
              </w:rPr>
              <w:t>26</w:t>
            </w:r>
            <w:r>
              <w:rPr>
                <w:rFonts w:hint="eastAsia"/>
                <w:color w:val="auto"/>
                <w:sz w:val="24"/>
                <w:lang w:eastAsia="zh-CN"/>
              </w:rPr>
              <w:t>）</w:t>
            </w:r>
            <w:r>
              <w:rPr>
                <w:rFonts w:hAnsi="宋体"/>
                <w:color w:val="auto"/>
                <w:sz w:val="24"/>
              </w:rPr>
              <w:t>二级标准</w:t>
            </w:r>
            <w:r>
              <w:rPr>
                <w:rFonts w:hint="eastAsia" w:hAnsi="宋体"/>
                <w:color w:val="auto"/>
                <w:sz w:val="24"/>
              </w:rPr>
              <w:t>的</w:t>
            </w:r>
            <w:r>
              <w:rPr>
                <w:rFonts w:hAnsi="宋体"/>
                <w:color w:val="auto"/>
                <w:sz w:val="24"/>
              </w:rPr>
              <w:t>限值</w:t>
            </w:r>
            <w:r>
              <w:rPr>
                <w:color w:val="auto"/>
                <w:sz w:val="24"/>
              </w:rPr>
              <w:t>要求</w:t>
            </w:r>
            <w:r>
              <w:rPr>
                <w:rFonts w:hint="eastAsia" w:ascii="Times New Roman" w:hAnsi="Times New Roman" w:eastAsia="宋体" w:cs="Times New Roman"/>
                <w:b w:val="0"/>
                <w:bCs w:val="0"/>
                <w:color w:val="auto"/>
                <w:kern w:val="2"/>
                <w:sz w:val="24"/>
                <w:szCs w:val="32"/>
                <w:highlight w:val="none"/>
                <w:lang w:val="en-US" w:eastAsia="zh-CN" w:bidi="ar-SA"/>
              </w:rPr>
              <w:t>，挥发性有机物</w:t>
            </w:r>
            <w:r>
              <w:rPr>
                <w:rFonts w:hint="eastAsia" w:cs="Times New Roman"/>
                <w:b w:val="0"/>
                <w:bCs w:val="0"/>
                <w:color w:val="auto"/>
                <w:kern w:val="2"/>
                <w:sz w:val="24"/>
                <w:szCs w:val="32"/>
                <w:highlight w:val="none"/>
                <w:lang w:val="en-US" w:eastAsia="zh-CN" w:bidi="ar-SA"/>
              </w:rPr>
              <w:t>厂界</w:t>
            </w:r>
            <w:r>
              <w:rPr>
                <w:rFonts w:hint="eastAsia" w:ascii="Times New Roman" w:hAnsi="Times New Roman" w:eastAsia="宋体" w:cs="Times New Roman"/>
                <w:b w:val="0"/>
                <w:bCs w:val="0"/>
                <w:color w:val="auto"/>
                <w:kern w:val="2"/>
                <w:sz w:val="24"/>
                <w:szCs w:val="32"/>
                <w:highlight w:val="none"/>
                <w:lang w:val="en-US" w:eastAsia="zh-CN" w:bidi="ar-SA"/>
              </w:rPr>
              <w:t>浓度</w:t>
            </w:r>
            <w:r>
              <w:rPr>
                <w:rFonts w:hint="eastAsia" w:cs="Times New Roman"/>
                <w:b w:val="0"/>
                <w:bCs w:val="0"/>
                <w:color w:val="auto"/>
                <w:kern w:val="2"/>
                <w:sz w:val="24"/>
                <w:szCs w:val="32"/>
                <w:highlight w:val="none"/>
                <w:lang w:val="en-US" w:eastAsia="zh-CN" w:bidi="ar-SA"/>
              </w:rPr>
              <w:t>均</w:t>
            </w:r>
            <w:r>
              <w:rPr>
                <w:rFonts w:hint="eastAsia" w:ascii="Times New Roman" w:hAnsi="Times New Roman" w:eastAsia="宋体" w:cs="Times New Roman"/>
                <w:b w:val="0"/>
                <w:bCs w:val="0"/>
                <w:color w:val="auto"/>
                <w:kern w:val="2"/>
                <w:sz w:val="24"/>
                <w:szCs w:val="32"/>
                <w:highlight w:val="none"/>
                <w:lang w:val="en-US" w:eastAsia="zh-CN" w:bidi="ar-SA"/>
              </w:rPr>
              <w:t>小于《环境影响评价技术导则 大气环境》（HJ2.2-2018）附录D中规定的标准限值。因此，本项目无需设置大气环境防护距离</w:t>
            </w:r>
            <w:r>
              <w:rPr>
                <w:bCs/>
                <w:color w:val="auto"/>
                <w:kern w:val="44"/>
                <w:sz w:val="24"/>
                <w:szCs w:val="44"/>
                <w:highlight w:val="none"/>
              </w:rPr>
              <w:t>。</w:t>
            </w:r>
          </w:p>
          <w:p w14:paraId="69A8322A">
            <w:pPr>
              <w:tabs>
                <w:tab w:val="left" w:pos="5277"/>
              </w:tabs>
              <w:autoSpaceDE w:val="0"/>
              <w:autoSpaceDN w:val="0"/>
              <w:ind w:firstLine="482" w:firstLineChars="200"/>
              <w:rPr>
                <w:b/>
                <w:color w:val="auto"/>
                <w:sz w:val="24"/>
                <w:szCs w:val="24"/>
              </w:rPr>
            </w:pPr>
            <w:r>
              <w:rPr>
                <w:rFonts w:hint="eastAsia"/>
                <w:b/>
                <w:color w:val="auto"/>
                <w:sz w:val="24"/>
                <w:szCs w:val="24"/>
                <w:lang w:eastAsia="zh-CN"/>
              </w:rPr>
              <w:t>（</w:t>
            </w:r>
            <w:r>
              <w:rPr>
                <w:rFonts w:hint="eastAsia"/>
                <w:b/>
                <w:color w:val="auto"/>
                <w:sz w:val="24"/>
                <w:szCs w:val="24"/>
                <w:lang w:val="en-US" w:eastAsia="zh-CN"/>
              </w:rPr>
              <w:t>7</w:t>
            </w:r>
            <w:r>
              <w:rPr>
                <w:rFonts w:hint="eastAsia"/>
                <w:b/>
                <w:color w:val="auto"/>
                <w:sz w:val="24"/>
                <w:szCs w:val="24"/>
                <w:lang w:eastAsia="zh-CN"/>
              </w:rPr>
              <w:t>）</w:t>
            </w:r>
            <w:r>
              <w:rPr>
                <w:b/>
                <w:color w:val="auto"/>
                <w:sz w:val="24"/>
                <w:szCs w:val="24"/>
              </w:rPr>
              <w:t>监测计划</w:t>
            </w:r>
          </w:p>
          <w:p w14:paraId="1211D2BC">
            <w:pPr>
              <w:ind w:firstLine="480" w:firstLineChars="200"/>
              <w:rPr>
                <w:color w:val="auto"/>
                <w:sz w:val="24"/>
                <w:szCs w:val="24"/>
              </w:rPr>
            </w:pPr>
            <w:r>
              <w:rPr>
                <w:rFonts w:hint="eastAsia"/>
                <w:color w:val="auto"/>
                <w:sz w:val="24"/>
                <w:szCs w:val="24"/>
                <w:lang w:eastAsia="zh-CN"/>
              </w:rPr>
              <w:t>因暂无该行业的排污许可申请与核发技术规范及该行业的排污单位自行监测技术指南，参考《排污单位自行监测技术指南 总则》（HJ 819-2017）</w:t>
            </w:r>
            <w:r>
              <w:rPr>
                <w:rFonts w:hint="eastAsia"/>
                <w:color w:val="auto"/>
                <w:sz w:val="24"/>
                <w:szCs w:val="24"/>
              </w:rPr>
              <w:t>，废气自行监测要求如下。</w:t>
            </w:r>
          </w:p>
          <w:p w14:paraId="32B12193">
            <w:pPr>
              <w:pStyle w:val="68"/>
              <w:numPr>
                <w:ilvl w:val="0"/>
                <w:numId w:val="19"/>
              </w:numPr>
              <w:spacing w:line="360" w:lineRule="auto"/>
              <w:ind w:left="0" w:leftChars="0" w:firstLine="0" w:firstLineChars="0"/>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  废气自行监测一览表</w:t>
            </w:r>
          </w:p>
          <w:tbl>
            <w:tblPr>
              <w:tblStyle w:val="2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64"/>
              <w:gridCol w:w="1473"/>
              <w:gridCol w:w="1285"/>
              <w:gridCol w:w="4139"/>
            </w:tblGrid>
            <w:tr w14:paraId="531459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924" w:type="pct"/>
                  <w:noWrap w:val="0"/>
                  <w:vAlign w:val="center"/>
                </w:tcPr>
                <w:p w14:paraId="17FE9BDA">
                  <w:pPr>
                    <w:autoSpaceDE w:val="0"/>
                    <w:autoSpaceDN w:val="0"/>
                    <w:adjustRightInd w:val="0"/>
                    <w:spacing w:line="240" w:lineRule="auto"/>
                    <w:jc w:val="center"/>
                    <w:rPr>
                      <w:b/>
                      <w:bCs/>
                      <w:color w:val="auto"/>
                      <w:sz w:val="21"/>
                      <w:szCs w:val="21"/>
                    </w:rPr>
                  </w:pPr>
                  <w:r>
                    <w:rPr>
                      <w:b/>
                      <w:bCs/>
                      <w:color w:val="auto"/>
                      <w:sz w:val="21"/>
                      <w:szCs w:val="21"/>
                    </w:rPr>
                    <w:t>监测点位</w:t>
                  </w:r>
                </w:p>
              </w:tc>
              <w:tc>
                <w:tcPr>
                  <w:tcW w:w="870" w:type="pct"/>
                  <w:noWrap w:val="0"/>
                  <w:vAlign w:val="center"/>
                </w:tcPr>
                <w:p w14:paraId="12324C4D">
                  <w:pPr>
                    <w:autoSpaceDE w:val="0"/>
                    <w:autoSpaceDN w:val="0"/>
                    <w:adjustRightInd w:val="0"/>
                    <w:spacing w:line="240" w:lineRule="auto"/>
                    <w:jc w:val="center"/>
                    <w:rPr>
                      <w:b/>
                      <w:bCs/>
                      <w:color w:val="auto"/>
                      <w:sz w:val="21"/>
                      <w:szCs w:val="21"/>
                    </w:rPr>
                  </w:pPr>
                  <w:r>
                    <w:rPr>
                      <w:b/>
                      <w:bCs/>
                      <w:color w:val="auto"/>
                      <w:sz w:val="21"/>
                      <w:szCs w:val="21"/>
                    </w:rPr>
                    <w:t>监测项目</w:t>
                  </w:r>
                </w:p>
              </w:tc>
              <w:tc>
                <w:tcPr>
                  <w:tcW w:w="759" w:type="pct"/>
                  <w:noWrap w:val="0"/>
                  <w:vAlign w:val="center"/>
                </w:tcPr>
                <w:p w14:paraId="708D02B6">
                  <w:pPr>
                    <w:autoSpaceDE w:val="0"/>
                    <w:autoSpaceDN w:val="0"/>
                    <w:adjustRightInd w:val="0"/>
                    <w:spacing w:line="240" w:lineRule="auto"/>
                    <w:jc w:val="center"/>
                    <w:rPr>
                      <w:b/>
                      <w:bCs/>
                      <w:color w:val="auto"/>
                      <w:sz w:val="21"/>
                      <w:szCs w:val="21"/>
                    </w:rPr>
                  </w:pPr>
                  <w:r>
                    <w:rPr>
                      <w:b/>
                      <w:bCs/>
                      <w:color w:val="auto"/>
                      <w:sz w:val="21"/>
                      <w:szCs w:val="21"/>
                    </w:rPr>
                    <w:t>监测频次</w:t>
                  </w:r>
                </w:p>
              </w:tc>
              <w:tc>
                <w:tcPr>
                  <w:tcW w:w="2445" w:type="pct"/>
                  <w:noWrap w:val="0"/>
                  <w:vAlign w:val="center"/>
                </w:tcPr>
                <w:p w14:paraId="0AA5AA7F">
                  <w:pPr>
                    <w:spacing w:line="240" w:lineRule="auto"/>
                    <w:jc w:val="center"/>
                    <w:rPr>
                      <w:b/>
                      <w:bCs/>
                      <w:color w:val="auto"/>
                      <w:sz w:val="21"/>
                      <w:szCs w:val="21"/>
                    </w:rPr>
                  </w:pPr>
                  <w:r>
                    <w:rPr>
                      <w:b/>
                      <w:bCs/>
                      <w:color w:val="auto"/>
                      <w:sz w:val="21"/>
                      <w:szCs w:val="21"/>
                      <w:lang w:bidi="en-US"/>
                    </w:rPr>
                    <w:t>执行标准</w:t>
                  </w:r>
                </w:p>
              </w:tc>
            </w:tr>
            <w:tr w14:paraId="72B4F6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924" w:type="pct"/>
                  <w:noWrap w:val="0"/>
                  <w:vAlign w:val="center"/>
                </w:tcPr>
                <w:p w14:paraId="4D33A625">
                  <w:pPr>
                    <w:autoSpaceDE w:val="0"/>
                    <w:autoSpaceDN w:val="0"/>
                    <w:adjustRightInd w:val="0"/>
                    <w:spacing w:line="240" w:lineRule="auto"/>
                    <w:jc w:val="center"/>
                    <w:rPr>
                      <w:color w:val="auto"/>
                      <w:sz w:val="21"/>
                      <w:szCs w:val="21"/>
                    </w:rPr>
                  </w:pPr>
                  <w:r>
                    <w:rPr>
                      <w:rFonts w:hint="eastAsia"/>
                      <w:color w:val="auto"/>
                      <w:sz w:val="21"/>
                      <w:szCs w:val="21"/>
                    </w:rPr>
                    <w:t>DA001</w:t>
                  </w:r>
                </w:p>
              </w:tc>
              <w:tc>
                <w:tcPr>
                  <w:tcW w:w="870" w:type="pct"/>
                  <w:noWrap w:val="0"/>
                  <w:vAlign w:val="center"/>
                </w:tcPr>
                <w:p w14:paraId="7BC22966">
                  <w:pPr>
                    <w:autoSpaceDE w:val="0"/>
                    <w:autoSpaceDN w:val="0"/>
                    <w:adjustRightInd w:val="0"/>
                    <w:spacing w:line="240" w:lineRule="auto"/>
                    <w:jc w:val="center"/>
                    <w:rPr>
                      <w:color w:val="auto"/>
                      <w:sz w:val="21"/>
                      <w:szCs w:val="21"/>
                    </w:rPr>
                  </w:pPr>
                  <w:r>
                    <w:rPr>
                      <w:rFonts w:hint="eastAsia"/>
                      <w:color w:val="auto"/>
                      <w:sz w:val="21"/>
                      <w:szCs w:val="21"/>
                    </w:rPr>
                    <w:t>颗粒物</w:t>
                  </w:r>
                </w:p>
              </w:tc>
              <w:tc>
                <w:tcPr>
                  <w:tcW w:w="759" w:type="pct"/>
                  <w:noWrap w:val="0"/>
                  <w:vAlign w:val="center"/>
                </w:tcPr>
                <w:p w14:paraId="0B19B571">
                  <w:pPr>
                    <w:autoSpaceDE w:val="0"/>
                    <w:autoSpaceDN w:val="0"/>
                    <w:adjustRightInd w:val="0"/>
                    <w:spacing w:line="240" w:lineRule="auto"/>
                    <w:jc w:val="center"/>
                    <w:rPr>
                      <w:color w:val="auto"/>
                      <w:sz w:val="21"/>
                      <w:szCs w:val="21"/>
                    </w:rPr>
                  </w:pPr>
                  <w:r>
                    <w:rPr>
                      <w:rFonts w:hint="eastAsia"/>
                      <w:color w:val="auto"/>
                      <w:sz w:val="21"/>
                      <w:szCs w:val="21"/>
                      <w:highlight w:val="none"/>
                    </w:rPr>
                    <w:t>1次/年</w:t>
                  </w:r>
                </w:p>
              </w:tc>
              <w:tc>
                <w:tcPr>
                  <w:tcW w:w="2445" w:type="pct"/>
                  <w:vMerge w:val="restart"/>
                  <w:noWrap w:val="0"/>
                  <w:vAlign w:val="center"/>
                </w:tcPr>
                <w:p w14:paraId="42E6F45F">
                  <w:pPr>
                    <w:spacing w:line="240" w:lineRule="auto"/>
                    <w:jc w:val="center"/>
                    <w:rPr>
                      <w:color w:val="auto"/>
                      <w:sz w:val="21"/>
                      <w:szCs w:val="21"/>
                    </w:rPr>
                  </w:pPr>
                  <w:r>
                    <w:rPr>
                      <w:color w:val="auto"/>
                      <w:sz w:val="21"/>
                      <w:szCs w:val="21"/>
                    </w:rPr>
                    <w:t>《大气污染物综合排放标准》（GB16297-1996）表2中二级标准限值</w:t>
                  </w:r>
                </w:p>
              </w:tc>
            </w:tr>
            <w:tr w14:paraId="1AC4B8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924" w:type="pct"/>
                  <w:noWrap w:val="0"/>
                  <w:vAlign w:val="center"/>
                </w:tcPr>
                <w:p w14:paraId="162083A6">
                  <w:pPr>
                    <w:autoSpaceDE w:val="0"/>
                    <w:autoSpaceDN w:val="0"/>
                    <w:adjustRightInd w:val="0"/>
                    <w:spacing w:line="240" w:lineRule="auto"/>
                    <w:jc w:val="center"/>
                    <w:rPr>
                      <w:rFonts w:hint="eastAsia" w:eastAsia="宋体"/>
                      <w:color w:val="auto"/>
                      <w:sz w:val="21"/>
                      <w:szCs w:val="21"/>
                      <w:lang w:eastAsia="zh-CN"/>
                    </w:rPr>
                  </w:pPr>
                  <w:r>
                    <w:rPr>
                      <w:rFonts w:hint="eastAsia"/>
                      <w:color w:val="auto"/>
                      <w:sz w:val="21"/>
                      <w:szCs w:val="21"/>
                      <w:lang w:eastAsia="zh-CN"/>
                    </w:rPr>
                    <w:t>DA002</w:t>
                  </w:r>
                </w:p>
              </w:tc>
              <w:tc>
                <w:tcPr>
                  <w:tcW w:w="870" w:type="pct"/>
                  <w:noWrap w:val="0"/>
                  <w:vAlign w:val="center"/>
                </w:tcPr>
                <w:p w14:paraId="27115A06">
                  <w:pPr>
                    <w:autoSpaceDE w:val="0"/>
                    <w:autoSpaceDN w:val="0"/>
                    <w:adjustRightInd w:val="0"/>
                    <w:spacing w:line="240" w:lineRule="auto"/>
                    <w:jc w:val="center"/>
                    <w:rPr>
                      <w:color w:val="auto"/>
                      <w:sz w:val="21"/>
                      <w:szCs w:val="21"/>
                    </w:rPr>
                  </w:pPr>
                  <w:r>
                    <w:rPr>
                      <w:rFonts w:hint="eastAsia"/>
                      <w:color w:val="auto"/>
                      <w:sz w:val="21"/>
                      <w:szCs w:val="21"/>
                    </w:rPr>
                    <w:t>颗粒物</w:t>
                  </w:r>
                </w:p>
              </w:tc>
              <w:tc>
                <w:tcPr>
                  <w:tcW w:w="759" w:type="pct"/>
                  <w:noWrap w:val="0"/>
                  <w:vAlign w:val="center"/>
                </w:tcPr>
                <w:p w14:paraId="608A2C52">
                  <w:pPr>
                    <w:autoSpaceDE w:val="0"/>
                    <w:autoSpaceDN w:val="0"/>
                    <w:adjustRightInd w:val="0"/>
                    <w:spacing w:line="240" w:lineRule="auto"/>
                    <w:jc w:val="center"/>
                    <w:rPr>
                      <w:color w:val="auto"/>
                      <w:sz w:val="21"/>
                      <w:szCs w:val="21"/>
                    </w:rPr>
                  </w:pPr>
                  <w:r>
                    <w:rPr>
                      <w:rFonts w:hint="eastAsia"/>
                      <w:color w:val="auto"/>
                      <w:sz w:val="21"/>
                      <w:szCs w:val="21"/>
                      <w:highlight w:val="none"/>
                    </w:rPr>
                    <w:t>1次/年</w:t>
                  </w:r>
                </w:p>
              </w:tc>
              <w:tc>
                <w:tcPr>
                  <w:tcW w:w="2445" w:type="pct"/>
                  <w:vMerge w:val="continue"/>
                  <w:noWrap w:val="0"/>
                  <w:vAlign w:val="center"/>
                </w:tcPr>
                <w:p w14:paraId="777D377E">
                  <w:pPr>
                    <w:autoSpaceDE w:val="0"/>
                    <w:autoSpaceDN w:val="0"/>
                    <w:adjustRightInd w:val="0"/>
                    <w:spacing w:line="240" w:lineRule="auto"/>
                    <w:jc w:val="center"/>
                    <w:rPr>
                      <w:color w:val="auto"/>
                      <w:sz w:val="21"/>
                      <w:szCs w:val="21"/>
                    </w:rPr>
                  </w:pPr>
                </w:p>
              </w:tc>
            </w:tr>
            <w:tr w14:paraId="340660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924" w:type="pct"/>
                  <w:noWrap w:val="0"/>
                  <w:vAlign w:val="center"/>
                </w:tcPr>
                <w:p w14:paraId="4F57FA91">
                  <w:pPr>
                    <w:autoSpaceDE w:val="0"/>
                    <w:autoSpaceDN w:val="0"/>
                    <w:adjustRightInd w:val="0"/>
                    <w:spacing w:line="240" w:lineRule="auto"/>
                    <w:jc w:val="center"/>
                    <w:rPr>
                      <w:rFonts w:hint="eastAsia" w:eastAsia="宋体"/>
                      <w:color w:val="auto"/>
                      <w:sz w:val="21"/>
                      <w:szCs w:val="21"/>
                      <w:lang w:eastAsia="zh-CN"/>
                    </w:rPr>
                  </w:pPr>
                  <w:r>
                    <w:rPr>
                      <w:rFonts w:hint="eastAsia"/>
                      <w:color w:val="auto"/>
                      <w:sz w:val="21"/>
                      <w:szCs w:val="21"/>
                    </w:rPr>
                    <w:t>DA00</w:t>
                  </w:r>
                  <w:r>
                    <w:rPr>
                      <w:rFonts w:hint="eastAsia"/>
                      <w:color w:val="auto"/>
                      <w:sz w:val="21"/>
                      <w:szCs w:val="21"/>
                      <w:lang w:val="en-US" w:eastAsia="zh-CN"/>
                    </w:rPr>
                    <w:t>3</w:t>
                  </w:r>
                </w:p>
              </w:tc>
              <w:tc>
                <w:tcPr>
                  <w:tcW w:w="870" w:type="pct"/>
                  <w:noWrap w:val="0"/>
                  <w:vAlign w:val="center"/>
                </w:tcPr>
                <w:p w14:paraId="460EABC2">
                  <w:pPr>
                    <w:autoSpaceDE w:val="0"/>
                    <w:autoSpaceDN w:val="0"/>
                    <w:adjustRightInd w:val="0"/>
                    <w:spacing w:line="240" w:lineRule="auto"/>
                    <w:jc w:val="center"/>
                    <w:rPr>
                      <w:color w:val="auto"/>
                      <w:sz w:val="21"/>
                      <w:szCs w:val="21"/>
                    </w:rPr>
                  </w:pPr>
                  <w:r>
                    <w:rPr>
                      <w:rFonts w:hint="eastAsia"/>
                      <w:color w:val="auto"/>
                      <w:sz w:val="21"/>
                      <w:szCs w:val="21"/>
                    </w:rPr>
                    <w:t>颗粒物</w:t>
                  </w:r>
                </w:p>
              </w:tc>
              <w:tc>
                <w:tcPr>
                  <w:tcW w:w="759" w:type="pct"/>
                  <w:noWrap w:val="0"/>
                  <w:vAlign w:val="center"/>
                </w:tcPr>
                <w:p w14:paraId="7772E302">
                  <w:pPr>
                    <w:autoSpaceDE w:val="0"/>
                    <w:autoSpaceDN w:val="0"/>
                    <w:adjustRightInd w:val="0"/>
                    <w:spacing w:line="240" w:lineRule="auto"/>
                    <w:jc w:val="center"/>
                    <w:rPr>
                      <w:color w:val="auto"/>
                      <w:sz w:val="21"/>
                      <w:szCs w:val="21"/>
                    </w:rPr>
                  </w:pPr>
                  <w:r>
                    <w:rPr>
                      <w:rFonts w:hint="eastAsia"/>
                      <w:color w:val="auto"/>
                      <w:sz w:val="21"/>
                      <w:szCs w:val="21"/>
                      <w:highlight w:val="none"/>
                    </w:rPr>
                    <w:t>1次/年</w:t>
                  </w:r>
                </w:p>
              </w:tc>
              <w:tc>
                <w:tcPr>
                  <w:tcW w:w="2445" w:type="pct"/>
                  <w:vMerge w:val="continue"/>
                  <w:noWrap w:val="0"/>
                  <w:vAlign w:val="center"/>
                </w:tcPr>
                <w:p w14:paraId="67CEF45B">
                  <w:pPr>
                    <w:autoSpaceDE w:val="0"/>
                    <w:autoSpaceDN w:val="0"/>
                    <w:adjustRightInd w:val="0"/>
                    <w:spacing w:line="240" w:lineRule="auto"/>
                    <w:jc w:val="center"/>
                    <w:rPr>
                      <w:color w:val="auto"/>
                      <w:sz w:val="21"/>
                      <w:szCs w:val="21"/>
                    </w:rPr>
                  </w:pPr>
                </w:p>
              </w:tc>
            </w:tr>
            <w:tr w14:paraId="5889C6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924" w:type="pct"/>
                  <w:noWrap w:val="0"/>
                  <w:vAlign w:val="center"/>
                </w:tcPr>
                <w:p w14:paraId="53B3B20F">
                  <w:pPr>
                    <w:autoSpaceDE w:val="0"/>
                    <w:autoSpaceDN w:val="0"/>
                    <w:adjustRightInd w:val="0"/>
                    <w:spacing w:line="240" w:lineRule="auto"/>
                    <w:jc w:val="center"/>
                    <w:rPr>
                      <w:rFonts w:hint="eastAsia" w:eastAsia="宋体"/>
                      <w:color w:val="auto"/>
                      <w:kern w:val="2"/>
                      <w:sz w:val="21"/>
                      <w:szCs w:val="21"/>
                      <w:lang w:val="en-US" w:eastAsia="zh-CN" w:bidi="ar-SA"/>
                    </w:rPr>
                  </w:pPr>
                  <w:r>
                    <w:rPr>
                      <w:rFonts w:hint="eastAsia"/>
                      <w:color w:val="auto"/>
                      <w:sz w:val="21"/>
                      <w:szCs w:val="21"/>
                    </w:rPr>
                    <w:t>DA00</w:t>
                  </w:r>
                  <w:r>
                    <w:rPr>
                      <w:rFonts w:hint="eastAsia"/>
                      <w:color w:val="auto"/>
                      <w:sz w:val="21"/>
                      <w:szCs w:val="21"/>
                      <w:lang w:val="en-US" w:eastAsia="zh-CN"/>
                    </w:rPr>
                    <w:t>4</w:t>
                  </w:r>
                </w:p>
              </w:tc>
              <w:tc>
                <w:tcPr>
                  <w:tcW w:w="870" w:type="pct"/>
                  <w:noWrap w:val="0"/>
                  <w:vAlign w:val="center"/>
                </w:tcPr>
                <w:p w14:paraId="74404215">
                  <w:pPr>
                    <w:autoSpaceDE w:val="0"/>
                    <w:autoSpaceDN w:val="0"/>
                    <w:adjustRightInd w:val="0"/>
                    <w:spacing w:line="240" w:lineRule="auto"/>
                    <w:jc w:val="center"/>
                    <w:rPr>
                      <w:rFonts w:hint="eastAsia"/>
                      <w:color w:val="auto"/>
                      <w:kern w:val="2"/>
                      <w:sz w:val="21"/>
                      <w:szCs w:val="21"/>
                      <w:lang w:val="en-US" w:eastAsia="zh-CN" w:bidi="ar-SA"/>
                    </w:rPr>
                  </w:pPr>
                  <w:r>
                    <w:rPr>
                      <w:rFonts w:hint="eastAsia"/>
                      <w:color w:val="auto"/>
                      <w:sz w:val="21"/>
                      <w:szCs w:val="21"/>
                    </w:rPr>
                    <w:t>颗粒物</w:t>
                  </w:r>
                </w:p>
              </w:tc>
              <w:tc>
                <w:tcPr>
                  <w:tcW w:w="759" w:type="pct"/>
                  <w:noWrap w:val="0"/>
                  <w:vAlign w:val="center"/>
                </w:tcPr>
                <w:p w14:paraId="4F729DBC">
                  <w:pPr>
                    <w:autoSpaceDE w:val="0"/>
                    <w:autoSpaceDN w:val="0"/>
                    <w:adjustRightInd w:val="0"/>
                    <w:spacing w:line="240" w:lineRule="auto"/>
                    <w:jc w:val="center"/>
                    <w:rPr>
                      <w:color w:val="auto"/>
                      <w:kern w:val="2"/>
                      <w:sz w:val="21"/>
                      <w:szCs w:val="21"/>
                      <w:lang w:val="en-US" w:eastAsia="zh-CN" w:bidi="ar-SA"/>
                    </w:rPr>
                  </w:pPr>
                  <w:r>
                    <w:rPr>
                      <w:rFonts w:hint="eastAsia"/>
                      <w:color w:val="auto"/>
                      <w:sz w:val="21"/>
                      <w:szCs w:val="21"/>
                      <w:highlight w:val="none"/>
                    </w:rPr>
                    <w:t>1次/年</w:t>
                  </w:r>
                </w:p>
              </w:tc>
              <w:tc>
                <w:tcPr>
                  <w:tcW w:w="2445" w:type="pct"/>
                  <w:vMerge w:val="continue"/>
                  <w:noWrap w:val="0"/>
                  <w:vAlign w:val="center"/>
                </w:tcPr>
                <w:p w14:paraId="49914ED7">
                  <w:pPr>
                    <w:autoSpaceDE w:val="0"/>
                    <w:autoSpaceDN w:val="0"/>
                    <w:adjustRightInd w:val="0"/>
                    <w:spacing w:line="240" w:lineRule="auto"/>
                    <w:jc w:val="center"/>
                    <w:rPr>
                      <w:color w:val="auto"/>
                      <w:sz w:val="21"/>
                      <w:szCs w:val="21"/>
                    </w:rPr>
                  </w:pPr>
                </w:p>
              </w:tc>
            </w:tr>
            <w:tr w14:paraId="2D6D27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924" w:type="pct"/>
                  <w:noWrap w:val="0"/>
                  <w:vAlign w:val="center"/>
                </w:tcPr>
                <w:p w14:paraId="5B248CBB">
                  <w:pPr>
                    <w:autoSpaceDE w:val="0"/>
                    <w:autoSpaceDN w:val="0"/>
                    <w:adjustRightInd w:val="0"/>
                    <w:spacing w:line="240" w:lineRule="auto"/>
                    <w:jc w:val="center"/>
                    <w:rPr>
                      <w:rFonts w:hint="default" w:eastAsia="宋体"/>
                      <w:color w:val="auto"/>
                      <w:sz w:val="21"/>
                      <w:szCs w:val="21"/>
                      <w:lang w:val="en-US" w:eastAsia="zh-CN"/>
                    </w:rPr>
                  </w:pPr>
                  <w:r>
                    <w:rPr>
                      <w:rFonts w:hint="eastAsia"/>
                      <w:color w:val="auto"/>
                      <w:sz w:val="21"/>
                      <w:szCs w:val="21"/>
                      <w:lang w:val="en-US" w:eastAsia="zh-CN"/>
                    </w:rPr>
                    <w:t>DA005</w:t>
                  </w:r>
                </w:p>
              </w:tc>
              <w:tc>
                <w:tcPr>
                  <w:tcW w:w="870" w:type="pct"/>
                  <w:noWrap w:val="0"/>
                  <w:vAlign w:val="center"/>
                </w:tcPr>
                <w:p w14:paraId="5DF3B6B7">
                  <w:pPr>
                    <w:autoSpaceDE w:val="0"/>
                    <w:autoSpaceDN w:val="0"/>
                    <w:adjustRightInd w:val="0"/>
                    <w:spacing w:line="240" w:lineRule="auto"/>
                    <w:jc w:val="center"/>
                    <w:rPr>
                      <w:rFonts w:hint="eastAsia" w:eastAsia="宋体"/>
                      <w:color w:val="auto"/>
                      <w:sz w:val="21"/>
                      <w:szCs w:val="21"/>
                      <w:lang w:eastAsia="zh-CN"/>
                    </w:rPr>
                  </w:pPr>
                  <w:r>
                    <w:rPr>
                      <w:rFonts w:hint="eastAsia"/>
                      <w:color w:val="auto"/>
                      <w:sz w:val="21"/>
                      <w:szCs w:val="21"/>
                      <w:lang w:eastAsia="zh-CN"/>
                    </w:rPr>
                    <w:t>挥发性有机物</w:t>
                  </w:r>
                </w:p>
              </w:tc>
              <w:tc>
                <w:tcPr>
                  <w:tcW w:w="759" w:type="pct"/>
                  <w:noWrap w:val="0"/>
                  <w:vAlign w:val="center"/>
                </w:tcPr>
                <w:p w14:paraId="3A446B98">
                  <w:pPr>
                    <w:autoSpaceDE w:val="0"/>
                    <w:autoSpaceDN w:val="0"/>
                    <w:adjustRightInd w:val="0"/>
                    <w:spacing w:line="240" w:lineRule="auto"/>
                    <w:jc w:val="center"/>
                    <w:rPr>
                      <w:rFonts w:hint="eastAsia"/>
                      <w:color w:val="auto"/>
                      <w:sz w:val="21"/>
                      <w:szCs w:val="21"/>
                      <w:highlight w:val="none"/>
                    </w:rPr>
                  </w:pPr>
                  <w:r>
                    <w:rPr>
                      <w:rFonts w:hint="eastAsia"/>
                      <w:color w:val="auto"/>
                      <w:sz w:val="21"/>
                      <w:szCs w:val="21"/>
                      <w:highlight w:val="none"/>
                    </w:rPr>
                    <w:t>1次/年</w:t>
                  </w:r>
                </w:p>
              </w:tc>
              <w:tc>
                <w:tcPr>
                  <w:tcW w:w="2445" w:type="pct"/>
                  <w:noWrap w:val="0"/>
                  <w:vAlign w:val="center"/>
                </w:tcPr>
                <w:p w14:paraId="6DDA6A73">
                  <w:pPr>
                    <w:autoSpaceDE w:val="0"/>
                    <w:autoSpaceDN w:val="0"/>
                    <w:adjustRightInd w:val="0"/>
                    <w:spacing w:line="240" w:lineRule="auto"/>
                    <w:jc w:val="center"/>
                    <w:rPr>
                      <w:color w:val="auto"/>
                      <w:sz w:val="21"/>
                      <w:szCs w:val="21"/>
                    </w:rPr>
                  </w:pPr>
                  <w:r>
                    <w:rPr>
                      <w:rFonts w:ascii="Times New Roman" w:hAnsi="Times New Roman" w:cs="Times New Roman"/>
                      <w:color w:val="auto"/>
                      <w:sz w:val="21"/>
                      <w:szCs w:val="21"/>
                    </w:rPr>
                    <w:t>《工业涂装工序挥发性有机物排放标准》（DB21/3160-2019）中</w:t>
                  </w:r>
                  <w:r>
                    <w:rPr>
                      <w:rFonts w:hint="eastAsia" w:ascii="Times New Roman" w:hAnsi="Times New Roman" w:cs="Times New Roman"/>
                      <w:color w:val="auto"/>
                      <w:sz w:val="21"/>
                      <w:szCs w:val="21"/>
                      <w:lang w:eastAsia="zh-CN"/>
                    </w:rPr>
                    <w:t>“涉及工业涂装工序的其他行业”</w:t>
                  </w:r>
                  <w:r>
                    <w:rPr>
                      <w:rFonts w:ascii="Times New Roman" w:hAnsi="Times New Roman" w:cs="Times New Roman"/>
                      <w:color w:val="auto"/>
                      <w:sz w:val="21"/>
                      <w:szCs w:val="21"/>
                    </w:rPr>
                    <w:t>排放限值</w:t>
                  </w:r>
                </w:p>
              </w:tc>
            </w:tr>
            <w:tr w14:paraId="4E2742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924" w:type="pct"/>
                  <w:vMerge w:val="restart"/>
                  <w:noWrap w:val="0"/>
                  <w:vAlign w:val="center"/>
                </w:tcPr>
                <w:p w14:paraId="1C7C8E6F">
                  <w:pPr>
                    <w:autoSpaceDE w:val="0"/>
                    <w:autoSpaceDN w:val="0"/>
                    <w:adjustRightInd w:val="0"/>
                    <w:spacing w:line="240" w:lineRule="auto"/>
                    <w:jc w:val="center"/>
                    <w:rPr>
                      <w:color w:val="auto"/>
                      <w:sz w:val="21"/>
                      <w:szCs w:val="21"/>
                    </w:rPr>
                  </w:pPr>
                  <w:r>
                    <w:rPr>
                      <w:rFonts w:hint="eastAsia"/>
                      <w:color w:val="auto"/>
                      <w:sz w:val="21"/>
                      <w:szCs w:val="21"/>
                      <w:lang w:eastAsia="zh-CN"/>
                    </w:rPr>
                    <w:t>厂</w:t>
                  </w:r>
                  <w:r>
                    <w:rPr>
                      <w:color w:val="auto"/>
                      <w:sz w:val="21"/>
                      <w:szCs w:val="21"/>
                    </w:rPr>
                    <w:t>界</w:t>
                  </w:r>
                </w:p>
              </w:tc>
              <w:tc>
                <w:tcPr>
                  <w:tcW w:w="870" w:type="pct"/>
                  <w:noWrap w:val="0"/>
                  <w:vAlign w:val="center"/>
                </w:tcPr>
                <w:p w14:paraId="7D7763F8">
                  <w:pPr>
                    <w:autoSpaceDE w:val="0"/>
                    <w:autoSpaceDN w:val="0"/>
                    <w:adjustRightInd w:val="0"/>
                    <w:spacing w:line="240" w:lineRule="auto"/>
                    <w:jc w:val="center"/>
                    <w:rPr>
                      <w:color w:val="auto"/>
                      <w:sz w:val="21"/>
                      <w:szCs w:val="21"/>
                    </w:rPr>
                  </w:pPr>
                  <w:r>
                    <w:rPr>
                      <w:rFonts w:hint="eastAsia"/>
                      <w:color w:val="auto"/>
                      <w:sz w:val="21"/>
                      <w:szCs w:val="21"/>
                    </w:rPr>
                    <w:t>颗粒物</w:t>
                  </w:r>
                </w:p>
              </w:tc>
              <w:tc>
                <w:tcPr>
                  <w:tcW w:w="759" w:type="pct"/>
                  <w:vMerge w:val="restart"/>
                  <w:noWrap w:val="0"/>
                  <w:vAlign w:val="center"/>
                </w:tcPr>
                <w:p w14:paraId="4ECF52FA">
                  <w:pPr>
                    <w:autoSpaceDE w:val="0"/>
                    <w:autoSpaceDN w:val="0"/>
                    <w:adjustRightInd w:val="0"/>
                    <w:spacing w:line="240" w:lineRule="auto"/>
                    <w:jc w:val="center"/>
                    <w:rPr>
                      <w:color w:val="auto"/>
                      <w:sz w:val="21"/>
                      <w:szCs w:val="21"/>
                    </w:rPr>
                  </w:pPr>
                  <w:r>
                    <w:rPr>
                      <w:rFonts w:hint="eastAsia"/>
                      <w:color w:val="auto"/>
                      <w:sz w:val="21"/>
                      <w:szCs w:val="21"/>
                      <w:highlight w:val="none"/>
                    </w:rPr>
                    <w:t>1次/年</w:t>
                  </w:r>
                </w:p>
              </w:tc>
              <w:tc>
                <w:tcPr>
                  <w:tcW w:w="2445" w:type="pct"/>
                  <w:noWrap w:val="0"/>
                  <w:vAlign w:val="center"/>
                </w:tcPr>
                <w:p w14:paraId="54F1013B">
                  <w:pPr>
                    <w:autoSpaceDE w:val="0"/>
                    <w:autoSpaceDN w:val="0"/>
                    <w:adjustRightInd w:val="0"/>
                    <w:spacing w:line="240" w:lineRule="auto"/>
                    <w:jc w:val="center"/>
                    <w:rPr>
                      <w:color w:val="auto"/>
                      <w:sz w:val="21"/>
                      <w:szCs w:val="21"/>
                    </w:rPr>
                  </w:pPr>
                  <w:r>
                    <w:rPr>
                      <w:color w:val="auto"/>
                      <w:sz w:val="21"/>
                      <w:szCs w:val="21"/>
                    </w:rPr>
                    <w:t>《大气污染物综合排放标准》（GB16297-1996）表2无组织监控浓度限值</w:t>
                  </w:r>
                </w:p>
              </w:tc>
            </w:tr>
            <w:tr w14:paraId="42E7D6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924" w:type="pct"/>
                  <w:vMerge w:val="continue"/>
                  <w:noWrap w:val="0"/>
                  <w:vAlign w:val="center"/>
                </w:tcPr>
                <w:p w14:paraId="13AFA474">
                  <w:pPr>
                    <w:autoSpaceDE w:val="0"/>
                    <w:autoSpaceDN w:val="0"/>
                    <w:adjustRightInd w:val="0"/>
                    <w:spacing w:line="240" w:lineRule="auto"/>
                    <w:jc w:val="center"/>
                    <w:rPr>
                      <w:color w:val="auto"/>
                      <w:sz w:val="21"/>
                      <w:szCs w:val="21"/>
                    </w:rPr>
                  </w:pPr>
                </w:p>
              </w:tc>
              <w:tc>
                <w:tcPr>
                  <w:tcW w:w="870" w:type="pct"/>
                  <w:noWrap w:val="0"/>
                  <w:vAlign w:val="center"/>
                </w:tcPr>
                <w:p w14:paraId="283A9BF8">
                  <w:pPr>
                    <w:autoSpaceDE w:val="0"/>
                    <w:autoSpaceDN w:val="0"/>
                    <w:adjustRightInd w:val="0"/>
                    <w:spacing w:line="240" w:lineRule="auto"/>
                    <w:jc w:val="center"/>
                    <w:rPr>
                      <w:rFonts w:hint="eastAsia"/>
                      <w:color w:val="auto"/>
                      <w:sz w:val="21"/>
                      <w:szCs w:val="21"/>
                    </w:rPr>
                  </w:pPr>
                  <w:r>
                    <w:rPr>
                      <w:rFonts w:hint="eastAsia"/>
                      <w:color w:val="auto"/>
                      <w:sz w:val="21"/>
                      <w:szCs w:val="21"/>
                      <w:lang w:eastAsia="zh-CN"/>
                    </w:rPr>
                    <w:t>非甲烷总烃</w:t>
                  </w:r>
                </w:p>
              </w:tc>
              <w:tc>
                <w:tcPr>
                  <w:tcW w:w="759" w:type="pct"/>
                  <w:vMerge w:val="continue"/>
                  <w:noWrap w:val="0"/>
                  <w:vAlign w:val="center"/>
                </w:tcPr>
                <w:p w14:paraId="2B5A580E">
                  <w:pPr>
                    <w:autoSpaceDE w:val="0"/>
                    <w:autoSpaceDN w:val="0"/>
                    <w:adjustRightInd w:val="0"/>
                    <w:spacing w:line="240" w:lineRule="auto"/>
                    <w:jc w:val="center"/>
                    <w:rPr>
                      <w:rFonts w:hint="eastAsia"/>
                      <w:color w:val="auto"/>
                      <w:sz w:val="21"/>
                      <w:szCs w:val="21"/>
                      <w:highlight w:val="none"/>
                    </w:rPr>
                  </w:pPr>
                </w:p>
              </w:tc>
              <w:tc>
                <w:tcPr>
                  <w:tcW w:w="2445" w:type="pct"/>
                  <w:noWrap w:val="0"/>
                  <w:vAlign w:val="center"/>
                </w:tcPr>
                <w:p w14:paraId="46DD3CB8">
                  <w:pPr>
                    <w:autoSpaceDE w:val="0"/>
                    <w:autoSpaceDN w:val="0"/>
                    <w:adjustRightInd w:val="0"/>
                    <w:spacing w:line="240" w:lineRule="auto"/>
                    <w:jc w:val="center"/>
                    <w:rPr>
                      <w:color w:val="auto"/>
                      <w:sz w:val="21"/>
                      <w:szCs w:val="21"/>
                    </w:rPr>
                  </w:pPr>
                  <w:r>
                    <w:rPr>
                      <w:rFonts w:ascii="Times New Roman" w:hAnsi="Times New Roman" w:cs="Times New Roman"/>
                      <w:color w:val="auto"/>
                      <w:sz w:val="21"/>
                      <w:szCs w:val="21"/>
                    </w:rPr>
                    <w:t>《工业涂装工序挥发性有机物排放标准》（DB21/3160-2019）中</w:t>
                  </w:r>
                  <w:r>
                    <w:rPr>
                      <w:rFonts w:hint="eastAsia" w:ascii="Times New Roman" w:hAnsi="Times New Roman" w:cs="Times New Roman"/>
                      <w:color w:val="auto"/>
                      <w:sz w:val="21"/>
                      <w:szCs w:val="21"/>
                      <w:lang w:eastAsia="zh-CN"/>
                    </w:rPr>
                    <w:t>表</w:t>
                  </w:r>
                  <w:r>
                    <w:rPr>
                      <w:rFonts w:hint="eastAsia" w:ascii="Times New Roman" w:hAnsi="Times New Roman" w:cs="Times New Roman"/>
                      <w:color w:val="auto"/>
                      <w:sz w:val="21"/>
                      <w:szCs w:val="21"/>
                      <w:lang w:val="en-US" w:eastAsia="zh-CN"/>
                    </w:rPr>
                    <w:t>3</w:t>
                  </w:r>
                </w:p>
              </w:tc>
            </w:tr>
            <w:tr w14:paraId="46332F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924" w:type="pct"/>
                  <w:noWrap w:val="0"/>
                  <w:vAlign w:val="center"/>
                </w:tcPr>
                <w:p w14:paraId="600D856E">
                  <w:pPr>
                    <w:autoSpaceDE w:val="0"/>
                    <w:autoSpaceDN w:val="0"/>
                    <w:adjustRightInd w:val="0"/>
                    <w:spacing w:line="240" w:lineRule="auto"/>
                    <w:jc w:val="center"/>
                    <w:rPr>
                      <w:rFonts w:hint="eastAsia"/>
                      <w:color w:val="auto"/>
                      <w:sz w:val="21"/>
                      <w:szCs w:val="21"/>
                    </w:rPr>
                  </w:pPr>
                  <w:r>
                    <w:rPr>
                      <w:rFonts w:hint="eastAsia"/>
                      <w:color w:val="auto"/>
                      <w:sz w:val="21"/>
                      <w:szCs w:val="21"/>
                    </w:rPr>
                    <w:t>在厂房外设置监控点（</w:t>
                  </w:r>
                  <w:r>
                    <w:rPr>
                      <w:rFonts w:hint="eastAsia"/>
                      <w:color w:val="auto"/>
                      <w:sz w:val="21"/>
                      <w:szCs w:val="21"/>
                      <w:lang w:eastAsia="zh-CN"/>
                    </w:rPr>
                    <w:t>厂区内</w:t>
                  </w:r>
                  <w:r>
                    <w:rPr>
                      <w:rFonts w:hint="eastAsia"/>
                      <w:color w:val="auto"/>
                      <w:sz w:val="21"/>
                      <w:szCs w:val="21"/>
                      <w:lang w:val="en-US" w:eastAsia="zh-CN"/>
                    </w:rPr>
                    <w:t>-</w:t>
                  </w:r>
                  <w:r>
                    <w:rPr>
                      <w:rFonts w:hint="eastAsia"/>
                      <w:color w:val="auto"/>
                      <w:sz w:val="21"/>
                      <w:szCs w:val="21"/>
                    </w:rPr>
                    <w:t>厂房门口）</w:t>
                  </w:r>
                </w:p>
              </w:tc>
              <w:tc>
                <w:tcPr>
                  <w:tcW w:w="870" w:type="pct"/>
                  <w:noWrap w:val="0"/>
                  <w:vAlign w:val="center"/>
                </w:tcPr>
                <w:p w14:paraId="6517D026">
                  <w:pPr>
                    <w:autoSpaceDE w:val="0"/>
                    <w:autoSpaceDN w:val="0"/>
                    <w:adjustRightInd w:val="0"/>
                    <w:spacing w:line="240" w:lineRule="auto"/>
                    <w:jc w:val="center"/>
                    <w:rPr>
                      <w:color w:val="auto"/>
                      <w:sz w:val="21"/>
                      <w:szCs w:val="21"/>
                    </w:rPr>
                  </w:pPr>
                  <w:r>
                    <w:rPr>
                      <w:rFonts w:hint="eastAsia"/>
                      <w:color w:val="auto"/>
                      <w:sz w:val="21"/>
                      <w:szCs w:val="21"/>
                      <w:lang w:eastAsia="zh-CN"/>
                    </w:rPr>
                    <w:t>非甲烷总烃</w:t>
                  </w:r>
                </w:p>
              </w:tc>
              <w:tc>
                <w:tcPr>
                  <w:tcW w:w="759" w:type="pct"/>
                  <w:noWrap w:val="0"/>
                  <w:vAlign w:val="center"/>
                </w:tcPr>
                <w:p w14:paraId="14F54A89">
                  <w:pPr>
                    <w:autoSpaceDE w:val="0"/>
                    <w:autoSpaceDN w:val="0"/>
                    <w:adjustRightInd w:val="0"/>
                    <w:spacing w:line="240" w:lineRule="auto"/>
                    <w:jc w:val="center"/>
                    <w:rPr>
                      <w:color w:val="auto"/>
                      <w:sz w:val="21"/>
                      <w:szCs w:val="21"/>
                    </w:rPr>
                  </w:pPr>
                  <w:r>
                    <w:rPr>
                      <w:rFonts w:hint="eastAsia"/>
                      <w:color w:val="auto"/>
                      <w:sz w:val="21"/>
                      <w:szCs w:val="21"/>
                      <w:highlight w:val="none"/>
                    </w:rPr>
                    <w:t>1次/年</w:t>
                  </w:r>
                </w:p>
              </w:tc>
              <w:tc>
                <w:tcPr>
                  <w:tcW w:w="2445" w:type="pct"/>
                  <w:noWrap w:val="0"/>
                  <w:vAlign w:val="center"/>
                </w:tcPr>
                <w:p w14:paraId="3477C7EF">
                  <w:pPr>
                    <w:autoSpaceDE w:val="0"/>
                    <w:autoSpaceDN w:val="0"/>
                    <w:adjustRightInd w:val="0"/>
                    <w:spacing w:line="240" w:lineRule="auto"/>
                    <w:jc w:val="center"/>
                    <w:rPr>
                      <w:color w:val="auto"/>
                      <w:sz w:val="21"/>
                      <w:szCs w:val="21"/>
                    </w:rPr>
                  </w:pPr>
                  <w:r>
                    <w:rPr>
                      <w:rFonts w:ascii="Times New Roman" w:hAnsi="Times New Roman" w:cs="Times New Roman"/>
                      <w:color w:val="auto"/>
                      <w:sz w:val="21"/>
                      <w:szCs w:val="21"/>
                    </w:rPr>
                    <w:t>《工业涂装工序挥发性有机物排放标准》（DB21/3160-2019）中</w:t>
                  </w:r>
                  <w:r>
                    <w:rPr>
                      <w:rFonts w:hint="eastAsia" w:ascii="Times New Roman" w:hAnsi="Times New Roman" w:cs="Times New Roman"/>
                      <w:color w:val="auto"/>
                      <w:sz w:val="21"/>
                      <w:szCs w:val="21"/>
                      <w:lang w:eastAsia="zh-CN"/>
                    </w:rPr>
                    <w:t>表</w:t>
                  </w:r>
                  <w:r>
                    <w:rPr>
                      <w:rFonts w:hint="eastAsia" w:ascii="Times New Roman" w:hAnsi="Times New Roman" w:cs="Times New Roman"/>
                      <w:color w:val="auto"/>
                      <w:sz w:val="21"/>
                      <w:szCs w:val="21"/>
                      <w:lang w:val="en-US" w:eastAsia="zh-CN"/>
                    </w:rPr>
                    <w:t>3</w:t>
                  </w:r>
                </w:p>
              </w:tc>
            </w:tr>
          </w:tbl>
          <w:p w14:paraId="4A2401CD">
            <w:pPr>
              <w:tabs>
                <w:tab w:val="left" w:pos="5277"/>
              </w:tabs>
              <w:autoSpaceDE w:val="0"/>
              <w:autoSpaceDN w:val="0"/>
              <w:ind w:firstLine="482" w:firstLineChars="200"/>
              <w:rPr>
                <w:rFonts w:hint="eastAsia"/>
                <w:b/>
                <w:color w:val="auto"/>
                <w:sz w:val="24"/>
                <w:szCs w:val="24"/>
                <w:lang w:eastAsia="zh-CN"/>
              </w:rPr>
            </w:pPr>
          </w:p>
          <w:p w14:paraId="083B0BCF">
            <w:pPr>
              <w:tabs>
                <w:tab w:val="left" w:pos="5277"/>
              </w:tabs>
              <w:autoSpaceDE w:val="0"/>
              <w:autoSpaceDN w:val="0"/>
              <w:ind w:firstLine="482" w:firstLineChars="200"/>
              <w:rPr>
                <w:rFonts w:hint="eastAsia" w:eastAsia="宋体"/>
                <w:b/>
                <w:color w:val="auto"/>
                <w:sz w:val="24"/>
                <w:szCs w:val="24"/>
                <w:lang w:eastAsia="zh-CN"/>
              </w:rPr>
            </w:pPr>
            <w:r>
              <w:rPr>
                <w:rFonts w:hint="eastAsia"/>
                <w:b/>
                <w:color w:val="auto"/>
                <w:sz w:val="24"/>
                <w:szCs w:val="24"/>
                <w:lang w:eastAsia="zh-CN"/>
              </w:rPr>
              <w:t>（</w:t>
            </w:r>
            <w:r>
              <w:rPr>
                <w:rFonts w:hint="eastAsia"/>
                <w:b/>
                <w:color w:val="auto"/>
                <w:sz w:val="24"/>
                <w:szCs w:val="24"/>
                <w:lang w:val="en-US" w:eastAsia="zh-CN"/>
              </w:rPr>
              <w:t>8</w:t>
            </w:r>
            <w:r>
              <w:rPr>
                <w:rFonts w:hint="eastAsia"/>
                <w:b/>
                <w:color w:val="auto"/>
                <w:sz w:val="24"/>
                <w:szCs w:val="24"/>
                <w:lang w:eastAsia="zh-CN"/>
              </w:rPr>
              <w:t>）非正常工况</w:t>
            </w:r>
          </w:p>
          <w:p w14:paraId="16B6F837">
            <w:pPr>
              <w:adjustRightInd w:val="0"/>
              <w:snapToGrid w:val="0"/>
              <w:ind w:firstLine="480" w:firstLineChars="200"/>
              <w:rPr>
                <w:bCs/>
                <w:color w:val="auto"/>
                <w:sz w:val="24"/>
                <w:szCs w:val="24"/>
              </w:rPr>
            </w:pPr>
            <w:r>
              <w:rPr>
                <w:rFonts w:hint="eastAsia"/>
                <w:bCs/>
                <w:color w:val="auto"/>
                <w:sz w:val="24"/>
                <w:szCs w:val="24"/>
              </w:rPr>
              <w:t>根据本项目生产特点，非正常工况主要为废气处理中设备发生故障，导致废气处理效率不能满足设计处理效率而进行排放，项目非正常工况下，废气处理效率为0时，排放情况如下表所示。</w:t>
            </w:r>
          </w:p>
          <w:p w14:paraId="55014B20">
            <w:pPr>
              <w:pStyle w:val="68"/>
              <w:numPr>
                <w:ilvl w:val="0"/>
                <w:numId w:val="19"/>
              </w:numPr>
              <w:spacing w:line="360" w:lineRule="auto"/>
              <w:ind w:left="0" w:leftChars="0" w:firstLine="0" w:firstLineChars="0"/>
              <w:jc w:val="center"/>
              <w:rPr>
                <w:rFonts w:hint="eastAsia"/>
                <w:b/>
                <w:color w:val="auto"/>
                <w:sz w:val="24"/>
                <w:szCs w:val="24"/>
              </w:rPr>
            </w:pPr>
            <w:r>
              <w:rPr>
                <w:rFonts w:hint="eastAsia" w:ascii="Times New Roman" w:hAnsi="Times New Roman" w:eastAsia="宋体" w:cs="Times New Roman"/>
                <w:color w:val="auto"/>
                <w:highlight w:val="none"/>
                <w:lang w:val="en-US" w:eastAsia="zh-CN"/>
              </w:rPr>
              <w:t xml:space="preserve">  本项目大气污染源非正常排放情况表</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71"/>
              <w:gridCol w:w="901"/>
              <w:gridCol w:w="1381"/>
              <w:gridCol w:w="1310"/>
              <w:gridCol w:w="1074"/>
              <w:gridCol w:w="1063"/>
              <w:gridCol w:w="1464"/>
            </w:tblGrid>
            <w:tr w14:paraId="607CF8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271" w:type="dxa"/>
                  <w:noWrap w:val="0"/>
                  <w:vAlign w:val="center"/>
                </w:tcPr>
                <w:p w14:paraId="2EF3B47B">
                  <w:pPr>
                    <w:spacing w:line="240" w:lineRule="auto"/>
                    <w:jc w:val="center"/>
                    <w:rPr>
                      <w:color w:val="auto"/>
                      <w:sz w:val="21"/>
                      <w:szCs w:val="21"/>
                    </w:rPr>
                  </w:pPr>
                  <w:r>
                    <w:rPr>
                      <w:bCs/>
                      <w:color w:val="auto"/>
                      <w:sz w:val="21"/>
                      <w:szCs w:val="21"/>
                    </w:rPr>
                    <w:t>污染物产生工序</w:t>
                  </w:r>
                </w:p>
              </w:tc>
              <w:tc>
                <w:tcPr>
                  <w:tcW w:w="901" w:type="dxa"/>
                  <w:noWrap w:val="0"/>
                  <w:vAlign w:val="center"/>
                </w:tcPr>
                <w:p w14:paraId="42BD9A8B">
                  <w:pPr>
                    <w:spacing w:line="240" w:lineRule="auto"/>
                    <w:jc w:val="center"/>
                    <w:rPr>
                      <w:color w:val="auto"/>
                      <w:sz w:val="21"/>
                      <w:szCs w:val="21"/>
                    </w:rPr>
                  </w:pPr>
                  <w:r>
                    <w:rPr>
                      <w:color w:val="auto"/>
                      <w:sz w:val="21"/>
                      <w:szCs w:val="21"/>
                    </w:rPr>
                    <w:t>污染因子</w:t>
                  </w:r>
                </w:p>
              </w:tc>
              <w:tc>
                <w:tcPr>
                  <w:tcW w:w="1381" w:type="dxa"/>
                  <w:noWrap w:val="0"/>
                  <w:vAlign w:val="center"/>
                </w:tcPr>
                <w:p w14:paraId="2FBE3311">
                  <w:pPr>
                    <w:spacing w:line="240" w:lineRule="auto"/>
                    <w:jc w:val="center"/>
                    <w:rPr>
                      <w:color w:val="auto"/>
                      <w:sz w:val="21"/>
                      <w:szCs w:val="21"/>
                    </w:rPr>
                  </w:pPr>
                  <w:r>
                    <w:rPr>
                      <w:color w:val="auto"/>
                      <w:sz w:val="21"/>
                      <w:szCs w:val="21"/>
                    </w:rPr>
                    <w:t>非正常排放浓度（mg/m</w:t>
                  </w:r>
                  <w:r>
                    <w:rPr>
                      <w:color w:val="auto"/>
                      <w:sz w:val="21"/>
                      <w:szCs w:val="21"/>
                      <w:vertAlign w:val="superscript"/>
                    </w:rPr>
                    <w:t>3</w:t>
                  </w:r>
                  <w:r>
                    <w:rPr>
                      <w:color w:val="auto"/>
                      <w:sz w:val="21"/>
                      <w:szCs w:val="21"/>
                    </w:rPr>
                    <w:t>）</w:t>
                  </w:r>
                </w:p>
              </w:tc>
              <w:tc>
                <w:tcPr>
                  <w:tcW w:w="1310" w:type="dxa"/>
                  <w:noWrap w:val="0"/>
                  <w:vAlign w:val="center"/>
                </w:tcPr>
                <w:p w14:paraId="36463970">
                  <w:pPr>
                    <w:spacing w:line="240" w:lineRule="auto"/>
                    <w:jc w:val="center"/>
                    <w:rPr>
                      <w:color w:val="auto"/>
                      <w:sz w:val="21"/>
                      <w:szCs w:val="21"/>
                    </w:rPr>
                  </w:pPr>
                  <w:r>
                    <w:rPr>
                      <w:color w:val="auto"/>
                      <w:sz w:val="21"/>
                      <w:szCs w:val="21"/>
                    </w:rPr>
                    <w:t>非正常排放速率（kg/h）</w:t>
                  </w:r>
                </w:p>
              </w:tc>
              <w:tc>
                <w:tcPr>
                  <w:tcW w:w="1074" w:type="dxa"/>
                  <w:noWrap w:val="0"/>
                  <w:vAlign w:val="center"/>
                </w:tcPr>
                <w:p w14:paraId="7C4CFC82">
                  <w:pPr>
                    <w:spacing w:line="240" w:lineRule="auto"/>
                    <w:jc w:val="center"/>
                    <w:rPr>
                      <w:color w:val="auto"/>
                      <w:sz w:val="21"/>
                      <w:szCs w:val="21"/>
                    </w:rPr>
                  </w:pPr>
                  <w:r>
                    <w:rPr>
                      <w:color w:val="auto"/>
                      <w:sz w:val="21"/>
                      <w:szCs w:val="21"/>
                    </w:rPr>
                    <w:t>年发生频次（次）</w:t>
                  </w:r>
                </w:p>
              </w:tc>
              <w:tc>
                <w:tcPr>
                  <w:tcW w:w="1063" w:type="dxa"/>
                  <w:noWrap w:val="0"/>
                  <w:vAlign w:val="center"/>
                </w:tcPr>
                <w:p w14:paraId="62EDC5A9">
                  <w:pPr>
                    <w:spacing w:line="240" w:lineRule="auto"/>
                    <w:jc w:val="center"/>
                    <w:rPr>
                      <w:color w:val="auto"/>
                      <w:sz w:val="21"/>
                      <w:szCs w:val="21"/>
                    </w:rPr>
                  </w:pPr>
                  <w:r>
                    <w:rPr>
                      <w:color w:val="auto"/>
                      <w:sz w:val="21"/>
                      <w:szCs w:val="21"/>
                    </w:rPr>
                    <w:t>单次持续时间（h）</w:t>
                  </w:r>
                </w:p>
              </w:tc>
              <w:tc>
                <w:tcPr>
                  <w:tcW w:w="1464" w:type="dxa"/>
                  <w:noWrap w:val="0"/>
                  <w:vAlign w:val="center"/>
                </w:tcPr>
                <w:p w14:paraId="14039092">
                  <w:pPr>
                    <w:spacing w:line="240" w:lineRule="auto"/>
                    <w:jc w:val="center"/>
                    <w:rPr>
                      <w:color w:val="auto"/>
                      <w:sz w:val="21"/>
                      <w:szCs w:val="21"/>
                    </w:rPr>
                  </w:pPr>
                  <w:r>
                    <w:rPr>
                      <w:color w:val="auto"/>
                      <w:sz w:val="21"/>
                      <w:szCs w:val="21"/>
                    </w:rPr>
                    <w:t>应对措施</w:t>
                  </w:r>
                </w:p>
              </w:tc>
            </w:tr>
            <w:tr w14:paraId="6661E2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271" w:type="dxa"/>
                  <w:noWrap w:val="0"/>
                  <w:vAlign w:val="center"/>
                </w:tcPr>
                <w:p w14:paraId="45C8EB8E">
                  <w:pPr>
                    <w:spacing w:line="240" w:lineRule="auto"/>
                    <w:jc w:val="center"/>
                    <w:rPr>
                      <w:color w:val="auto"/>
                      <w:sz w:val="21"/>
                      <w:szCs w:val="21"/>
                    </w:rPr>
                  </w:pPr>
                  <w:r>
                    <w:rPr>
                      <w:rFonts w:hint="default" w:ascii="Times New Roman" w:hAnsi="Times New Roman" w:eastAsia="宋体" w:cs="Times New Roman"/>
                      <w:color w:val="auto"/>
                      <w:sz w:val="21"/>
                      <w:szCs w:val="21"/>
                    </w:rPr>
                    <w:t>下料、刨光、</w:t>
                  </w:r>
                  <w:r>
                    <w:rPr>
                      <w:rFonts w:hint="eastAsia" w:ascii="Times New Roman" w:hAnsi="Times New Roman" w:eastAsia="宋体" w:cs="Times New Roman"/>
                      <w:color w:val="auto"/>
                      <w:sz w:val="21"/>
                      <w:szCs w:val="21"/>
                      <w:lang w:eastAsia="zh-CN"/>
                    </w:rPr>
                    <w:t>梳齿指接</w:t>
                  </w:r>
                </w:p>
              </w:tc>
              <w:tc>
                <w:tcPr>
                  <w:tcW w:w="901" w:type="dxa"/>
                  <w:noWrap w:val="0"/>
                  <w:vAlign w:val="center"/>
                </w:tcPr>
                <w:p w14:paraId="664FA5AD">
                  <w:pPr>
                    <w:spacing w:line="240" w:lineRule="auto"/>
                    <w:jc w:val="center"/>
                    <w:rPr>
                      <w:color w:val="auto"/>
                      <w:sz w:val="21"/>
                      <w:szCs w:val="21"/>
                    </w:rPr>
                  </w:pPr>
                  <w:r>
                    <w:rPr>
                      <w:rFonts w:hint="default" w:ascii="Times New Roman" w:hAnsi="Times New Roman" w:eastAsia="宋体" w:cs="Times New Roman"/>
                      <w:color w:val="auto"/>
                      <w:sz w:val="21"/>
                      <w:szCs w:val="21"/>
                    </w:rPr>
                    <w:t>颗粒物</w:t>
                  </w:r>
                </w:p>
              </w:tc>
              <w:tc>
                <w:tcPr>
                  <w:tcW w:w="1381" w:type="dxa"/>
                  <w:noWrap w:val="0"/>
                  <w:vAlign w:val="center"/>
                </w:tcPr>
                <w:p w14:paraId="00698FB0">
                  <w:pPr>
                    <w:widowControl/>
                    <w:spacing w:line="240" w:lineRule="auto"/>
                    <w:jc w:val="center"/>
                    <w:textAlignment w:val="center"/>
                    <w:rPr>
                      <w:color w:val="auto"/>
                      <w:sz w:val="21"/>
                      <w:szCs w:val="21"/>
                    </w:rPr>
                  </w:pPr>
                  <w:r>
                    <w:rPr>
                      <w:rFonts w:hint="eastAsia" w:ascii="Times New Roman" w:hAnsi="Times New Roman" w:eastAsia="宋体" w:cs="Times New Roman"/>
                      <w:color w:val="auto"/>
                      <w:kern w:val="0"/>
                      <w:sz w:val="21"/>
                      <w:szCs w:val="21"/>
                      <w:lang w:val="en-US" w:eastAsia="zh-CN" w:bidi="ar"/>
                    </w:rPr>
                    <w:t>80.61</w:t>
                  </w:r>
                </w:p>
              </w:tc>
              <w:tc>
                <w:tcPr>
                  <w:tcW w:w="1310" w:type="dxa"/>
                  <w:noWrap w:val="0"/>
                  <w:vAlign w:val="center"/>
                </w:tcPr>
                <w:p w14:paraId="24B8708E">
                  <w:pPr>
                    <w:widowControl/>
                    <w:spacing w:line="240" w:lineRule="auto"/>
                    <w:jc w:val="center"/>
                    <w:textAlignment w:val="center"/>
                    <w:rPr>
                      <w:color w:val="auto"/>
                      <w:sz w:val="21"/>
                      <w:szCs w:val="21"/>
                    </w:rPr>
                  </w:pPr>
                  <w:r>
                    <w:rPr>
                      <w:rFonts w:hint="eastAsia" w:ascii="Times New Roman" w:hAnsi="Times New Roman" w:eastAsia="宋体" w:cs="Times New Roman"/>
                      <w:color w:val="auto"/>
                      <w:sz w:val="21"/>
                      <w:szCs w:val="21"/>
                      <w:lang w:val="en-US" w:eastAsia="zh-CN"/>
                    </w:rPr>
                    <w:t>1.828</w:t>
                  </w:r>
                </w:p>
              </w:tc>
              <w:tc>
                <w:tcPr>
                  <w:tcW w:w="1074" w:type="dxa"/>
                  <w:noWrap w:val="0"/>
                  <w:vAlign w:val="center"/>
                </w:tcPr>
                <w:p w14:paraId="206B9C3B">
                  <w:pPr>
                    <w:widowControl/>
                    <w:spacing w:line="240" w:lineRule="auto"/>
                    <w:jc w:val="center"/>
                    <w:textAlignment w:val="center"/>
                    <w:rPr>
                      <w:rFonts w:hint="eastAsia" w:eastAsia="宋体"/>
                      <w:color w:val="auto"/>
                      <w:sz w:val="21"/>
                      <w:szCs w:val="21"/>
                      <w:lang w:eastAsia="zh-CN"/>
                    </w:rPr>
                  </w:pPr>
                  <w:r>
                    <w:rPr>
                      <w:rFonts w:hint="eastAsia"/>
                      <w:color w:val="auto"/>
                      <w:sz w:val="21"/>
                      <w:szCs w:val="21"/>
                      <w:lang w:val="en-US" w:eastAsia="zh-CN"/>
                    </w:rPr>
                    <w:t>1</w:t>
                  </w:r>
                </w:p>
              </w:tc>
              <w:tc>
                <w:tcPr>
                  <w:tcW w:w="1063" w:type="dxa"/>
                  <w:noWrap w:val="0"/>
                  <w:vAlign w:val="center"/>
                </w:tcPr>
                <w:p w14:paraId="3491EF33">
                  <w:pPr>
                    <w:spacing w:line="240" w:lineRule="auto"/>
                    <w:jc w:val="center"/>
                    <w:rPr>
                      <w:color w:val="auto"/>
                      <w:sz w:val="21"/>
                      <w:szCs w:val="21"/>
                    </w:rPr>
                  </w:pPr>
                  <w:r>
                    <w:rPr>
                      <w:color w:val="auto"/>
                      <w:sz w:val="21"/>
                      <w:szCs w:val="21"/>
                    </w:rPr>
                    <w:t>1</w:t>
                  </w:r>
                </w:p>
              </w:tc>
              <w:tc>
                <w:tcPr>
                  <w:tcW w:w="1464" w:type="dxa"/>
                  <w:vMerge w:val="restart"/>
                  <w:noWrap w:val="0"/>
                  <w:vAlign w:val="center"/>
                </w:tcPr>
                <w:p w14:paraId="499D4633">
                  <w:pPr>
                    <w:spacing w:line="240" w:lineRule="auto"/>
                    <w:jc w:val="center"/>
                    <w:rPr>
                      <w:rFonts w:hint="eastAsia" w:eastAsia="宋体"/>
                      <w:color w:val="auto"/>
                      <w:sz w:val="21"/>
                      <w:szCs w:val="21"/>
                      <w:lang w:eastAsia="zh-CN"/>
                    </w:rPr>
                  </w:pPr>
                  <w:r>
                    <w:rPr>
                      <w:color w:val="auto"/>
                      <w:sz w:val="21"/>
                      <w:szCs w:val="21"/>
                    </w:rPr>
                    <w:t>定期进行设备维护，当废气处理装置出现故障时停止生产</w:t>
                  </w:r>
                  <w:r>
                    <w:rPr>
                      <w:rFonts w:hint="eastAsia"/>
                      <w:color w:val="auto"/>
                      <w:sz w:val="21"/>
                      <w:szCs w:val="21"/>
                      <w:lang w:eastAsia="zh-CN"/>
                    </w:rPr>
                    <w:t>，及时维修等。</w:t>
                  </w:r>
                </w:p>
              </w:tc>
            </w:tr>
            <w:tr w14:paraId="375F97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271" w:type="dxa"/>
                  <w:noWrap w:val="0"/>
                  <w:vAlign w:val="center"/>
                </w:tcPr>
                <w:p w14:paraId="35E75ECD">
                  <w:pPr>
                    <w:spacing w:line="240" w:lineRule="auto"/>
                    <w:jc w:val="center"/>
                    <w:rPr>
                      <w:color w:val="auto"/>
                      <w:sz w:val="21"/>
                      <w:szCs w:val="21"/>
                    </w:rPr>
                  </w:pPr>
                  <w:r>
                    <w:rPr>
                      <w:rFonts w:hint="eastAsia" w:ascii="Times New Roman" w:hAnsi="Times New Roman" w:eastAsia="宋体" w:cs="Times New Roman"/>
                      <w:color w:val="auto"/>
                      <w:sz w:val="21"/>
                      <w:szCs w:val="21"/>
                      <w:lang w:eastAsia="zh-CN"/>
                    </w:rPr>
                    <w:t>砂光</w:t>
                  </w:r>
                </w:p>
              </w:tc>
              <w:tc>
                <w:tcPr>
                  <w:tcW w:w="901" w:type="dxa"/>
                  <w:noWrap w:val="0"/>
                  <w:vAlign w:val="center"/>
                </w:tcPr>
                <w:p w14:paraId="728BEAA3">
                  <w:pPr>
                    <w:spacing w:line="240" w:lineRule="auto"/>
                    <w:jc w:val="center"/>
                    <w:rPr>
                      <w:rFonts w:hint="eastAsia"/>
                      <w:color w:val="auto"/>
                      <w:sz w:val="21"/>
                      <w:szCs w:val="21"/>
                    </w:rPr>
                  </w:pPr>
                  <w:r>
                    <w:rPr>
                      <w:rFonts w:hint="default" w:ascii="Times New Roman" w:hAnsi="Times New Roman" w:eastAsia="宋体" w:cs="Times New Roman"/>
                      <w:color w:val="auto"/>
                      <w:sz w:val="21"/>
                      <w:szCs w:val="21"/>
                    </w:rPr>
                    <w:t>颗粒物</w:t>
                  </w:r>
                </w:p>
              </w:tc>
              <w:tc>
                <w:tcPr>
                  <w:tcW w:w="1381" w:type="dxa"/>
                  <w:noWrap w:val="0"/>
                  <w:vAlign w:val="center"/>
                </w:tcPr>
                <w:p w14:paraId="0ADC169B">
                  <w:pPr>
                    <w:widowControl/>
                    <w:spacing w:line="240" w:lineRule="auto"/>
                    <w:jc w:val="center"/>
                    <w:textAlignment w:val="center"/>
                    <w:rPr>
                      <w:rFonts w:hint="default"/>
                      <w:color w:val="auto"/>
                      <w:sz w:val="21"/>
                      <w:szCs w:val="21"/>
                      <w:lang w:val="en-US"/>
                    </w:rPr>
                  </w:pPr>
                  <w:r>
                    <w:rPr>
                      <w:rFonts w:hint="eastAsia" w:ascii="Times New Roman" w:hAnsi="Times New Roman" w:eastAsia="宋体" w:cs="Times New Roman"/>
                      <w:color w:val="auto"/>
                      <w:kern w:val="0"/>
                      <w:sz w:val="21"/>
                      <w:szCs w:val="21"/>
                      <w:lang w:val="en-US" w:eastAsia="zh-CN" w:bidi="ar"/>
                    </w:rPr>
                    <w:t>132.45</w:t>
                  </w:r>
                </w:p>
              </w:tc>
              <w:tc>
                <w:tcPr>
                  <w:tcW w:w="1310" w:type="dxa"/>
                  <w:noWrap w:val="0"/>
                  <w:vAlign w:val="center"/>
                </w:tcPr>
                <w:p w14:paraId="606AB85C">
                  <w:pPr>
                    <w:widowControl/>
                    <w:spacing w:line="240" w:lineRule="auto"/>
                    <w:jc w:val="center"/>
                    <w:textAlignment w:val="center"/>
                    <w:rPr>
                      <w:color w:val="auto"/>
                      <w:sz w:val="21"/>
                      <w:szCs w:val="21"/>
                    </w:rPr>
                  </w:pPr>
                  <w:r>
                    <w:rPr>
                      <w:rFonts w:hint="eastAsia" w:ascii="Times New Roman" w:hAnsi="Times New Roman" w:eastAsia="宋体" w:cs="Times New Roman"/>
                      <w:color w:val="auto"/>
                      <w:kern w:val="0"/>
                      <w:sz w:val="21"/>
                      <w:szCs w:val="21"/>
                      <w:lang w:val="en-US" w:eastAsia="zh-CN" w:bidi="ar"/>
                    </w:rPr>
                    <w:t>1.535</w:t>
                  </w:r>
                </w:p>
              </w:tc>
              <w:tc>
                <w:tcPr>
                  <w:tcW w:w="1074" w:type="dxa"/>
                  <w:noWrap w:val="0"/>
                  <w:vAlign w:val="center"/>
                </w:tcPr>
                <w:p w14:paraId="6B3EBF41">
                  <w:pPr>
                    <w:widowControl/>
                    <w:spacing w:line="240" w:lineRule="auto"/>
                    <w:jc w:val="center"/>
                    <w:textAlignment w:val="center"/>
                    <w:rPr>
                      <w:rFonts w:hint="eastAsia"/>
                      <w:color w:val="auto"/>
                      <w:sz w:val="21"/>
                      <w:szCs w:val="21"/>
                    </w:rPr>
                  </w:pPr>
                  <w:r>
                    <w:rPr>
                      <w:rFonts w:hint="eastAsia"/>
                      <w:color w:val="auto"/>
                      <w:sz w:val="21"/>
                      <w:szCs w:val="21"/>
                      <w:lang w:val="en-US" w:eastAsia="zh-CN"/>
                    </w:rPr>
                    <w:t>1</w:t>
                  </w:r>
                </w:p>
              </w:tc>
              <w:tc>
                <w:tcPr>
                  <w:tcW w:w="1063" w:type="dxa"/>
                  <w:noWrap w:val="0"/>
                  <w:vAlign w:val="center"/>
                </w:tcPr>
                <w:p w14:paraId="7EA327D5">
                  <w:pPr>
                    <w:spacing w:line="240" w:lineRule="auto"/>
                    <w:jc w:val="center"/>
                    <w:rPr>
                      <w:color w:val="auto"/>
                      <w:sz w:val="21"/>
                      <w:szCs w:val="21"/>
                    </w:rPr>
                  </w:pPr>
                  <w:r>
                    <w:rPr>
                      <w:color w:val="auto"/>
                      <w:sz w:val="21"/>
                      <w:szCs w:val="21"/>
                    </w:rPr>
                    <w:t>1</w:t>
                  </w:r>
                </w:p>
              </w:tc>
              <w:tc>
                <w:tcPr>
                  <w:tcW w:w="1464" w:type="dxa"/>
                  <w:vMerge w:val="continue"/>
                  <w:noWrap w:val="0"/>
                  <w:vAlign w:val="center"/>
                </w:tcPr>
                <w:p w14:paraId="214ABB9B">
                  <w:pPr>
                    <w:spacing w:line="240" w:lineRule="auto"/>
                    <w:jc w:val="center"/>
                    <w:rPr>
                      <w:color w:val="auto"/>
                      <w:sz w:val="21"/>
                      <w:szCs w:val="21"/>
                    </w:rPr>
                  </w:pPr>
                </w:p>
              </w:tc>
            </w:tr>
            <w:tr w14:paraId="656FE4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271" w:type="dxa"/>
                  <w:noWrap w:val="0"/>
                  <w:vAlign w:val="center"/>
                </w:tcPr>
                <w:p w14:paraId="403CB406">
                  <w:pPr>
                    <w:spacing w:line="240" w:lineRule="auto"/>
                    <w:jc w:val="center"/>
                    <w:rPr>
                      <w:rFonts w:hint="eastAsia" w:eastAsia="宋体"/>
                      <w:color w:val="auto"/>
                      <w:sz w:val="21"/>
                      <w:szCs w:val="21"/>
                      <w:lang w:eastAsia="zh-CN"/>
                    </w:rPr>
                  </w:pPr>
                  <w:r>
                    <w:rPr>
                      <w:rFonts w:hint="eastAsia" w:ascii="Times New Roman" w:hAnsi="Times New Roman" w:eastAsia="宋体" w:cs="Times New Roman"/>
                      <w:color w:val="auto"/>
                      <w:sz w:val="21"/>
                      <w:szCs w:val="21"/>
                      <w:lang w:val="en-US" w:eastAsia="zh-CN"/>
                    </w:rPr>
                    <w:t>轻</w:t>
                  </w:r>
                  <w:r>
                    <w:rPr>
                      <w:rFonts w:hint="default" w:ascii="Times New Roman" w:hAnsi="Times New Roman" w:eastAsia="宋体" w:cs="Times New Roman"/>
                      <w:color w:val="auto"/>
                      <w:sz w:val="21"/>
                      <w:szCs w:val="21"/>
                      <w:lang w:val="en-US" w:eastAsia="zh-CN"/>
                    </w:rPr>
                    <w:t>砂光</w:t>
                  </w:r>
                  <w:r>
                    <w:rPr>
                      <w:rFonts w:hint="eastAsia" w:ascii="Times New Roman" w:hAnsi="Times New Roman" w:eastAsia="宋体" w:cs="Times New Roman"/>
                      <w:color w:val="auto"/>
                      <w:sz w:val="21"/>
                      <w:szCs w:val="21"/>
                      <w:lang w:val="en-US" w:eastAsia="zh-CN"/>
                    </w:rPr>
                    <w:t>、油砂砂光</w:t>
                  </w:r>
                </w:p>
              </w:tc>
              <w:tc>
                <w:tcPr>
                  <w:tcW w:w="901" w:type="dxa"/>
                  <w:noWrap w:val="0"/>
                  <w:vAlign w:val="center"/>
                </w:tcPr>
                <w:p w14:paraId="11AF9D61">
                  <w:pPr>
                    <w:spacing w:line="240" w:lineRule="auto"/>
                    <w:jc w:val="center"/>
                    <w:rPr>
                      <w:rFonts w:hint="eastAsia"/>
                      <w:color w:val="auto"/>
                      <w:sz w:val="21"/>
                      <w:szCs w:val="21"/>
                    </w:rPr>
                  </w:pPr>
                  <w:r>
                    <w:rPr>
                      <w:rFonts w:hint="default" w:ascii="Times New Roman" w:hAnsi="Times New Roman" w:eastAsia="宋体" w:cs="Times New Roman"/>
                      <w:color w:val="auto"/>
                      <w:sz w:val="21"/>
                      <w:szCs w:val="21"/>
                    </w:rPr>
                    <w:t>颗粒物</w:t>
                  </w:r>
                </w:p>
              </w:tc>
              <w:tc>
                <w:tcPr>
                  <w:tcW w:w="1381" w:type="dxa"/>
                  <w:noWrap w:val="0"/>
                  <w:vAlign w:val="center"/>
                </w:tcPr>
                <w:p w14:paraId="3801BDB6">
                  <w:pPr>
                    <w:widowControl/>
                    <w:spacing w:line="240" w:lineRule="auto"/>
                    <w:jc w:val="center"/>
                    <w:textAlignment w:val="center"/>
                    <w:rPr>
                      <w:rFonts w:hint="eastAsia"/>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529.80</w:t>
                  </w:r>
                </w:p>
              </w:tc>
              <w:tc>
                <w:tcPr>
                  <w:tcW w:w="1310" w:type="dxa"/>
                  <w:noWrap w:val="0"/>
                  <w:vAlign w:val="center"/>
                </w:tcPr>
                <w:p w14:paraId="62242E79">
                  <w:pPr>
                    <w:widowControl/>
                    <w:spacing w:line="240" w:lineRule="auto"/>
                    <w:jc w:val="center"/>
                    <w:textAlignment w:val="center"/>
                    <w:rPr>
                      <w:rFonts w:hint="eastAsia"/>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6.141</w:t>
                  </w:r>
                </w:p>
              </w:tc>
              <w:tc>
                <w:tcPr>
                  <w:tcW w:w="1074" w:type="dxa"/>
                  <w:noWrap w:val="0"/>
                  <w:vAlign w:val="center"/>
                </w:tcPr>
                <w:p w14:paraId="34047FD8">
                  <w:pPr>
                    <w:widowControl/>
                    <w:spacing w:line="240" w:lineRule="auto"/>
                    <w:jc w:val="center"/>
                    <w:textAlignment w:val="center"/>
                    <w:rPr>
                      <w:rFonts w:hint="eastAsia"/>
                      <w:color w:val="auto"/>
                      <w:sz w:val="21"/>
                      <w:szCs w:val="21"/>
                    </w:rPr>
                  </w:pPr>
                  <w:r>
                    <w:rPr>
                      <w:rFonts w:hint="eastAsia"/>
                      <w:color w:val="auto"/>
                      <w:sz w:val="21"/>
                      <w:szCs w:val="21"/>
                      <w:lang w:val="en-US" w:eastAsia="zh-CN"/>
                    </w:rPr>
                    <w:t>1</w:t>
                  </w:r>
                </w:p>
              </w:tc>
              <w:tc>
                <w:tcPr>
                  <w:tcW w:w="1063" w:type="dxa"/>
                  <w:noWrap w:val="0"/>
                  <w:vAlign w:val="center"/>
                </w:tcPr>
                <w:p w14:paraId="6EC16978">
                  <w:pPr>
                    <w:spacing w:line="240" w:lineRule="auto"/>
                    <w:jc w:val="center"/>
                    <w:rPr>
                      <w:color w:val="auto"/>
                      <w:sz w:val="21"/>
                      <w:szCs w:val="21"/>
                    </w:rPr>
                  </w:pPr>
                  <w:r>
                    <w:rPr>
                      <w:color w:val="auto"/>
                      <w:sz w:val="21"/>
                      <w:szCs w:val="21"/>
                    </w:rPr>
                    <w:t>1</w:t>
                  </w:r>
                </w:p>
              </w:tc>
              <w:tc>
                <w:tcPr>
                  <w:tcW w:w="1464" w:type="dxa"/>
                  <w:vMerge w:val="continue"/>
                  <w:noWrap w:val="0"/>
                  <w:vAlign w:val="center"/>
                </w:tcPr>
                <w:p w14:paraId="25D39BE0">
                  <w:pPr>
                    <w:spacing w:line="240" w:lineRule="auto"/>
                    <w:jc w:val="center"/>
                    <w:rPr>
                      <w:color w:val="auto"/>
                      <w:sz w:val="21"/>
                      <w:szCs w:val="21"/>
                    </w:rPr>
                  </w:pPr>
                </w:p>
              </w:tc>
            </w:tr>
            <w:tr w14:paraId="75E829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271" w:type="dxa"/>
                  <w:noWrap w:val="0"/>
                  <w:vAlign w:val="center"/>
                </w:tcPr>
                <w:p w14:paraId="2022B434">
                  <w:pPr>
                    <w:spacing w:line="240" w:lineRule="auto"/>
                    <w:jc w:val="center"/>
                    <w:rPr>
                      <w:rFonts w:hint="eastAsia"/>
                      <w:color w:val="auto"/>
                      <w:sz w:val="21"/>
                      <w:szCs w:val="21"/>
                      <w:lang w:eastAsia="zh-CN"/>
                    </w:rPr>
                  </w:pPr>
                  <w:r>
                    <w:rPr>
                      <w:rFonts w:hint="eastAsia" w:ascii="Times New Roman" w:hAnsi="Times New Roman" w:eastAsia="宋体" w:cs="Times New Roman"/>
                      <w:color w:val="auto"/>
                      <w:sz w:val="21"/>
                      <w:szCs w:val="21"/>
                      <w:lang w:val="en-US" w:eastAsia="zh-CN"/>
                    </w:rPr>
                    <w:t>开槽</w:t>
                  </w:r>
                </w:p>
              </w:tc>
              <w:tc>
                <w:tcPr>
                  <w:tcW w:w="901" w:type="dxa"/>
                  <w:noWrap w:val="0"/>
                  <w:vAlign w:val="center"/>
                </w:tcPr>
                <w:p w14:paraId="5C129FDD">
                  <w:pPr>
                    <w:spacing w:line="240" w:lineRule="auto"/>
                    <w:jc w:val="center"/>
                    <w:rPr>
                      <w:color w:val="auto"/>
                      <w:sz w:val="21"/>
                      <w:szCs w:val="21"/>
                    </w:rPr>
                  </w:pPr>
                  <w:r>
                    <w:rPr>
                      <w:rFonts w:hint="default" w:ascii="Times New Roman" w:hAnsi="Times New Roman" w:eastAsia="宋体" w:cs="Times New Roman"/>
                      <w:color w:val="auto"/>
                      <w:sz w:val="21"/>
                      <w:szCs w:val="21"/>
                    </w:rPr>
                    <w:t>颗粒物</w:t>
                  </w:r>
                </w:p>
              </w:tc>
              <w:tc>
                <w:tcPr>
                  <w:tcW w:w="1381" w:type="dxa"/>
                  <w:noWrap w:val="0"/>
                  <w:vAlign w:val="center"/>
                </w:tcPr>
                <w:p w14:paraId="556D28E7">
                  <w:pPr>
                    <w:widowControl/>
                    <w:spacing w:line="240" w:lineRule="auto"/>
                    <w:jc w:val="center"/>
                    <w:textAlignment w:val="center"/>
                    <w:rPr>
                      <w:rFonts w:hint="eastAsia"/>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2.00</w:t>
                  </w:r>
                </w:p>
              </w:tc>
              <w:tc>
                <w:tcPr>
                  <w:tcW w:w="1310" w:type="dxa"/>
                  <w:noWrap w:val="0"/>
                  <w:vAlign w:val="center"/>
                </w:tcPr>
                <w:p w14:paraId="5C185FA9">
                  <w:pPr>
                    <w:widowControl/>
                    <w:spacing w:line="240" w:lineRule="auto"/>
                    <w:jc w:val="center"/>
                    <w:textAlignment w:val="center"/>
                    <w:rPr>
                      <w:rFonts w:hint="eastAsia"/>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0.045</w:t>
                  </w:r>
                </w:p>
              </w:tc>
              <w:tc>
                <w:tcPr>
                  <w:tcW w:w="1074" w:type="dxa"/>
                  <w:noWrap w:val="0"/>
                  <w:vAlign w:val="center"/>
                </w:tcPr>
                <w:p w14:paraId="5CA6CEF4">
                  <w:pPr>
                    <w:widowControl/>
                    <w:spacing w:line="240" w:lineRule="auto"/>
                    <w:jc w:val="center"/>
                    <w:textAlignment w:val="center"/>
                    <w:rPr>
                      <w:rFonts w:hint="eastAsia"/>
                      <w:color w:val="auto"/>
                      <w:sz w:val="21"/>
                      <w:szCs w:val="21"/>
                    </w:rPr>
                  </w:pPr>
                  <w:r>
                    <w:rPr>
                      <w:rFonts w:hint="eastAsia"/>
                      <w:color w:val="auto"/>
                      <w:sz w:val="21"/>
                      <w:szCs w:val="21"/>
                      <w:lang w:val="en-US" w:eastAsia="zh-CN"/>
                    </w:rPr>
                    <w:t>1</w:t>
                  </w:r>
                </w:p>
              </w:tc>
              <w:tc>
                <w:tcPr>
                  <w:tcW w:w="1063" w:type="dxa"/>
                  <w:noWrap w:val="0"/>
                  <w:vAlign w:val="center"/>
                </w:tcPr>
                <w:p w14:paraId="6C5D21A5">
                  <w:pPr>
                    <w:spacing w:line="240" w:lineRule="auto"/>
                    <w:jc w:val="center"/>
                    <w:rPr>
                      <w:color w:val="auto"/>
                      <w:sz w:val="21"/>
                      <w:szCs w:val="21"/>
                    </w:rPr>
                  </w:pPr>
                  <w:r>
                    <w:rPr>
                      <w:color w:val="auto"/>
                      <w:sz w:val="21"/>
                      <w:szCs w:val="21"/>
                    </w:rPr>
                    <w:t>1</w:t>
                  </w:r>
                </w:p>
              </w:tc>
              <w:tc>
                <w:tcPr>
                  <w:tcW w:w="1464" w:type="dxa"/>
                  <w:vMerge w:val="continue"/>
                  <w:noWrap w:val="0"/>
                  <w:vAlign w:val="center"/>
                </w:tcPr>
                <w:p w14:paraId="5C465378">
                  <w:pPr>
                    <w:spacing w:line="240" w:lineRule="auto"/>
                    <w:jc w:val="center"/>
                    <w:rPr>
                      <w:color w:val="auto"/>
                      <w:sz w:val="21"/>
                      <w:szCs w:val="21"/>
                    </w:rPr>
                  </w:pPr>
                </w:p>
              </w:tc>
            </w:tr>
            <w:tr w14:paraId="1AE3AC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271" w:type="dxa"/>
                  <w:noWrap w:val="0"/>
                  <w:vAlign w:val="center"/>
                </w:tcPr>
                <w:p w14:paraId="61334690">
                  <w:pPr>
                    <w:spacing w:line="240" w:lineRule="auto"/>
                    <w:jc w:val="center"/>
                    <w:rPr>
                      <w:rFonts w:hint="eastAsia"/>
                      <w:color w:val="auto"/>
                      <w:sz w:val="21"/>
                      <w:szCs w:val="21"/>
                      <w:lang w:eastAsia="zh-CN"/>
                    </w:rPr>
                  </w:pPr>
                  <w:r>
                    <w:rPr>
                      <w:rFonts w:hint="eastAsia" w:ascii="Times New Roman" w:hAnsi="Times New Roman" w:eastAsia="宋体" w:cs="Times New Roman"/>
                      <w:color w:val="auto"/>
                      <w:sz w:val="21"/>
                      <w:szCs w:val="21"/>
                      <w:lang w:eastAsia="zh-CN"/>
                    </w:rPr>
                    <w:t>辊涂、</w:t>
                  </w:r>
                  <w:r>
                    <w:rPr>
                      <w:rFonts w:hint="eastAsia" w:ascii="Times New Roman" w:hAnsi="Times New Roman" w:eastAsia="宋体" w:cs="Times New Roman"/>
                      <w:color w:val="auto"/>
                      <w:sz w:val="21"/>
                      <w:szCs w:val="21"/>
                      <w:highlight w:val="none"/>
                      <w:lang w:val="en-US" w:eastAsia="zh-CN"/>
                    </w:rPr>
                    <w:t>紫外光固化</w:t>
                  </w:r>
                </w:p>
              </w:tc>
              <w:tc>
                <w:tcPr>
                  <w:tcW w:w="901" w:type="dxa"/>
                  <w:noWrap w:val="0"/>
                  <w:vAlign w:val="center"/>
                </w:tcPr>
                <w:p w14:paraId="3229AE52">
                  <w:pPr>
                    <w:spacing w:line="240" w:lineRule="auto"/>
                    <w:jc w:val="center"/>
                    <w:rPr>
                      <w:color w:val="auto"/>
                      <w:sz w:val="21"/>
                      <w:szCs w:val="21"/>
                    </w:rPr>
                  </w:pPr>
                  <w:r>
                    <w:rPr>
                      <w:rFonts w:hint="eastAsia" w:ascii="Times New Roman" w:hAnsi="Times New Roman" w:eastAsia="宋体" w:cs="Times New Roman"/>
                      <w:color w:val="auto"/>
                      <w:sz w:val="21"/>
                      <w:szCs w:val="21"/>
                      <w:lang w:eastAsia="zh-CN"/>
                    </w:rPr>
                    <w:t>挥发性有机物</w:t>
                  </w:r>
                </w:p>
              </w:tc>
              <w:tc>
                <w:tcPr>
                  <w:tcW w:w="1381" w:type="dxa"/>
                  <w:noWrap w:val="0"/>
                  <w:vAlign w:val="center"/>
                </w:tcPr>
                <w:p w14:paraId="641EBFE5">
                  <w:pPr>
                    <w:widowControl/>
                    <w:spacing w:line="240" w:lineRule="auto"/>
                    <w:jc w:val="center"/>
                    <w:textAlignment w:val="center"/>
                    <w:rPr>
                      <w:rFonts w:hint="eastAsia"/>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16.73</w:t>
                  </w:r>
                </w:p>
              </w:tc>
              <w:tc>
                <w:tcPr>
                  <w:tcW w:w="1310" w:type="dxa"/>
                  <w:noWrap w:val="0"/>
                  <w:vAlign w:val="center"/>
                </w:tcPr>
                <w:p w14:paraId="60C1F74C">
                  <w:pPr>
                    <w:widowControl/>
                    <w:spacing w:line="240" w:lineRule="auto"/>
                    <w:jc w:val="center"/>
                    <w:textAlignment w:val="center"/>
                    <w:rPr>
                      <w:rFonts w:hint="eastAsia"/>
                      <w:color w:val="auto"/>
                      <w:kern w:val="0"/>
                      <w:sz w:val="21"/>
                      <w:szCs w:val="21"/>
                      <w:lang w:val="en-US" w:eastAsia="zh-CN" w:bidi="ar"/>
                    </w:rPr>
                  </w:pPr>
                  <w:r>
                    <w:rPr>
                      <w:rFonts w:hint="eastAsia" w:ascii="Times New Roman" w:hAnsi="Times New Roman" w:eastAsia="宋体" w:cs="Times New Roman"/>
                      <w:color w:val="auto"/>
                      <w:sz w:val="21"/>
                      <w:szCs w:val="21"/>
                      <w:lang w:val="en-US" w:eastAsia="zh-CN"/>
                    </w:rPr>
                    <w:t>0.218</w:t>
                  </w:r>
                </w:p>
              </w:tc>
              <w:tc>
                <w:tcPr>
                  <w:tcW w:w="1074" w:type="dxa"/>
                  <w:noWrap w:val="0"/>
                  <w:vAlign w:val="center"/>
                </w:tcPr>
                <w:p w14:paraId="3CA9D1B4">
                  <w:pPr>
                    <w:widowControl/>
                    <w:spacing w:line="240" w:lineRule="auto"/>
                    <w:jc w:val="center"/>
                    <w:textAlignment w:val="center"/>
                    <w:rPr>
                      <w:rFonts w:hint="eastAsia"/>
                      <w:color w:val="auto"/>
                      <w:sz w:val="21"/>
                      <w:szCs w:val="21"/>
                    </w:rPr>
                  </w:pPr>
                  <w:r>
                    <w:rPr>
                      <w:rFonts w:hint="eastAsia"/>
                      <w:color w:val="auto"/>
                      <w:sz w:val="21"/>
                      <w:szCs w:val="21"/>
                      <w:lang w:val="en-US" w:eastAsia="zh-CN"/>
                    </w:rPr>
                    <w:t>1</w:t>
                  </w:r>
                </w:p>
              </w:tc>
              <w:tc>
                <w:tcPr>
                  <w:tcW w:w="1063" w:type="dxa"/>
                  <w:noWrap w:val="0"/>
                  <w:vAlign w:val="center"/>
                </w:tcPr>
                <w:p w14:paraId="5B6A2D75">
                  <w:pPr>
                    <w:spacing w:line="240" w:lineRule="auto"/>
                    <w:jc w:val="center"/>
                    <w:rPr>
                      <w:color w:val="auto"/>
                      <w:sz w:val="21"/>
                      <w:szCs w:val="21"/>
                    </w:rPr>
                  </w:pPr>
                  <w:r>
                    <w:rPr>
                      <w:color w:val="auto"/>
                      <w:sz w:val="21"/>
                      <w:szCs w:val="21"/>
                    </w:rPr>
                    <w:t>1</w:t>
                  </w:r>
                </w:p>
              </w:tc>
              <w:tc>
                <w:tcPr>
                  <w:tcW w:w="1464" w:type="dxa"/>
                  <w:vMerge w:val="continue"/>
                  <w:noWrap w:val="0"/>
                  <w:vAlign w:val="center"/>
                </w:tcPr>
                <w:p w14:paraId="72881943">
                  <w:pPr>
                    <w:spacing w:line="240" w:lineRule="auto"/>
                    <w:jc w:val="center"/>
                    <w:rPr>
                      <w:color w:val="auto"/>
                      <w:sz w:val="21"/>
                      <w:szCs w:val="21"/>
                    </w:rPr>
                  </w:pPr>
                </w:p>
              </w:tc>
            </w:tr>
          </w:tbl>
          <w:p w14:paraId="7C5FD891">
            <w:pPr>
              <w:ind w:firstLine="480" w:firstLineChars="200"/>
              <w:rPr>
                <w:rFonts w:hint="eastAsia" w:ascii="Times New Roman" w:hAnsi="Times New Roman" w:eastAsia="宋体" w:cs="Times New Roman"/>
                <w:color w:val="auto"/>
                <w:sz w:val="24"/>
                <w:szCs w:val="24"/>
              </w:rPr>
            </w:pPr>
          </w:p>
          <w:p w14:paraId="770ABDB2">
            <w:pPr>
              <w:pStyle w:val="75"/>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ascii="Times New Roman" w:hAnsi="Times New Roman" w:cs="Times New Roman"/>
                <w:color w:val="auto"/>
              </w:rPr>
            </w:pPr>
            <w:r>
              <w:rPr>
                <w:rFonts w:ascii="Times New Roman" w:hAnsi="Times New Roman" w:cs="Times New Roman"/>
                <w:color w:val="auto"/>
              </w:rPr>
              <w:t>为防止生产废气非正常工况排放，企业必须加强废气处理设施的管理，定期检修，确保废气处理设施正常运行，在废气处理设备停止运行或出现故障时，产生废气的各工序也必须相应停止生产。</w:t>
            </w:r>
          </w:p>
          <w:p w14:paraId="287C422E">
            <w:pPr>
              <w:pStyle w:val="75"/>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ascii="Times New Roman" w:hAnsi="Times New Roman" w:cs="Times New Roman"/>
                <w:color w:val="auto"/>
              </w:rPr>
            </w:pPr>
            <w:r>
              <w:rPr>
                <w:rFonts w:ascii="Times New Roman" w:hAnsi="Times New Roman" w:cs="Times New Roman"/>
                <w:color w:val="auto"/>
              </w:rPr>
              <w:t>①</w:t>
            </w:r>
            <w:r>
              <w:rPr>
                <w:rFonts w:ascii="Times New Roman" w:hAnsi="Times New Roman" w:cs="Times New Roman"/>
                <w:color w:val="auto"/>
              </w:rPr>
              <w:t>定期更换</w:t>
            </w:r>
            <w:r>
              <w:rPr>
                <w:rFonts w:hint="eastAsia" w:ascii="Times New Roman" w:hAnsi="Times New Roman" w:cs="Times New Roman"/>
                <w:color w:val="auto"/>
                <w:lang w:eastAsia="zh-CN"/>
              </w:rPr>
              <w:t>布袋及</w:t>
            </w:r>
            <w:r>
              <w:rPr>
                <w:rFonts w:ascii="Times New Roman" w:hAnsi="Times New Roman" w:cs="Times New Roman"/>
                <w:color w:val="auto"/>
              </w:rPr>
              <w:t>活性炭，保证</w:t>
            </w:r>
            <w:r>
              <w:rPr>
                <w:rFonts w:hint="eastAsia" w:ascii="Times New Roman" w:hAnsi="Times New Roman" w:cs="Times New Roman"/>
                <w:color w:val="auto"/>
                <w:lang w:eastAsia="zh-CN"/>
              </w:rPr>
              <w:t>颗粒物及</w:t>
            </w:r>
            <w:r>
              <w:rPr>
                <w:rFonts w:ascii="Times New Roman" w:hAnsi="Times New Roman" w:cs="Times New Roman"/>
                <w:color w:val="auto"/>
              </w:rPr>
              <w:t>挥发性有机废气处理效率</w:t>
            </w:r>
            <w:r>
              <w:rPr>
                <w:rFonts w:ascii="Times New Roman" w:hAnsi="Times New Roman" w:cs="Times New Roman"/>
                <w:color w:val="auto"/>
              </w:rPr>
              <w:t>；</w:t>
            </w:r>
          </w:p>
          <w:p w14:paraId="37B74179">
            <w:pPr>
              <w:pStyle w:val="75"/>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ascii="Times New Roman" w:hAnsi="Times New Roman" w:cs="Times New Roman"/>
                <w:color w:val="auto"/>
              </w:rPr>
            </w:pPr>
            <w:r>
              <w:rPr>
                <w:rFonts w:ascii="Times New Roman" w:hAnsi="Times New Roman" w:cs="Times New Roman"/>
                <w:color w:val="auto"/>
              </w:rPr>
              <w:t>②</w:t>
            </w:r>
            <w:r>
              <w:rPr>
                <w:rFonts w:ascii="Times New Roman" w:hAnsi="Times New Roman" w:cs="Times New Roman"/>
                <w:color w:val="auto"/>
              </w:rPr>
              <w:t>应定期维护、检修废气净化装置，以保持废气处理装置的净化能力和净化容量</w:t>
            </w:r>
            <w:r>
              <w:rPr>
                <w:rFonts w:ascii="Times New Roman" w:hAnsi="Times New Roman" w:cs="Times New Roman"/>
                <w:color w:val="auto"/>
              </w:rPr>
              <w:t>；</w:t>
            </w:r>
          </w:p>
          <w:p w14:paraId="72EE2254">
            <w:pPr>
              <w:pStyle w:val="75"/>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ascii="Times New Roman" w:hAnsi="Times New Roman" w:cs="Times New Roman"/>
                <w:color w:val="auto"/>
              </w:rPr>
            </w:pPr>
            <w:r>
              <w:rPr>
                <w:rFonts w:ascii="Times New Roman" w:hAnsi="Times New Roman" w:cs="Times New Roman"/>
                <w:color w:val="auto"/>
              </w:rPr>
              <w:t>③</w:t>
            </w:r>
            <w:r>
              <w:rPr>
                <w:rFonts w:ascii="Times New Roman" w:hAnsi="Times New Roman" w:cs="Times New Roman"/>
                <w:color w:val="auto"/>
              </w:rPr>
              <w:t>生产加工前，净化设备先开启，关闭生产设备一段时间后再关闭净化设备，不存在废气突然排放的情况</w:t>
            </w:r>
            <w:r>
              <w:rPr>
                <w:rFonts w:ascii="Times New Roman" w:hAnsi="Times New Roman" w:cs="Times New Roman"/>
                <w:color w:val="auto"/>
              </w:rPr>
              <w:t>；</w:t>
            </w:r>
          </w:p>
          <w:p w14:paraId="0A297EA9">
            <w:pPr>
              <w:pStyle w:val="75"/>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color w:val="auto"/>
                <w:lang w:eastAsia="zh-CN"/>
              </w:rPr>
            </w:pPr>
            <w:r>
              <w:rPr>
                <w:rFonts w:ascii="Times New Roman" w:hAnsi="Times New Roman" w:cs="Times New Roman"/>
                <w:color w:val="auto"/>
              </w:rPr>
              <w:t>④</w:t>
            </w:r>
            <w:r>
              <w:rPr>
                <w:rFonts w:ascii="Times New Roman" w:hAnsi="Times New Roman" w:cs="Times New Roman"/>
                <w:color w:val="auto"/>
              </w:rPr>
              <w:t>安排专人负责环保设备的日常维护和管理，</w:t>
            </w:r>
            <w:r>
              <w:rPr>
                <w:rFonts w:hint="eastAsia" w:ascii="Times New Roman" w:hAnsi="Times New Roman" w:cs="Times New Roman"/>
                <w:color w:val="auto"/>
                <w:lang w:eastAsia="zh-CN"/>
              </w:rPr>
              <w:t>定期</w:t>
            </w:r>
            <w:r>
              <w:rPr>
                <w:rFonts w:ascii="Times New Roman" w:hAnsi="Times New Roman" w:cs="Times New Roman"/>
                <w:color w:val="auto"/>
              </w:rPr>
              <w:t>检查、汇报情况，及时发现废气处理设备的隐患，确保废气处理系统正常运行</w:t>
            </w:r>
            <w:r>
              <w:rPr>
                <w:rFonts w:hint="eastAsia" w:ascii="Times New Roman" w:hAnsi="Times New Roman" w:cs="Times New Roman"/>
                <w:color w:val="auto"/>
                <w:lang w:eastAsia="zh-CN"/>
              </w:rPr>
              <w:t>；</w:t>
            </w:r>
          </w:p>
          <w:p w14:paraId="4B197CD1">
            <w:pPr>
              <w:pStyle w:val="75"/>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color w:val="auto"/>
                <w:lang w:eastAsia="zh-CN"/>
              </w:rPr>
            </w:pPr>
            <w:r>
              <w:rPr>
                <w:rFonts w:ascii="Times New Roman" w:hAnsi="Times New Roman" w:cs="Times New Roman"/>
                <w:color w:val="auto"/>
              </w:rPr>
              <w:t>⑤</w:t>
            </w:r>
            <w:r>
              <w:rPr>
                <w:rFonts w:ascii="Times New Roman" w:hAnsi="Times New Roman" w:cs="Times New Roman"/>
                <w:color w:val="auto"/>
              </w:rPr>
              <w:t>建立健全的环保管理机构，对环保管理人员和技术人员进行岗位培训，委托具有专业资质的环境检测单位对项目排放的各类污染物进行定期检测</w:t>
            </w:r>
            <w:r>
              <w:rPr>
                <w:rFonts w:hint="eastAsia" w:ascii="Times New Roman" w:hAnsi="Times New Roman" w:cs="Times New Roman"/>
                <w:color w:val="auto"/>
                <w:lang w:eastAsia="zh-CN"/>
              </w:rPr>
              <w:t>；</w:t>
            </w:r>
          </w:p>
          <w:p w14:paraId="180C4440">
            <w:pPr>
              <w:pStyle w:val="75"/>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ascii="Times New Roman" w:hAnsi="Times New Roman" w:cs="Times New Roman"/>
                <w:color w:val="auto"/>
              </w:rPr>
            </w:pPr>
            <w:r>
              <w:rPr>
                <w:rFonts w:ascii="Times New Roman" w:hAnsi="Times New Roman" w:cs="Times New Roman"/>
                <w:color w:val="auto"/>
              </w:rPr>
              <w:t>⑥企业必须加强废气处理设施的管理，定期检修，确保废气处理设施正常运行，在废气处理设备停止运行或出现故障时，产生废气的各工序也必须相应停止生产。</w:t>
            </w:r>
          </w:p>
          <w:p w14:paraId="07F3653A">
            <w:pPr>
              <w:pStyle w:val="75"/>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color w:val="auto"/>
                <w:sz w:val="24"/>
                <w:szCs w:val="24"/>
              </w:rPr>
            </w:pPr>
            <w:r>
              <w:rPr>
                <w:rFonts w:ascii="Times New Roman" w:hAnsi="Times New Roman" w:cs="Times New Roman"/>
                <w:color w:val="auto"/>
              </w:rPr>
              <w:t>综上所述，本项目</w:t>
            </w:r>
            <w:r>
              <w:rPr>
                <w:rFonts w:hint="eastAsia" w:ascii="Times New Roman" w:hAnsi="Times New Roman" w:cs="Times New Roman"/>
                <w:color w:val="auto"/>
                <w:lang w:eastAsia="zh-CN"/>
              </w:rPr>
              <w:t>在采用</w:t>
            </w:r>
            <w:r>
              <w:rPr>
                <w:rFonts w:hint="eastAsia" w:ascii="Times New Roman" w:hAnsi="Times New Roman" w:cs="Times New Roman"/>
                <w:color w:val="auto"/>
                <w:lang w:eastAsia="zh-CN"/>
              </w:rPr>
              <w:t>有效</w:t>
            </w:r>
            <w:r>
              <w:rPr>
                <w:rFonts w:hint="eastAsia" w:ascii="Times New Roman" w:hAnsi="Times New Roman" w:cs="Times New Roman"/>
                <w:color w:val="auto"/>
                <w:lang w:eastAsia="zh-CN"/>
              </w:rPr>
              <w:t>可行的</w:t>
            </w:r>
            <w:r>
              <w:rPr>
                <w:rFonts w:ascii="Times New Roman" w:hAnsi="Times New Roman" w:cs="Times New Roman"/>
                <w:color w:val="auto"/>
              </w:rPr>
              <w:t>废气治理措施</w:t>
            </w:r>
            <w:r>
              <w:rPr>
                <w:rFonts w:hint="eastAsia" w:ascii="Times New Roman" w:hAnsi="Times New Roman" w:cs="Times New Roman"/>
                <w:color w:val="auto"/>
                <w:lang w:eastAsia="zh-CN"/>
              </w:rPr>
              <w:t>后</w:t>
            </w:r>
            <w:r>
              <w:rPr>
                <w:rFonts w:ascii="Times New Roman" w:hAnsi="Times New Roman" w:cs="Times New Roman"/>
                <w:color w:val="auto"/>
              </w:rPr>
              <w:t>，废气</w:t>
            </w:r>
            <w:r>
              <w:rPr>
                <w:rFonts w:hint="eastAsia" w:ascii="Times New Roman" w:hAnsi="Times New Roman" w:cs="Times New Roman"/>
                <w:color w:val="auto"/>
                <w:lang w:eastAsia="zh-CN"/>
              </w:rPr>
              <w:t>污染物</w:t>
            </w:r>
            <w:r>
              <w:rPr>
                <w:rFonts w:ascii="Times New Roman" w:hAnsi="Times New Roman" w:cs="Times New Roman"/>
                <w:color w:val="auto"/>
              </w:rPr>
              <w:t>排放能够达到相应标准要求，非正常工况情况下采取措施后能够有效控制废气排放</w:t>
            </w:r>
            <w:r>
              <w:rPr>
                <w:rFonts w:hint="eastAsia" w:ascii="Times New Roman" w:hAnsi="Times New Roman" w:cs="Times New Roman"/>
                <w:color w:val="auto"/>
                <w:lang w:eastAsia="zh-CN"/>
              </w:rPr>
              <w:t>。</w:t>
            </w:r>
            <w:r>
              <w:rPr>
                <w:rFonts w:ascii="Times New Roman" w:hAnsi="Times New Roman" w:cs="Times New Roman"/>
                <w:color w:val="auto"/>
              </w:rPr>
              <w:t>因此，本项目对区域大气环境的环境影响较小。</w:t>
            </w:r>
          </w:p>
          <w:p w14:paraId="01E7E7C8">
            <w:pPr>
              <w:pStyle w:val="62"/>
              <w:rPr>
                <w:color w:val="auto"/>
                <w:highlight w:val="none"/>
              </w:rPr>
            </w:pPr>
            <w:r>
              <w:rPr>
                <w:rFonts w:hint="eastAsia"/>
                <w:color w:val="auto"/>
                <w:highlight w:val="none"/>
              </w:rPr>
              <w:t>2、水环境影响分析及污染防治措施</w:t>
            </w:r>
          </w:p>
          <w:p w14:paraId="103C2A8F">
            <w:pPr>
              <w:tabs>
                <w:tab w:val="left" w:pos="5277"/>
              </w:tabs>
              <w:autoSpaceDE w:val="0"/>
              <w:autoSpaceDN w:val="0"/>
              <w:ind w:firstLine="482" w:firstLineChars="200"/>
              <w:rPr>
                <w:rFonts w:hint="eastAsia" w:eastAsia="宋体"/>
                <w:b/>
                <w:color w:val="auto"/>
                <w:sz w:val="24"/>
                <w:szCs w:val="24"/>
                <w:lang w:eastAsia="zh-CN"/>
              </w:rPr>
            </w:pPr>
            <w:r>
              <w:rPr>
                <w:rFonts w:hint="eastAsia"/>
                <w:b/>
                <w:color w:val="auto"/>
                <w:sz w:val="24"/>
                <w:szCs w:val="24"/>
                <w:lang w:eastAsia="zh-CN"/>
              </w:rPr>
              <w:t>（</w:t>
            </w:r>
            <w:r>
              <w:rPr>
                <w:rFonts w:hint="eastAsia"/>
                <w:b/>
                <w:color w:val="auto"/>
                <w:sz w:val="24"/>
                <w:szCs w:val="24"/>
                <w:lang w:val="en-US" w:eastAsia="zh-CN"/>
              </w:rPr>
              <w:t>1</w:t>
            </w:r>
            <w:r>
              <w:rPr>
                <w:rFonts w:hint="eastAsia"/>
                <w:b/>
                <w:color w:val="auto"/>
                <w:sz w:val="24"/>
                <w:szCs w:val="24"/>
                <w:lang w:eastAsia="zh-CN"/>
              </w:rPr>
              <w:t>）</w:t>
            </w:r>
            <w:r>
              <w:rPr>
                <w:rFonts w:ascii="Times New Roman" w:hAnsi="Times New Roman" w:cs="Times New Roman"/>
                <w:b/>
                <w:bCs/>
                <w:color w:val="auto"/>
                <w:lang w:eastAsia="zh-CN"/>
              </w:rPr>
              <w:t>废</w:t>
            </w:r>
            <w:r>
              <w:rPr>
                <w:rFonts w:ascii="Times New Roman" w:hAnsi="Times New Roman" w:cs="Times New Roman"/>
                <w:b/>
                <w:bCs/>
                <w:color w:val="auto"/>
              </w:rPr>
              <w:t>水污染排放分析</w:t>
            </w:r>
          </w:p>
          <w:p w14:paraId="4634CC6A">
            <w:pPr>
              <w:pStyle w:val="8"/>
              <w:ind w:firstLine="480" w:firstLineChars="200"/>
              <w:rPr>
                <w:rFonts w:hint="eastAsia" w:ascii="Times New Roman" w:hAnsi="Times New Roman" w:eastAsia="宋体" w:cs="Times New Roman"/>
                <w:color w:val="auto"/>
                <w:sz w:val="24"/>
                <w:szCs w:val="24"/>
                <w:highlight w:val="none"/>
                <w:lang w:val="en-US" w:eastAsia="zh-CN"/>
              </w:rPr>
            </w:pPr>
            <w:r>
              <w:rPr>
                <w:rFonts w:ascii="Times New Roman" w:hAnsi="Times New Roman" w:cs="Times New Roman"/>
                <w:color w:val="auto"/>
              </w:rPr>
              <w:t>本项目废水主要为生活污水，生活污水排放量为</w:t>
            </w:r>
            <w:r>
              <w:rPr>
                <w:rFonts w:hint="eastAsia" w:ascii="Times New Roman" w:hAnsi="Times New Roman" w:cs="Times New Roman"/>
                <w:color w:val="auto"/>
                <w:lang w:val="en-US" w:eastAsia="zh-CN"/>
              </w:rPr>
              <w:t>422.4</w:t>
            </w:r>
            <w:r>
              <w:rPr>
                <w:rFonts w:ascii="Times New Roman" w:hAnsi="Times New Roman" w:cs="Times New Roman"/>
                <w:color w:val="auto"/>
              </w:rPr>
              <w:t>t/a，</w:t>
            </w:r>
            <w:r>
              <w:rPr>
                <w:rFonts w:ascii="Times New Roman" w:hAnsi="Times New Roman" w:cs="Times New Roman"/>
                <w:color w:val="auto"/>
                <w:lang w:eastAsia="zh-CN"/>
              </w:rPr>
              <w:t>排入抚顺县救兵镇污水处理厂，处理达标后排至东洲河。</w:t>
            </w:r>
            <w:r>
              <w:rPr>
                <w:rFonts w:hint="eastAsia" w:ascii="Times New Roman" w:hAnsi="Times New Roman" w:eastAsia="宋体" w:cs="Times New Roman"/>
                <w:color w:val="auto"/>
                <w:sz w:val="24"/>
                <w:szCs w:val="24"/>
                <w:highlight w:val="none"/>
                <w:lang w:val="en-US" w:eastAsia="zh-CN"/>
              </w:rPr>
              <w:t>废水污染物浓度分别为：</w:t>
            </w:r>
            <w:r>
              <w:rPr>
                <w:rFonts w:hint="default" w:ascii="Times New Roman" w:hAnsi="Times New Roman" w:eastAsia="宋体" w:cs="Times New Roman"/>
                <w:color w:val="auto"/>
                <w:kern w:val="0"/>
                <w:sz w:val="24"/>
                <w:szCs w:val="24"/>
                <w:highlight w:val="none"/>
              </w:rPr>
              <w:t>COD</w:t>
            </w:r>
            <w:r>
              <w:rPr>
                <w:rFonts w:hint="eastAsia" w:ascii="Times New Roman" w:hAnsi="Times New Roman" w:eastAsia="宋体" w:cs="Times New Roman"/>
                <w:color w:val="auto"/>
                <w:kern w:val="0"/>
                <w:sz w:val="24"/>
                <w:szCs w:val="24"/>
                <w:highlight w:val="none"/>
                <w:vertAlign w:val="subscript"/>
                <w:lang w:val="en-US" w:eastAsia="zh-CN"/>
              </w:rPr>
              <w:t>cr</w:t>
            </w:r>
            <w:r>
              <w:rPr>
                <w:rFonts w:hint="eastAsia" w:ascii="Times New Roman" w:hAnsi="Times New Roman" w:eastAsia="宋体" w:cs="Times New Roman"/>
                <w:color w:val="auto"/>
                <w:kern w:val="0"/>
                <w:sz w:val="24"/>
                <w:szCs w:val="24"/>
                <w:highlight w:val="none"/>
                <w:lang w:val="en-US" w:eastAsia="zh-CN"/>
              </w:rPr>
              <w:t xml:space="preserve"> 30</w:t>
            </w:r>
            <w:r>
              <w:rPr>
                <w:rFonts w:hint="default" w:ascii="Times New Roman" w:hAnsi="Times New Roman" w:eastAsia="宋体" w:cs="Times New Roman"/>
                <w:color w:val="auto"/>
                <w:kern w:val="0"/>
                <w:sz w:val="24"/>
                <w:szCs w:val="24"/>
                <w:highlight w:val="none"/>
              </w:rPr>
              <w:t>0mg/L，BOD</w:t>
            </w:r>
            <w:r>
              <w:rPr>
                <w:rFonts w:hint="default" w:ascii="Times New Roman" w:hAnsi="Times New Roman" w:cs="Times New Roman"/>
                <w:color w:val="auto"/>
                <w:highlight w:val="none"/>
                <w:vertAlign w:val="subscript"/>
              </w:rPr>
              <w:t>5</w:t>
            </w:r>
            <w:r>
              <w:rPr>
                <w:rFonts w:hint="eastAsia" w:ascii="Times New Roman" w:hAnsi="Times New Roman" w:eastAsia="宋体" w:cs="Times New Roman"/>
                <w:color w:val="auto"/>
                <w:kern w:val="0"/>
                <w:sz w:val="24"/>
                <w:highlight w:val="none"/>
                <w:lang w:val="en-US" w:eastAsia="zh-CN"/>
              </w:rPr>
              <w:t xml:space="preserve"> 250</w:t>
            </w:r>
            <w:r>
              <w:rPr>
                <w:rFonts w:hint="default" w:ascii="Times New Roman" w:hAnsi="Times New Roman" w:eastAsia="宋体" w:cs="Times New Roman"/>
                <w:color w:val="auto"/>
                <w:kern w:val="0"/>
                <w:sz w:val="24"/>
                <w:highlight w:val="none"/>
              </w:rPr>
              <w:t>mg/L，SS</w:t>
            </w:r>
            <w:r>
              <w:rPr>
                <w:rFonts w:hint="eastAsia" w:ascii="Times New Roman" w:hAnsi="Times New Roman" w:eastAsia="宋体" w:cs="Times New Roman"/>
                <w:color w:val="auto"/>
                <w:kern w:val="0"/>
                <w:sz w:val="24"/>
                <w:highlight w:val="none"/>
                <w:lang w:val="en-US" w:eastAsia="zh-CN"/>
              </w:rPr>
              <w:t xml:space="preserve"> </w:t>
            </w:r>
            <w:r>
              <w:rPr>
                <w:rFonts w:hint="default" w:ascii="Times New Roman" w:hAnsi="Times New Roman" w:eastAsia="宋体" w:cs="Times New Roman"/>
                <w:color w:val="auto"/>
                <w:kern w:val="0"/>
                <w:sz w:val="24"/>
                <w:highlight w:val="none"/>
              </w:rPr>
              <w:t>2</w:t>
            </w:r>
            <w:r>
              <w:rPr>
                <w:rFonts w:hint="eastAsia" w:ascii="Times New Roman" w:hAnsi="Times New Roman" w:eastAsia="宋体" w:cs="Times New Roman"/>
                <w:color w:val="auto"/>
                <w:kern w:val="0"/>
                <w:sz w:val="24"/>
                <w:highlight w:val="none"/>
                <w:lang w:val="en-US" w:eastAsia="zh-CN"/>
              </w:rPr>
              <w:t>5</w:t>
            </w:r>
            <w:r>
              <w:rPr>
                <w:rFonts w:hint="default" w:ascii="Times New Roman" w:hAnsi="Times New Roman" w:eastAsia="宋体" w:cs="Times New Roman"/>
                <w:color w:val="auto"/>
                <w:kern w:val="0"/>
                <w:sz w:val="24"/>
                <w:highlight w:val="none"/>
              </w:rPr>
              <w:t>0mg/L，氨氮</w:t>
            </w:r>
            <w:r>
              <w:rPr>
                <w:rFonts w:hint="eastAsia" w:ascii="Times New Roman" w:hAnsi="Times New Roman" w:eastAsia="宋体" w:cs="Times New Roman"/>
                <w:color w:val="auto"/>
                <w:kern w:val="0"/>
                <w:sz w:val="24"/>
                <w:highlight w:val="none"/>
                <w:lang w:val="en-US" w:eastAsia="zh-CN"/>
              </w:rPr>
              <w:t xml:space="preserve"> </w:t>
            </w:r>
            <w:r>
              <w:rPr>
                <w:rFonts w:hint="default" w:ascii="Times New Roman" w:hAnsi="Times New Roman" w:eastAsia="宋体" w:cs="Times New Roman"/>
                <w:color w:val="auto"/>
                <w:kern w:val="0"/>
                <w:sz w:val="24"/>
                <w:highlight w:val="none"/>
              </w:rPr>
              <w:t>25mg/L</w:t>
            </w:r>
            <w:r>
              <w:rPr>
                <w:rFonts w:hint="eastAsia" w:ascii="Times New Roman" w:hAnsi="Times New Roman" w:eastAsia="宋体" w:cs="Times New Roman"/>
                <w:color w:val="auto"/>
                <w:kern w:val="0"/>
                <w:sz w:val="24"/>
                <w:highlight w:val="none"/>
                <w:lang w:eastAsia="zh-CN"/>
              </w:rPr>
              <w:t>、磷酸盐</w:t>
            </w:r>
            <w:r>
              <w:rPr>
                <w:rFonts w:hint="eastAsia" w:ascii="Times New Roman" w:hAnsi="Times New Roman" w:eastAsia="宋体" w:cs="Times New Roman"/>
                <w:color w:val="auto"/>
                <w:kern w:val="0"/>
                <w:sz w:val="24"/>
                <w:highlight w:val="none"/>
                <w:lang w:val="en-US" w:eastAsia="zh-CN"/>
              </w:rPr>
              <w:t>4.5</w:t>
            </w:r>
            <w:r>
              <w:rPr>
                <w:rFonts w:hint="default" w:ascii="Times New Roman" w:hAnsi="Times New Roman" w:eastAsia="宋体" w:cs="Times New Roman"/>
                <w:color w:val="auto"/>
                <w:sz w:val="24"/>
                <w:szCs w:val="24"/>
                <w:highlight w:val="none"/>
                <w:lang w:val="en-US" w:eastAsia="zh-CN"/>
              </w:rPr>
              <w:t>mg/L</w:t>
            </w:r>
            <w:r>
              <w:rPr>
                <w:rFonts w:hint="eastAsia" w:ascii="Times New Roman" w:hAnsi="Times New Roman" w:eastAsia="宋体" w:cs="Times New Roman"/>
                <w:color w:val="auto"/>
                <w:kern w:val="0"/>
                <w:sz w:val="24"/>
                <w:highlight w:val="none"/>
                <w:lang w:val="en-US" w:eastAsia="zh-CN"/>
              </w:rPr>
              <w:t>、</w:t>
            </w:r>
            <w:r>
              <w:rPr>
                <w:rFonts w:hint="eastAsia" w:ascii="Times New Roman" w:hAnsi="Times New Roman" w:cs="Times New Roman"/>
                <w:b w:val="0"/>
                <w:bCs w:val="0"/>
                <w:color w:val="auto"/>
                <w:sz w:val="24"/>
                <w:szCs w:val="24"/>
                <w:highlight w:val="none"/>
                <w:lang w:eastAsia="zh-CN"/>
              </w:rPr>
              <w:t>总氮</w:t>
            </w:r>
            <w:r>
              <w:rPr>
                <w:rFonts w:hint="eastAsia" w:ascii="Times New Roman" w:hAnsi="Times New Roman" w:eastAsia="宋体" w:cs="Times New Roman"/>
                <w:color w:val="auto"/>
                <w:sz w:val="24"/>
                <w:szCs w:val="24"/>
                <w:highlight w:val="none"/>
                <w:lang w:val="en-US" w:eastAsia="zh-CN"/>
              </w:rPr>
              <w:t>4</w:t>
            </w:r>
            <w:r>
              <w:rPr>
                <w:rFonts w:hint="default" w:ascii="Times New Roman" w:hAnsi="Times New Roman" w:eastAsia="宋体" w:cs="Times New Roman"/>
                <w:color w:val="auto"/>
                <w:sz w:val="24"/>
                <w:szCs w:val="24"/>
                <w:highlight w:val="none"/>
                <w:lang w:val="en-US" w:eastAsia="zh-CN"/>
              </w:rPr>
              <w:t>0mg/L</w:t>
            </w:r>
            <w:r>
              <w:rPr>
                <w:rFonts w:hint="eastAsia" w:ascii="Times New Roman" w:hAnsi="Times New Roman" w:eastAsia="宋体" w:cs="Times New Roman"/>
                <w:color w:val="auto"/>
                <w:sz w:val="24"/>
                <w:szCs w:val="24"/>
                <w:highlight w:val="none"/>
                <w:lang w:val="en-US" w:eastAsia="zh-CN"/>
              </w:rPr>
              <w:t>，</w:t>
            </w:r>
            <w:r>
              <w:rPr>
                <w:rFonts w:hint="eastAsia"/>
                <w:color w:val="auto"/>
                <w:lang w:val="en-US" w:eastAsia="zh-CN"/>
              </w:rPr>
              <w:t>满足</w:t>
            </w:r>
            <w:r>
              <w:rPr>
                <w:rFonts w:ascii="Times New Roman" w:hAnsi="Times New Roman" w:cs="Times New Roman"/>
                <w:color w:val="auto"/>
                <w:lang w:eastAsia="zh-CN"/>
              </w:rPr>
              <w:t>《辽宁省污水综合排放标准》（DB21/1627-2008）表2排入城镇污水处理厂的水污染物最高允许排放浓度</w:t>
            </w:r>
            <w:r>
              <w:rPr>
                <w:rFonts w:hint="eastAsia" w:ascii="Times New Roman" w:hAnsi="Times New Roman" w:eastAsia="宋体" w:cs="Times New Roman"/>
                <w:color w:val="auto"/>
                <w:sz w:val="24"/>
                <w:szCs w:val="24"/>
                <w:highlight w:val="none"/>
                <w:lang w:val="en-US" w:eastAsia="zh-CN"/>
              </w:rPr>
              <w:t>。</w:t>
            </w:r>
          </w:p>
          <w:p w14:paraId="194FE2E7">
            <w:pPr>
              <w:pStyle w:val="68"/>
              <w:numPr>
                <w:ilvl w:val="0"/>
                <w:numId w:val="19"/>
              </w:numPr>
              <w:spacing w:line="360" w:lineRule="auto"/>
              <w:ind w:left="0" w:leftChars="0" w:firstLine="0" w:firstLineChars="0"/>
              <w:jc w:val="center"/>
              <w:rPr>
                <w:rFonts w:hint="eastAsia"/>
                <w:b/>
                <w:color w:val="auto"/>
                <w:sz w:val="24"/>
                <w:szCs w:val="24"/>
              </w:rPr>
            </w:pPr>
            <w:r>
              <w:rPr>
                <w:rFonts w:hint="eastAsia" w:ascii="Times New Roman" w:hAnsi="Times New Roman" w:eastAsia="宋体" w:cs="Times New Roman"/>
                <w:color w:val="auto"/>
                <w:highlight w:val="none"/>
                <w:lang w:val="en-US" w:eastAsia="zh-CN"/>
              </w:rPr>
              <w:t xml:space="preserve">  本项目污水源强情况表</w:t>
            </w:r>
          </w:p>
          <w:tbl>
            <w:tblPr>
              <w:tblStyle w:val="25"/>
              <w:tblW w:w="4998"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46"/>
              <w:gridCol w:w="1069"/>
              <w:gridCol w:w="1069"/>
              <w:gridCol w:w="1069"/>
              <w:gridCol w:w="1069"/>
              <w:gridCol w:w="1069"/>
              <w:gridCol w:w="1070"/>
            </w:tblGrid>
            <w:tr w14:paraId="239C90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 w:hRule="atLeast"/>
              </w:trPr>
              <w:tc>
                <w:tcPr>
                  <w:tcW w:w="1209" w:type="pct"/>
                  <w:noWrap w:val="0"/>
                  <w:vAlign w:val="center"/>
                </w:tcPr>
                <w:p w14:paraId="6C08AC66">
                  <w:pPr>
                    <w:spacing w:line="240" w:lineRule="auto"/>
                    <w:jc w:val="center"/>
                    <w:rPr>
                      <w:rFonts w:hint="eastAsia"/>
                      <w:sz w:val="21"/>
                      <w:szCs w:val="21"/>
                    </w:rPr>
                  </w:pPr>
                  <w:r>
                    <w:rPr>
                      <w:rFonts w:hint="eastAsia"/>
                      <w:sz w:val="21"/>
                      <w:szCs w:val="21"/>
                    </w:rPr>
                    <w:t>项目</w:t>
                  </w:r>
                </w:p>
              </w:tc>
              <w:tc>
                <w:tcPr>
                  <w:tcW w:w="631" w:type="pct"/>
                  <w:noWrap w:val="0"/>
                  <w:vAlign w:val="center"/>
                </w:tcPr>
                <w:p w14:paraId="7A302DD2">
                  <w:pPr>
                    <w:spacing w:line="240" w:lineRule="auto"/>
                    <w:jc w:val="center"/>
                    <w:rPr>
                      <w:rFonts w:hint="default" w:eastAsia="宋体"/>
                      <w:sz w:val="21"/>
                      <w:szCs w:val="21"/>
                      <w:lang w:val="en-US" w:eastAsia="zh-CN"/>
                    </w:rPr>
                  </w:pPr>
                  <w:r>
                    <w:rPr>
                      <w:sz w:val="21"/>
                      <w:szCs w:val="21"/>
                    </w:rPr>
                    <w:t>COD</w:t>
                  </w:r>
                  <w:r>
                    <w:rPr>
                      <w:rFonts w:hint="eastAsia"/>
                      <w:sz w:val="21"/>
                      <w:szCs w:val="21"/>
                      <w:lang w:val="en-US" w:eastAsia="zh-CN"/>
                    </w:rPr>
                    <w:t>cr</w:t>
                  </w:r>
                </w:p>
              </w:tc>
              <w:tc>
                <w:tcPr>
                  <w:tcW w:w="631" w:type="pct"/>
                  <w:noWrap w:val="0"/>
                  <w:vAlign w:val="center"/>
                </w:tcPr>
                <w:p w14:paraId="720A9A4F">
                  <w:pPr>
                    <w:spacing w:line="240" w:lineRule="auto"/>
                    <w:jc w:val="center"/>
                    <w:rPr>
                      <w:rFonts w:hint="eastAsia" w:eastAsia="宋体"/>
                      <w:sz w:val="21"/>
                      <w:szCs w:val="21"/>
                      <w:lang w:val="en-US" w:eastAsia="zh-CN"/>
                    </w:rPr>
                  </w:pPr>
                  <w:r>
                    <w:rPr>
                      <w:sz w:val="21"/>
                      <w:szCs w:val="21"/>
                    </w:rPr>
                    <w:t>BOD</w:t>
                  </w:r>
                  <w:r>
                    <w:rPr>
                      <w:rFonts w:hint="eastAsia"/>
                      <w:sz w:val="21"/>
                      <w:szCs w:val="21"/>
                      <w:vertAlign w:val="subscript"/>
                      <w:lang w:val="en-US" w:eastAsia="zh-CN"/>
                    </w:rPr>
                    <w:t>5</w:t>
                  </w:r>
                </w:p>
              </w:tc>
              <w:tc>
                <w:tcPr>
                  <w:tcW w:w="631" w:type="pct"/>
                  <w:noWrap w:val="0"/>
                  <w:vAlign w:val="center"/>
                </w:tcPr>
                <w:p w14:paraId="7975B06B">
                  <w:pPr>
                    <w:spacing w:line="240" w:lineRule="auto"/>
                    <w:jc w:val="center"/>
                    <w:rPr>
                      <w:sz w:val="21"/>
                      <w:szCs w:val="21"/>
                    </w:rPr>
                  </w:pPr>
                  <w:r>
                    <w:rPr>
                      <w:sz w:val="21"/>
                      <w:szCs w:val="21"/>
                    </w:rPr>
                    <w:t>SS</w:t>
                  </w:r>
                </w:p>
              </w:tc>
              <w:tc>
                <w:tcPr>
                  <w:tcW w:w="631" w:type="pct"/>
                  <w:noWrap w:val="0"/>
                  <w:vAlign w:val="center"/>
                </w:tcPr>
                <w:p w14:paraId="7FC400E1">
                  <w:pPr>
                    <w:spacing w:line="240" w:lineRule="auto"/>
                    <w:jc w:val="center"/>
                    <w:rPr>
                      <w:rFonts w:hint="eastAsia"/>
                      <w:sz w:val="21"/>
                      <w:szCs w:val="21"/>
                    </w:rPr>
                  </w:pPr>
                  <w:r>
                    <w:rPr>
                      <w:rFonts w:hint="eastAsia"/>
                      <w:sz w:val="21"/>
                      <w:szCs w:val="21"/>
                    </w:rPr>
                    <w:t>氨氮</w:t>
                  </w:r>
                </w:p>
              </w:tc>
              <w:tc>
                <w:tcPr>
                  <w:tcW w:w="631" w:type="pct"/>
                  <w:noWrap w:val="0"/>
                  <w:vAlign w:val="center"/>
                </w:tcPr>
                <w:p w14:paraId="252838C7">
                  <w:pPr>
                    <w:spacing w:line="240" w:lineRule="auto"/>
                    <w:jc w:val="center"/>
                    <w:rPr>
                      <w:rFonts w:hint="eastAsia" w:eastAsia="宋体"/>
                      <w:sz w:val="21"/>
                      <w:szCs w:val="21"/>
                      <w:lang w:eastAsia="zh-CN"/>
                    </w:rPr>
                  </w:pPr>
                  <w:r>
                    <w:rPr>
                      <w:rFonts w:hint="eastAsia"/>
                      <w:sz w:val="21"/>
                      <w:szCs w:val="21"/>
                      <w:lang w:eastAsia="zh-CN"/>
                    </w:rPr>
                    <w:t>磷酸盐</w:t>
                  </w:r>
                </w:p>
              </w:tc>
              <w:tc>
                <w:tcPr>
                  <w:tcW w:w="632" w:type="pct"/>
                  <w:noWrap w:val="0"/>
                  <w:vAlign w:val="center"/>
                </w:tcPr>
                <w:p w14:paraId="39186319">
                  <w:pPr>
                    <w:spacing w:line="240" w:lineRule="auto"/>
                    <w:jc w:val="center"/>
                    <w:rPr>
                      <w:rFonts w:hint="eastAsia"/>
                      <w:sz w:val="21"/>
                      <w:szCs w:val="21"/>
                    </w:rPr>
                  </w:pPr>
                  <w:r>
                    <w:rPr>
                      <w:rFonts w:hint="eastAsia"/>
                      <w:sz w:val="21"/>
                      <w:szCs w:val="21"/>
                    </w:rPr>
                    <w:t>总氮</w:t>
                  </w:r>
                </w:p>
              </w:tc>
            </w:tr>
            <w:tr w14:paraId="7781F7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9" w:hRule="atLeast"/>
              </w:trPr>
              <w:tc>
                <w:tcPr>
                  <w:tcW w:w="1209" w:type="pct"/>
                  <w:noWrap w:val="0"/>
                  <w:vAlign w:val="center"/>
                </w:tcPr>
                <w:p w14:paraId="79C3D6FE">
                  <w:pPr>
                    <w:spacing w:line="240" w:lineRule="auto"/>
                    <w:jc w:val="center"/>
                    <w:rPr>
                      <w:rFonts w:hint="eastAsia"/>
                      <w:sz w:val="21"/>
                      <w:szCs w:val="21"/>
                    </w:rPr>
                  </w:pPr>
                  <w:r>
                    <w:rPr>
                      <w:rFonts w:hint="eastAsia"/>
                      <w:sz w:val="21"/>
                      <w:szCs w:val="21"/>
                      <w:lang w:eastAsia="zh-CN"/>
                    </w:rPr>
                    <w:t>污染物浓度</w:t>
                  </w:r>
                  <w:r>
                    <w:rPr>
                      <w:rFonts w:hint="eastAsia"/>
                      <w:sz w:val="21"/>
                      <w:szCs w:val="21"/>
                    </w:rPr>
                    <w:t>（</w:t>
                  </w:r>
                  <w:r>
                    <w:rPr>
                      <w:sz w:val="21"/>
                      <w:szCs w:val="21"/>
                    </w:rPr>
                    <w:t>mg/L</w:t>
                  </w:r>
                  <w:r>
                    <w:rPr>
                      <w:rFonts w:hint="eastAsia"/>
                      <w:sz w:val="21"/>
                      <w:szCs w:val="21"/>
                    </w:rPr>
                    <w:t>）</w:t>
                  </w:r>
                </w:p>
              </w:tc>
              <w:tc>
                <w:tcPr>
                  <w:tcW w:w="631" w:type="pct"/>
                  <w:noWrap w:val="0"/>
                  <w:vAlign w:val="center"/>
                </w:tcPr>
                <w:p w14:paraId="13CD9D23">
                  <w:pPr>
                    <w:spacing w:line="240" w:lineRule="auto"/>
                    <w:jc w:val="center"/>
                    <w:rPr>
                      <w:rFonts w:hint="default" w:eastAsia="宋体"/>
                      <w:sz w:val="21"/>
                      <w:szCs w:val="21"/>
                      <w:lang w:val="en-US" w:eastAsia="zh-CN"/>
                    </w:rPr>
                  </w:pPr>
                  <w:r>
                    <w:rPr>
                      <w:rFonts w:hint="eastAsia"/>
                      <w:sz w:val="21"/>
                      <w:szCs w:val="21"/>
                      <w:lang w:val="en-US" w:eastAsia="zh-CN"/>
                    </w:rPr>
                    <w:t>300</w:t>
                  </w:r>
                </w:p>
              </w:tc>
              <w:tc>
                <w:tcPr>
                  <w:tcW w:w="631" w:type="pct"/>
                  <w:noWrap w:val="0"/>
                  <w:vAlign w:val="center"/>
                </w:tcPr>
                <w:p w14:paraId="3EAF4085">
                  <w:pPr>
                    <w:spacing w:line="240" w:lineRule="auto"/>
                    <w:jc w:val="center"/>
                    <w:rPr>
                      <w:rFonts w:hint="default" w:eastAsia="宋体"/>
                      <w:sz w:val="21"/>
                      <w:szCs w:val="21"/>
                      <w:lang w:val="en-US" w:eastAsia="zh-CN"/>
                    </w:rPr>
                  </w:pPr>
                  <w:r>
                    <w:rPr>
                      <w:rFonts w:hint="eastAsia"/>
                      <w:sz w:val="21"/>
                      <w:szCs w:val="21"/>
                      <w:lang w:val="en-US" w:eastAsia="zh-CN"/>
                    </w:rPr>
                    <w:t>250</w:t>
                  </w:r>
                </w:p>
              </w:tc>
              <w:tc>
                <w:tcPr>
                  <w:tcW w:w="631" w:type="pct"/>
                  <w:noWrap w:val="0"/>
                  <w:vAlign w:val="center"/>
                </w:tcPr>
                <w:p w14:paraId="683CA3B6">
                  <w:pPr>
                    <w:spacing w:line="240" w:lineRule="auto"/>
                    <w:jc w:val="center"/>
                    <w:rPr>
                      <w:rFonts w:hint="default" w:eastAsia="宋体"/>
                      <w:sz w:val="21"/>
                      <w:szCs w:val="21"/>
                      <w:lang w:val="en-US" w:eastAsia="zh-CN"/>
                    </w:rPr>
                  </w:pPr>
                  <w:r>
                    <w:rPr>
                      <w:rFonts w:hint="eastAsia"/>
                      <w:sz w:val="21"/>
                      <w:szCs w:val="21"/>
                      <w:lang w:val="en-US" w:eastAsia="zh-CN"/>
                    </w:rPr>
                    <w:t>250</w:t>
                  </w:r>
                </w:p>
              </w:tc>
              <w:tc>
                <w:tcPr>
                  <w:tcW w:w="631" w:type="pct"/>
                  <w:noWrap w:val="0"/>
                  <w:vAlign w:val="center"/>
                </w:tcPr>
                <w:p w14:paraId="36D284ED">
                  <w:pPr>
                    <w:spacing w:line="240" w:lineRule="auto"/>
                    <w:jc w:val="center"/>
                    <w:rPr>
                      <w:rFonts w:hint="default" w:eastAsia="宋体"/>
                      <w:sz w:val="21"/>
                      <w:szCs w:val="21"/>
                      <w:lang w:val="en-US" w:eastAsia="zh-CN"/>
                    </w:rPr>
                  </w:pPr>
                  <w:r>
                    <w:rPr>
                      <w:rFonts w:hint="eastAsia"/>
                      <w:sz w:val="21"/>
                      <w:szCs w:val="21"/>
                      <w:lang w:val="en-US" w:eastAsia="zh-CN"/>
                    </w:rPr>
                    <w:t>25</w:t>
                  </w:r>
                </w:p>
              </w:tc>
              <w:tc>
                <w:tcPr>
                  <w:tcW w:w="631" w:type="pct"/>
                  <w:noWrap w:val="0"/>
                  <w:vAlign w:val="center"/>
                </w:tcPr>
                <w:p w14:paraId="4906861B">
                  <w:pPr>
                    <w:spacing w:line="240" w:lineRule="auto"/>
                    <w:jc w:val="center"/>
                    <w:rPr>
                      <w:rFonts w:hint="default" w:eastAsia="宋体"/>
                      <w:sz w:val="21"/>
                      <w:szCs w:val="21"/>
                      <w:lang w:val="en-US" w:eastAsia="zh-CN"/>
                    </w:rPr>
                  </w:pPr>
                  <w:r>
                    <w:rPr>
                      <w:rFonts w:hint="eastAsia"/>
                      <w:sz w:val="21"/>
                      <w:szCs w:val="21"/>
                      <w:lang w:val="en-US" w:eastAsia="zh-CN"/>
                    </w:rPr>
                    <w:t>4.5</w:t>
                  </w:r>
                </w:p>
              </w:tc>
              <w:tc>
                <w:tcPr>
                  <w:tcW w:w="632" w:type="pct"/>
                  <w:noWrap w:val="0"/>
                  <w:vAlign w:val="center"/>
                </w:tcPr>
                <w:p w14:paraId="61050E89">
                  <w:pPr>
                    <w:spacing w:line="240" w:lineRule="auto"/>
                    <w:jc w:val="center"/>
                    <w:rPr>
                      <w:rFonts w:hint="default" w:eastAsia="宋体"/>
                      <w:sz w:val="21"/>
                      <w:szCs w:val="21"/>
                      <w:lang w:val="en-US" w:eastAsia="zh-CN"/>
                    </w:rPr>
                  </w:pPr>
                  <w:r>
                    <w:rPr>
                      <w:rFonts w:hint="eastAsia"/>
                      <w:sz w:val="21"/>
                      <w:szCs w:val="21"/>
                      <w:lang w:val="en-US" w:eastAsia="zh-CN"/>
                    </w:rPr>
                    <w:t>40</w:t>
                  </w:r>
                </w:p>
              </w:tc>
            </w:tr>
            <w:tr w14:paraId="645BD7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1" w:hRule="atLeast"/>
              </w:trPr>
              <w:tc>
                <w:tcPr>
                  <w:tcW w:w="1209" w:type="pct"/>
                  <w:noWrap/>
                  <w:vAlign w:val="center"/>
                </w:tcPr>
                <w:p w14:paraId="38E3ADF2">
                  <w:pPr>
                    <w:spacing w:line="240" w:lineRule="auto"/>
                    <w:jc w:val="center"/>
                    <w:rPr>
                      <w:color w:val="auto"/>
                      <w:sz w:val="21"/>
                      <w:szCs w:val="21"/>
                    </w:rPr>
                  </w:pPr>
                  <w:r>
                    <w:rPr>
                      <w:rFonts w:hint="eastAsia"/>
                      <w:color w:val="auto"/>
                      <w:sz w:val="21"/>
                      <w:szCs w:val="21"/>
                    </w:rPr>
                    <w:t>排放量t/a</w:t>
                  </w:r>
                </w:p>
              </w:tc>
              <w:tc>
                <w:tcPr>
                  <w:tcW w:w="631" w:type="pct"/>
                  <w:noWrap/>
                  <w:vAlign w:val="center"/>
                </w:tcPr>
                <w:p w14:paraId="7901149F">
                  <w:pPr>
                    <w:spacing w:line="240" w:lineRule="auto"/>
                    <w:jc w:val="center"/>
                    <w:rPr>
                      <w:rFonts w:hint="default" w:eastAsia="宋体"/>
                      <w:color w:val="auto"/>
                      <w:sz w:val="21"/>
                      <w:szCs w:val="21"/>
                      <w:lang w:val="en-US" w:eastAsia="zh-CN"/>
                    </w:rPr>
                  </w:pPr>
                  <w:r>
                    <w:rPr>
                      <w:rFonts w:hint="eastAsia"/>
                      <w:color w:val="auto"/>
                      <w:sz w:val="21"/>
                      <w:szCs w:val="21"/>
                      <w:lang w:val="en-US" w:eastAsia="zh-CN"/>
                    </w:rPr>
                    <w:t>0.127</w:t>
                  </w:r>
                </w:p>
              </w:tc>
              <w:tc>
                <w:tcPr>
                  <w:tcW w:w="631" w:type="pct"/>
                  <w:noWrap/>
                  <w:vAlign w:val="center"/>
                </w:tcPr>
                <w:p w14:paraId="7022760F">
                  <w:pPr>
                    <w:spacing w:line="240" w:lineRule="auto"/>
                    <w:jc w:val="center"/>
                    <w:rPr>
                      <w:rFonts w:hint="default" w:eastAsia="宋体"/>
                      <w:color w:val="auto"/>
                      <w:sz w:val="21"/>
                      <w:szCs w:val="21"/>
                      <w:lang w:val="en-US" w:eastAsia="zh-CN"/>
                    </w:rPr>
                  </w:pPr>
                  <w:r>
                    <w:rPr>
                      <w:rFonts w:hint="default" w:eastAsia="宋体"/>
                      <w:color w:val="auto"/>
                      <w:sz w:val="21"/>
                      <w:szCs w:val="21"/>
                      <w:lang w:val="en-US" w:eastAsia="zh-CN"/>
                    </w:rPr>
                    <w:t>0.106</w:t>
                  </w:r>
                </w:p>
              </w:tc>
              <w:tc>
                <w:tcPr>
                  <w:tcW w:w="631" w:type="pct"/>
                  <w:noWrap/>
                  <w:vAlign w:val="center"/>
                </w:tcPr>
                <w:p w14:paraId="66BA23CC">
                  <w:pPr>
                    <w:spacing w:line="240" w:lineRule="auto"/>
                    <w:jc w:val="center"/>
                    <w:rPr>
                      <w:rFonts w:hint="default" w:eastAsia="宋体"/>
                      <w:color w:val="auto"/>
                      <w:sz w:val="21"/>
                      <w:szCs w:val="21"/>
                      <w:lang w:val="en-US" w:eastAsia="zh-CN"/>
                    </w:rPr>
                  </w:pPr>
                  <w:r>
                    <w:rPr>
                      <w:rFonts w:hint="default" w:eastAsia="宋体"/>
                      <w:color w:val="auto"/>
                      <w:sz w:val="21"/>
                      <w:szCs w:val="21"/>
                      <w:lang w:val="en-US" w:eastAsia="zh-CN"/>
                    </w:rPr>
                    <w:t>0.106</w:t>
                  </w:r>
                </w:p>
              </w:tc>
              <w:tc>
                <w:tcPr>
                  <w:tcW w:w="631" w:type="pct"/>
                  <w:noWrap/>
                  <w:vAlign w:val="center"/>
                </w:tcPr>
                <w:p w14:paraId="4440BDC4">
                  <w:pPr>
                    <w:spacing w:line="240" w:lineRule="auto"/>
                    <w:jc w:val="center"/>
                    <w:rPr>
                      <w:color w:val="auto"/>
                      <w:sz w:val="21"/>
                      <w:szCs w:val="21"/>
                    </w:rPr>
                  </w:pPr>
                  <w:r>
                    <w:rPr>
                      <w:rFonts w:hint="eastAsia"/>
                      <w:color w:val="auto"/>
                      <w:sz w:val="21"/>
                      <w:szCs w:val="21"/>
                    </w:rPr>
                    <w:t>0.011</w:t>
                  </w:r>
                </w:p>
              </w:tc>
              <w:tc>
                <w:tcPr>
                  <w:tcW w:w="631" w:type="pct"/>
                  <w:noWrap/>
                  <w:vAlign w:val="center"/>
                </w:tcPr>
                <w:p w14:paraId="1B9F0D26">
                  <w:pPr>
                    <w:spacing w:line="240" w:lineRule="auto"/>
                    <w:jc w:val="center"/>
                    <w:rPr>
                      <w:color w:val="auto"/>
                      <w:sz w:val="21"/>
                      <w:szCs w:val="21"/>
                    </w:rPr>
                  </w:pPr>
                  <w:r>
                    <w:rPr>
                      <w:rFonts w:hint="eastAsia"/>
                      <w:color w:val="auto"/>
                      <w:sz w:val="21"/>
                      <w:szCs w:val="21"/>
                    </w:rPr>
                    <w:t>0.002</w:t>
                  </w:r>
                </w:p>
              </w:tc>
              <w:tc>
                <w:tcPr>
                  <w:tcW w:w="632" w:type="pct"/>
                  <w:noWrap/>
                  <w:vAlign w:val="center"/>
                </w:tcPr>
                <w:p w14:paraId="45D630AC">
                  <w:pPr>
                    <w:spacing w:line="240" w:lineRule="auto"/>
                    <w:jc w:val="center"/>
                    <w:rPr>
                      <w:color w:val="auto"/>
                      <w:sz w:val="21"/>
                      <w:szCs w:val="21"/>
                    </w:rPr>
                  </w:pPr>
                  <w:r>
                    <w:rPr>
                      <w:rFonts w:hint="eastAsia"/>
                      <w:color w:val="auto"/>
                      <w:sz w:val="21"/>
                      <w:szCs w:val="21"/>
                    </w:rPr>
                    <w:t>0.017</w:t>
                  </w:r>
                </w:p>
              </w:tc>
            </w:tr>
          </w:tbl>
          <w:p w14:paraId="549C3A8E">
            <w:pPr>
              <w:pStyle w:val="8"/>
              <w:rPr>
                <w:rFonts w:hint="eastAsia" w:ascii="Times New Roman" w:hAnsi="Times New Roman" w:eastAsia="宋体" w:cs="Times New Roman"/>
                <w:color w:val="auto"/>
                <w:sz w:val="24"/>
                <w:szCs w:val="24"/>
                <w:highlight w:val="none"/>
                <w:lang w:val="en-US" w:eastAsia="zh-CN"/>
              </w:rPr>
            </w:pPr>
          </w:p>
          <w:p w14:paraId="21C15F0A">
            <w:pPr>
              <w:tabs>
                <w:tab w:val="left" w:pos="5277"/>
              </w:tabs>
              <w:autoSpaceDE w:val="0"/>
              <w:autoSpaceDN w:val="0"/>
              <w:ind w:firstLine="482" w:firstLineChars="200"/>
              <w:rPr>
                <w:rFonts w:hint="eastAsia" w:eastAsia="宋体"/>
                <w:b/>
                <w:color w:val="auto"/>
                <w:sz w:val="24"/>
                <w:szCs w:val="24"/>
                <w:lang w:eastAsia="zh-CN"/>
              </w:rPr>
            </w:pPr>
            <w:r>
              <w:rPr>
                <w:rFonts w:hint="eastAsia"/>
                <w:b/>
                <w:color w:val="auto"/>
                <w:sz w:val="24"/>
                <w:szCs w:val="24"/>
                <w:lang w:eastAsia="zh-CN"/>
              </w:rPr>
              <w:t>（</w:t>
            </w:r>
            <w:r>
              <w:rPr>
                <w:rFonts w:hint="eastAsia"/>
                <w:b/>
                <w:color w:val="auto"/>
                <w:sz w:val="24"/>
                <w:szCs w:val="24"/>
                <w:lang w:val="en-US" w:eastAsia="zh-CN"/>
              </w:rPr>
              <w:t>2</w:t>
            </w:r>
            <w:r>
              <w:rPr>
                <w:rFonts w:hint="eastAsia"/>
                <w:b/>
                <w:color w:val="auto"/>
                <w:sz w:val="24"/>
                <w:szCs w:val="24"/>
                <w:lang w:eastAsia="zh-CN"/>
              </w:rPr>
              <w:t>）</w:t>
            </w:r>
            <w:r>
              <w:rPr>
                <w:rFonts w:ascii="Times New Roman" w:hAnsi="Times New Roman" w:cs="Times New Roman"/>
                <w:b/>
                <w:bCs/>
                <w:color w:val="auto"/>
                <w:lang w:eastAsia="zh-CN"/>
              </w:rPr>
              <w:t>污水处理厂依托</w:t>
            </w:r>
            <w:r>
              <w:rPr>
                <w:rFonts w:ascii="Times New Roman" w:hAnsi="Times New Roman" w:cs="Times New Roman"/>
                <w:b/>
                <w:bCs/>
                <w:color w:val="auto"/>
              </w:rPr>
              <w:t>可行性分析</w:t>
            </w:r>
          </w:p>
          <w:p w14:paraId="76E3D70B">
            <w:pPr>
              <w:pStyle w:val="75"/>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color w:val="auto"/>
                <w:lang w:eastAsia="zh-CN"/>
              </w:rPr>
            </w:pPr>
            <w:r>
              <w:rPr>
                <w:rFonts w:ascii="Times New Roman" w:hAnsi="Times New Roman" w:cs="Times New Roman"/>
                <w:color w:val="auto"/>
                <w:lang w:eastAsia="zh-CN"/>
              </w:rPr>
              <w:t>抚顺县救兵镇污水处理厂位于抚顺县救兵镇</w:t>
            </w:r>
            <w:r>
              <w:rPr>
                <w:rFonts w:hint="eastAsia"/>
                <w:color w:val="auto"/>
                <w:sz w:val="24"/>
                <w:highlight w:val="none"/>
                <w:lang w:eastAsia="zh-CN"/>
              </w:rPr>
              <w:t>小东</w:t>
            </w:r>
            <w:r>
              <w:rPr>
                <w:rFonts w:ascii="Times New Roman" w:hAnsi="Times New Roman" w:cs="Times New Roman"/>
                <w:color w:val="auto"/>
                <w:lang w:eastAsia="zh-CN"/>
              </w:rPr>
              <w:t>村，占地面积约9501.36m</w:t>
            </w:r>
            <w:r>
              <w:rPr>
                <w:rFonts w:ascii="Times New Roman" w:hAnsi="Times New Roman" w:cs="Times New Roman"/>
                <w:color w:val="auto"/>
                <w:vertAlign w:val="superscript"/>
                <w:lang w:eastAsia="zh-CN"/>
              </w:rPr>
              <w:t>2</w:t>
            </w:r>
            <w:r>
              <w:rPr>
                <w:rFonts w:ascii="Times New Roman" w:hAnsi="Times New Roman" w:cs="Times New Roman"/>
                <w:color w:val="auto"/>
                <w:lang w:eastAsia="zh-CN"/>
              </w:rPr>
              <w:t>，根据规划本项目位于其收水范围内，抚顺县救兵镇污水处理厂设计污水处理能力为2000m</w:t>
            </w:r>
            <w:r>
              <w:rPr>
                <w:rFonts w:ascii="Times New Roman" w:hAnsi="Times New Roman" w:cs="Times New Roman"/>
                <w:color w:val="auto"/>
                <w:vertAlign w:val="superscript"/>
                <w:lang w:eastAsia="zh-CN"/>
              </w:rPr>
              <w:t>3</w:t>
            </w:r>
            <w:r>
              <w:rPr>
                <w:rFonts w:ascii="Times New Roman" w:hAnsi="Times New Roman" w:cs="Times New Roman"/>
                <w:color w:val="auto"/>
                <w:lang w:eastAsia="zh-CN"/>
              </w:rPr>
              <w:t>/d，目前处理水量</w:t>
            </w:r>
            <w:r>
              <w:rPr>
                <w:rFonts w:hint="eastAsia" w:ascii="Times New Roman" w:hAnsi="Times New Roman" w:cs="Times New Roman"/>
                <w:color w:val="auto"/>
                <w:lang w:eastAsia="zh-CN"/>
              </w:rPr>
              <w:t>约</w:t>
            </w:r>
            <w:r>
              <w:rPr>
                <w:rFonts w:ascii="Times New Roman" w:hAnsi="Times New Roman" w:cs="Times New Roman"/>
                <w:color w:val="auto"/>
                <w:lang w:eastAsia="zh-CN"/>
              </w:rPr>
              <w:t>为1000m</w:t>
            </w:r>
            <w:r>
              <w:rPr>
                <w:rFonts w:ascii="Times New Roman" w:hAnsi="Times New Roman" w:cs="Times New Roman"/>
                <w:color w:val="auto"/>
                <w:vertAlign w:val="superscript"/>
                <w:lang w:eastAsia="zh-CN"/>
              </w:rPr>
              <w:t>3</w:t>
            </w:r>
            <w:r>
              <w:rPr>
                <w:rFonts w:ascii="Times New Roman" w:hAnsi="Times New Roman" w:cs="Times New Roman"/>
                <w:color w:val="auto"/>
                <w:lang w:eastAsia="zh-CN"/>
              </w:rPr>
              <w:t>/d，本项目生活污水排放量为</w:t>
            </w:r>
            <w:r>
              <w:rPr>
                <w:rFonts w:hint="eastAsia" w:ascii="Times New Roman" w:hAnsi="Times New Roman" w:cs="Times New Roman"/>
                <w:color w:val="auto"/>
                <w:lang w:val="en-US" w:eastAsia="zh-CN"/>
              </w:rPr>
              <w:t>422.4</w:t>
            </w:r>
            <w:r>
              <w:rPr>
                <w:rFonts w:ascii="Times New Roman" w:hAnsi="Times New Roman" w:cs="Times New Roman"/>
                <w:color w:val="auto"/>
                <w:lang w:eastAsia="zh-CN"/>
              </w:rPr>
              <w:t>t/a、</w:t>
            </w:r>
            <w:r>
              <w:rPr>
                <w:rFonts w:hint="eastAsia" w:ascii="Times New Roman" w:hAnsi="Times New Roman" w:cs="Times New Roman"/>
                <w:color w:val="auto"/>
                <w:lang w:val="en-US" w:eastAsia="zh-CN"/>
              </w:rPr>
              <w:t>1.28</w:t>
            </w:r>
            <w:r>
              <w:rPr>
                <w:rFonts w:ascii="Times New Roman" w:hAnsi="Times New Roman" w:cs="Times New Roman"/>
                <w:color w:val="auto"/>
                <w:lang w:eastAsia="zh-CN"/>
              </w:rPr>
              <w:t>t/d，本项目污水排放量远小于抚顺县救兵镇污水处理厂剩余余量。</w:t>
            </w:r>
            <w:r>
              <w:rPr>
                <w:rFonts w:hint="eastAsia"/>
                <w:color w:val="auto"/>
                <w:lang w:eastAsia="zh-CN"/>
              </w:rPr>
              <w:t>且项目生活污水</w:t>
            </w:r>
            <w:r>
              <w:rPr>
                <w:rFonts w:hint="eastAsia"/>
                <w:color w:val="auto"/>
                <w:lang w:val="en-US" w:eastAsia="zh-CN"/>
              </w:rPr>
              <w:t>水质满足</w:t>
            </w:r>
            <w:r>
              <w:rPr>
                <w:rFonts w:ascii="Times New Roman" w:hAnsi="Times New Roman" w:cs="Times New Roman"/>
                <w:color w:val="auto"/>
                <w:lang w:eastAsia="zh-CN"/>
              </w:rPr>
              <w:t>《辽宁省污水综合排放标准》（DB21/1627-2008）表2排入城镇污水处理厂的水污染物最高允许排放浓度</w:t>
            </w:r>
            <w:r>
              <w:rPr>
                <w:rFonts w:hint="eastAsia" w:ascii="Times New Roman" w:hAnsi="Times New Roman" w:cs="Times New Roman"/>
                <w:color w:val="auto"/>
                <w:lang w:eastAsia="zh-CN"/>
              </w:rPr>
              <w:t>。</w:t>
            </w:r>
            <w:r>
              <w:rPr>
                <w:rFonts w:hint="eastAsia"/>
                <w:color w:val="auto"/>
                <w:lang w:val="en-US" w:eastAsia="zh-CN"/>
              </w:rPr>
              <w:t>因此，依托可行。</w:t>
            </w:r>
          </w:p>
          <w:p w14:paraId="34FF161E">
            <w:pPr>
              <w:pStyle w:val="75"/>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ascii="Times New Roman" w:hAnsi="Times New Roman" w:cs="Times New Roman"/>
                <w:color w:val="auto"/>
                <w:lang w:eastAsia="zh-CN"/>
              </w:rPr>
            </w:pPr>
            <w:r>
              <w:rPr>
                <w:rFonts w:ascii="Times New Roman" w:hAnsi="Times New Roman" w:cs="Times New Roman"/>
                <w:color w:val="auto"/>
                <w:lang w:eastAsia="zh-CN"/>
              </w:rPr>
              <w:t>根据《抚顺县救兵镇污水处理项目环境影响报告表》及其批复（抚县环审发</w:t>
            </w:r>
            <w:r>
              <w:rPr>
                <w:rFonts w:hint="eastAsia" w:ascii="Times New Roman" w:hAnsi="Times New Roman" w:cs="Times New Roman"/>
                <w:color w:val="auto"/>
                <w:lang w:eastAsia="zh-CN"/>
              </w:rPr>
              <w:t>〔2022〕8号</w:t>
            </w:r>
            <w:r>
              <w:rPr>
                <w:rFonts w:ascii="Times New Roman" w:hAnsi="Times New Roman" w:cs="Times New Roman"/>
                <w:color w:val="auto"/>
                <w:lang w:eastAsia="zh-CN"/>
              </w:rPr>
              <w:t>），抚顺县救兵镇污水处理厂污水处理工艺采用预处理+A</w:t>
            </w:r>
            <w:r>
              <w:rPr>
                <w:rFonts w:ascii="Times New Roman" w:hAnsi="Times New Roman" w:cs="Times New Roman"/>
                <w:color w:val="auto"/>
                <w:vertAlign w:val="superscript"/>
                <w:lang w:eastAsia="zh-CN"/>
              </w:rPr>
              <w:t>2</w:t>
            </w:r>
            <w:r>
              <w:rPr>
                <w:rFonts w:ascii="Times New Roman" w:hAnsi="Times New Roman" w:cs="Times New Roman"/>
                <w:color w:val="auto"/>
                <w:lang w:eastAsia="zh-CN"/>
              </w:rPr>
              <w:t>/O+深度处理工艺，</w:t>
            </w:r>
            <w:r>
              <w:rPr>
                <w:rFonts w:ascii="Times New Roman" w:hAnsi="Times New Roman" w:cs="Times New Roman"/>
                <w:color w:val="auto"/>
              </w:rPr>
              <w:t>出水水质</w:t>
            </w:r>
            <w:r>
              <w:rPr>
                <w:rFonts w:ascii="Times New Roman" w:hAnsi="Times New Roman" w:cs="Times New Roman"/>
                <w:color w:val="auto"/>
                <w:lang w:eastAsia="zh-CN"/>
              </w:rPr>
              <w:t>满足</w:t>
            </w:r>
            <w:r>
              <w:rPr>
                <w:rFonts w:ascii="Times New Roman" w:hAnsi="Times New Roman" w:cs="Times New Roman"/>
                <w:color w:val="auto"/>
              </w:rPr>
              <w:t>《城镇污水处理厂污染物排放标准》（GB18918-2002）中一级A标准，</w:t>
            </w:r>
            <w:r>
              <w:rPr>
                <w:rFonts w:ascii="Times New Roman" w:hAnsi="Times New Roman" w:cs="Times New Roman"/>
                <w:color w:val="auto"/>
                <w:lang w:eastAsia="zh-CN"/>
              </w:rPr>
              <w:t>出水排入东洲河。</w:t>
            </w:r>
          </w:p>
          <w:p w14:paraId="2C14FEFB">
            <w:pPr>
              <w:pStyle w:val="75"/>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ascii="Times New Roman" w:hAnsi="Times New Roman" w:cs="Times New Roman"/>
                <w:color w:val="auto"/>
                <w:lang w:eastAsia="zh-CN"/>
              </w:rPr>
            </w:pPr>
            <w:r>
              <w:rPr>
                <w:rFonts w:ascii="Times New Roman" w:hAnsi="Times New Roman" w:cs="Times New Roman"/>
                <w:color w:val="auto"/>
                <w:lang w:eastAsia="zh-CN"/>
              </w:rPr>
              <w:t>抚顺县救兵镇污水处理厂设计进、出水水质指标详见下表。</w:t>
            </w:r>
          </w:p>
          <w:p w14:paraId="4ACBFC26">
            <w:pPr>
              <w:pStyle w:val="68"/>
              <w:numPr>
                <w:ilvl w:val="0"/>
                <w:numId w:val="19"/>
              </w:numPr>
              <w:spacing w:line="360" w:lineRule="auto"/>
              <w:ind w:left="0" w:leftChars="0" w:firstLine="0" w:firstLineChars="0"/>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  抚顺县救兵镇污水处理厂设计进、出水水质指标  单位：mg/L</w:t>
            </w:r>
          </w:p>
          <w:tbl>
            <w:tblPr>
              <w:tblStyle w:val="25"/>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5"/>
              <w:gridCol w:w="936"/>
              <w:gridCol w:w="823"/>
              <w:gridCol w:w="694"/>
              <w:gridCol w:w="681"/>
              <w:gridCol w:w="950"/>
              <w:gridCol w:w="581"/>
              <w:gridCol w:w="525"/>
              <w:gridCol w:w="2544"/>
            </w:tblGrid>
            <w:tr w14:paraId="29CF31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8" w:type="pct"/>
                  <w:tcBorders>
                    <w:tl2br w:val="nil"/>
                    <w:tr2bl w:val="nil"/>
                  </w:tcBorders>
                  <w:noWrap w:val="0"/>
                  <w:vAlign w:val="center"/>
                </w:tcPr>
                <w:p w14:paraId="3281B38F">
                  <w:pPr>
                    <w:keepNext w:val="0"/>
                    <w:keepLines w:val="0"/>
                    <w:pageBreakBefore w:val="0"/>
                    <w:widowControl w:val="0"/>
                    <w:kinsoku/>
                    <w:wordWrap/>
                    <w:topLinePunct w:val="0"/>
                    <w:autoSpaceDE/>
                    <w:autoSpaceDN/>
                    <w:bidi w:val="0"/>
                    <w:adjustRightInd/>
                    <w:snapToGrid/>
                    <w:spacing w:line="240" w:lineRule="auto"/>
                    <w:jc w:val="center"/>
                    <w:textAlignment w:val="bottom"/>
                    <w:rPr>
                      <w:rFonts w:ascii="Times New Roman" w:hAnsi="Times New Roman" w:eastAsia="宋体" w:cs="Times New Roman"/>
                      <w:color w:val="auto"/>
                      <w:lang w:eastAsia="zh-CN"/>
                    </w:rPr>
                  </w:pPr>
                  <w:r>
                    <w:rPr>
                      <w:rFonts w:ascii="Times New Roman" w:hAnsi="Times New Roman" w:eastAsia="宋体" w:cs="Times New Roman"/>
                      <w:color w:val="auto"/>
                      <w:lang w:eastAsia="zh-CN"/>
                    </w:rPr>
                    <w:t>指标</w:t>
                  </w:r>
                </w:p>
              </w:tc>
              <w:tc>
                <w:tcPr>
                  <w:tcW w:w="553" w:type="pct"/>
                  <w:tcBorders>
                    <w:tl2br w:val="nil"/>
                    <w:tr2bl w:val="nil"/>
                  </w:tcBorders>
                  <w:noWrap w:val="0"/>
                  <w:vAlign w:val="center"/>
                </w:tcPr>
                <w:p w14:paraId="4034AD8C">
                  <w:pPr>
                    <w:keepNext w:val="0"/>
                    <w:keepLines w:val="0"/>
                    <w:pageBreakBefore w:val="0"/>
                    <w:widowControl w:val="0"/>
                    <w:kinsoku/>
                    <w:wordWrap/>
                    <w:topLinePunct w:val="0"/>
                    <w:autoSpaceDE/>
                    <w:autoSpaceDN/>
                    <w:bidi w:val="0"/>
                    <w:adjustRightInd/>
                    <w:snapToGrid/>
                    <w:spacing w:line="240" w:lineRule="auto"/>
                    <w:jc w:val="center"/>
                    <w:textAlignment w:val="bottom"/>
                    <w:rPr>
                      <w:rFonts w:ascii="Times New Roman" w:hAnsi="Times New Roman" w:eastAsia="宋体" w:cs="Times New Roman"/>
                      <w:color w:val="auto"/>
                      <w:lang w:eastAsia="zh-CN"/>
                    </w:rPr>
                  </w:pPr>
                  <w:r>
                    <w:rPr>
                      <w:rFonts w:ascii="Times New Roman" w:hAnsi="Times New Roman" w:eastAsia="宋体" w:cs="Times New Roman"/>
                      <w:color w:val="auto"/>
                      <w:lang w:eastAsia="zh-CN"/>
                    </w:rPr>
                    <w:t>COD</w:t>
                  </w:r>
                  <w:r>
                    <w:rPr>
                      <w:rFonts w:ascii="Times New Roman" w:hAnsi="Times New Roman" w:eastAsia="宋体" w:cs="Times New Roman"/>
                      <w:color w:val="auto"/>
                      <w:vertAlign w:val="subscript"/>
                      <w:lang w:eastAsia="zh-CN"/>
                    </w:rPr>
                    <w:t>Cr</w:t>
                  </w:r>
                </w:p>
              </w:tc>
              <w:tc>
                <w:tcPr>
                  <w:tcW w:w="486" w:type="pct"/>
                  <w:tcBorders>
                    <w:tl2br w:val="nil"/>
                    <w:tr2bl w:val="nil"/>
                  </w:tcBorders>
                  <w:noWrap w:val="0"/>
                  <w:vAlign w:val="center"/>
                </w:tcPr>
                <w:p w14:paraId="44A93B21">
                  <w:pPr>
                    <w:keepNext w:val="0"/>
                    <w:keepLines w:val="0"/>
                    <w:pageBreakBefore w:val="0"/>
                    <w:widowControl w:val="0"/>
                    <w:kinsoku/>
                    <w:wordWrap/>
                    <w:topLinePunct w:val="0"/>
                    <w:autoSpaceDE/>
                    <w:autoSpaceDN/>
                    <w:bidi w:val="0"/>
                    <w:adjustRightInd/>
                    <w:snapToGrid/>
                    <w:spacing w:line="240" w:lineRule="auto"/>
                    <w:jc w:val="center"/>
                    <w:textAlignment w:val="bottom"/>
                    <w:rPr>
                      <w:rFonts w:ascii="Times New Roman" w:hAnsi="Times New Roman" w:eastAsia="宋体" w:cs="Times New Roman"/>
                      <w:color w:val="auto"/>
                      <w:lang w:eastAsia="zh-CN"/>
                    </w:rPr>
                  </w:pPr>
                  <w:r>
                    <w:rPr>
                      <w:rFonts w:ascii="Times New Roman" w:hAnsi="Times New Roman" w:eastAsia="宋体" w:cs="Times New Roman"/>
                      <w:color w:val="auto"/>
                      <w:lang w:eastAsia="zh-CN"/>
                    </w:rPr>
                    <w:t>BOD</w:t>
                  </w:r>
                  <w:r>
                    <w:rPr>
                      <w:rFonts w:ascii="Times New Roman" w:hAnsi="Times New Roman" w:eastAsia="宋体" w:cs="Times New Roman"/>
                      <w:color w:val="auto"/>
                      <w:vertAlign w:val="subscript"/>
                      <w:lang w:eastAsia="zh-CN"/>
                    </w:rPr>
                    <w:t>5</w:t>
                  </w:r>
                </w:p>
              </w:tc>
              <w:tc>
                <w:tcPr>
                  <w:tcW w:w="410" w:type="pct"/>
                  <w:tcBorders>
                    <w:tl2br w:val="nil"/>
                    <w:tr2bl w:val="nil"/>
                  </w:tcBorders>
                  <w:noWrap w:val="0"/>
                  <w:vAlign w:val="center"/>
                </w:tcPr>
                <w:p w14:paraId="1C27714F">
                  <w:pPr>
                    <w:keepNext w:val="0"/>
                    <w:keepLines w:val="0"/>
                    <w:pageBreakBefore w:val="0"/>
                    <w:widowControl w:val="0"/>
                    <w:kinsoku/>
                    <w:wordWrap/>
                    <w:topLinePunct w:val="0"/>
                    <w:autoSpaceDE/>
                    <w:autoSpaceDN/>
                    <w:bidi w:val="0"/>
                    <w:adjustRightInd/>
                    <w:snapToGrid/>
                    <w:spacing w:line="240" w:lineRule="auto"/>
                    <w:jc w:val="center"/>
                    <w:textAlignment w:val="bottom"/>
                    <w:rPr>
                      <w:rFonts w:ascii="Times New Roman" w:hAnsi="Times New Roman" w:eastAsia="宋体" w:cs="Times New Roman"/>
                      <w:color w:val="auto"/>
                      <w:lang w:eastAsia="zh-CN"/>
                    </w:rPr>
                  </w:pPr>
                  <w:r>
                    <w:rPr>
                      <w:rFonts w:ascii="Times New Roman" w:hAnsi="Times New Roman" w:eastAsia="宋体" w:cs="Times New Roman"/>
                      <w:color w:val="auto"/>
                      <w:lang w:eastAsia="zh-CN"/>
                    </w:rPr>
                    <w:t>SS</w:t>
                  </w:r>
                </w:p>
              </w:tc>
              <w:tc>
                <w:tcPr>
                  <w:tcW w:w="402" w:type="pct"/>
                  <w:tcBorders>
                    <w:tl2br w:val="nil"/>
                    <w:tr2bl w:val="nil"/>
                  </w:tcBorders>
                  <w:noWrap w:val="0"/>
                  <w:vAlign w:val="center"/>
                </w:tcPr>
                <w:p w14:paraId="62D1AF93">
                  <w:pPr>
                    <w:keepNext w:val="0"/>
                    <w:keepLines w:val="0"/>
                    <w:pageBreakBefore w:val="0"/>
                    <w:widowControl w:val="0"/>
                    <w:kinsoku/>
                    <w:wordWrap/>
                    <w:topLinePunct w:val="0"/>
                    <w:autoSpaceDE/>
                    <w:autoSpaceDN/>
                    <w:bidi w:val="0"/>
                    <w:adjustRightInd/>
                    <w:snapToGrid/>
                    <w:spacing w:line="240" w:lineRule="auto"/>
                    <w:jc w:val="center"/>
                    <w:textAlignment w:val="bottom"/>
                    <w:rPr>
                      <w:rFonts w:ascii="Times New Roman" w:hAnsi="Times New Roman" w:eastAsia="宋体" w:cs="Times New Roman"/>
                      <w:color w:val="auto"/>
                      <w:lang w:eastAsia="zh-CN"/>
                    </w:rPr>
                  </w:pPr>
                  <w:r>
                    <w:rPr>
                      <w:rFonts w:ascii="Times New Roman" w:hAnsi="Times New Roman" w:eastAsia="宋体" w:cs="Times New Roman"/>
                      <w:color w:val="auto"/>
                      <w:lang w:eastAsia="zh-CN"/>
                    </w:rPr>
                    <w:t>TN</w:t>
                  </w:r>
                </w:p>
              </w:tc>
              <w:tc>
                <w:tcPr>
                  <w:tcW w:w="561" w:type="pct"/>
                  <w:tcBorders>
                    <w:tl2br w:val="nil"/>
                    <w:tr2bl w:val="nil"/>
                  </w:tcBorders>
                  <w:noWrap w:val="0"/>
                  <w:vAlign w:val="center"/>
                </w:tcPr>
                <w:p w14:paraId="7D4D67A5">
                  <w:pPr>
                    <w:keepNext w:val="0"/>
                    <w:keepLines w:val="0"/>
                    <w:pageBreakBefore w:val="0"/>
                    <w:widowControl w:val="0"/>
                    <w:kinsoku/>
                    <w:wordWrap/>
                    <w:topLinePunct w:val="0"/>
                    <w:autoSpaceDE/>
                    <w:autoSpaceDN/>
                    <w:bidi w:val="0"/>
                    <w:adjustRightInd/>
                    <w:snapToGrid/>
                    <w:spacing w:line="240" w:lineRule="auto"/>
                    <w:jc w:val="center"/>
                    <w:textAlignment w:val="bottom"/>
                    <w:rPr>
                      <w:rFonts w:ascii="Times New Roman" w:hAnsi="Times New Roman" w:eastAsia="宋体" w:cs="Times New Roman"/>
                      <w:color w:val="auto"/>
                      <w:lang w:eastAsia="zh-CN"/>
                    </w:rPr>
                  </w:pPr>
                  <w:r>
                    <w:rPr>
                      <w:rFonts w:ascii="Times New Roman" w:hAnsi="Times New Roman" w:eastAsia="宋体" w:cs="Times New Roman"/>
                      <w:color w:val="auto"/>
                      <w:lang w:eastAsia="zh-CN"/>
                    </w:rPr>
                    <w:t>NH</w:t>
                  </w:r>
                  <w:r>
                    <w:rPr>
                      <w:rFonts w:ascii="Times New Roman" w:hAnsi="Times New Roman" w:eastAsia="宋体" w:cs="Times New Roman"/>
                      <w:color w:val="auto"/>
                      <w:vertAlign w:val="subscript"/>
                      <w:lang w:eastAsia="zh-CN"/>
                    </w:rPr>
                    <w:t>3</w:t>
                  </w:r>
                  <w:r>
                    <w:rPr>
                      <w:rFonts w:ascii="Times New Roman" w:hAnsi="Times New Roman" w:eastAsia="宋体" w:cs="Times New Roman"/>
                      <w:color w:val="auto"/>
                      <w:lang w:eastAsia="zh-CN"/>
                    </w:rPr>
                    <w:t>-N</w:t>
                  </w:r>
                </w:p>
              </w:tc>
              <w:tc>
                <w:tcPr>
                  <w:tcW w:w="343" w:type="pct"/>
                  <w:tcBorders>
                    <w:tl2br w:val="nil"/>
                    <w:tr2bl w:val="nil"/>
                  </w:tcBorders>
                  <w:noWrap w:val="0"/>
                  <w:vAlign w:val="center"/>
                </w:tcPr>
                <w:p w14:paraId="0C4D1BC4">
                  <w:pPr>
                    <w:keepNext w:val="0"/>
                    <w:keepLines w:val="0"/>
                    <w:pageBreakBefore w:val="0"/>
                    <w:widowControl w:val="0"/>
                    <w:kinsoku/>
                    <w:wordWrap/>
                    <w:topLinePunct w:val="0"/>
                    <w:autoSpaceDE/>
                    <w:autoSpaceDN/>
                    <w:bidi w:val="0"/>
                    <w:adjustRightInd/>
                    <w:snapToGrid/>
                    <w:spacing w:line="240" w:lineRule="auto"/>
                    <w:jc w:val="center"/>
                    <w:textAlignment w:val="bottom"/>
                    <w:rPr>
                      <w:rFonts w:ascii="Times New Roman" w:hAnsi="Times New Roman" w:eastAsia="宋体" w:cs="Times New Roman"/>
                      <w:color w:val="auto"/>
                      <w:lang w:eastAsia="zh-CN"/>
                    </w:rPr>
                  </w:pPr>
                  <w:r>
                    <w:rPr>
                      <w:rFonts w:ascii="Times New Roman" w:hAnsi="Times New Roman" w:eastAsia="宋体" w:cs="Times New Roman"/>
                      <w:color w:val="auto"/>
                      <w:lang w:eastAsia="zh-CN"/>
                    </w:rPr>
                    <w:t>TP</w:t>
                  </w:r>
                </w:p>
              </w:tc>
              <w:tc>
                <w:tcPr>
                  <w:tcW w:w="310" w:type="pct"/>
                  <w:tcBorders>
                    <w:tl2br w:val="nil"/>
                    <w:tr2bl w:val="nil"/>
                  </w:tcBorders>
                  <w:noWrap w:val="0"/>
                  <w:vAlign w:val="center"/>
                </w:tcPr>
                <w:p w14:paraId="413FC645">
                  <w:pPr>
                    <w:keepNext w:val="0"/>
                    <w:keepLines w:val="0"/>
                    <w:pageBreakBefore w:val="0"/>
                    <w:widowControl w:val="0"/>
                    <w:kinsoku/>
                    <w:wordWrap/>
                    <w:topLinePunct w:val="0"/>
                    <w:autoSpaceDE/>
                    <w:autoSpaceDN/>
                    <w:bidi w:val="0"/>
                    <w:adjustRightInd/>
                    <w:snapToGrid/>
                    <w:spacing w:line="240" w:lineRule="auto"/>
                    <w:jc w:val="center"/>
                    <w:textAlignment w:val="bottom"/>
                    <w:rPr>
                      <w:rFonts w:ascii="Times New Roman" w:hAnsi="Times New Roman" w:eastAsia="宋体" w:cs="Times New Roman"/>
                      <w:color w:val="auto"/>
                      <w:lang w:eastAsia="zh-CN"/>
                    </w:rPr>
                  </w:pPr>
                  <w:r>
                    <w:rPr>
                      <w:rFonts w:ascii="Times New Roman" w:hAnsi="Times New Roman" w:eastAsia="宋体" w:cs="Times New Roman"/>
                      <w:color w:val="auto"/>
                      <w:lang w:eastAsia="zh-CN"/>
                    </w:rPr>
                    <w:t>pH</w:t>
                  </w:r>
                </w:p>
              </w:tc>
              <w:tc>
                <w:tcPr>
                  <w:tcW w:w="1502" w:type="pct"/>
                  <w:tcBorders>
                    <w:tl2br w:val="nil"/>
                    <w:tr2bl w:val="nil"/>
                  </w:tcBorders>
                  <w:noWrap w:val="0"/>
                  <w:vAlign w:val="center"/>
                </w:tcPr>
                <w:p w14:paraId="3A07D09B">
                  <w:pPr>
                    <w:keepNext w:val="0"/>
                    <w:keepLines w:val="0"/>
                    <w:pageBreakBefore w:val="0"/>
                    <w:widowControl w:val="0"/>
                    <w:kinsoku/>
                    <w:wordWrap/>
                    <w:topLinePunct w:val="0"/>
                    <w:autoSpaceDE/>
                    <w:autoSpaceDN/>
                    <w:bidi w:val="0"/>
                    <w:adjustRightInd/>
                    <w:snapToGrid/>
                    <w:spacing w:line="240" w:lineRule="auto"/>
                    <w:jc w:val="center"/>
                    <w:textAlignment w:val="bottom"/>
                    <w:rPr>
                      <w:rFonts w:ascii="Times New Roman" w:hAnsi="Times New Roman" w:eastAsia="宋体" w:cs="Times New Roman"/>
                      <w:color w:val="auto"/>
                      <w:lang w:eastAsia="zh-CN"/>
                    </w:rPr>
                  </w:pPr>
                  <w:r>
                    <w:rPr>
                      <w:rFonts w:ascii="Times New Roman" w:hAnsi="Times New Roman" w:eastAsia="宋体" w:cs="Times New Roman"/>
                      <w:color w:val="auto"/>
                      <w:lang w:eastAsia="zh-CN"/>
                    </w:rPr>
                    <w:t>粪大肠菌群数（个/L）</w:t>
                  </w:r>
                </w:p>
              </w:tc>
            </w:tr>
            <w:tr w14:paraId="3BAA92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8" w:type="pct"/>
                  <w:tcBorders>
                    <w:tl2br w:val="nil"/>
                    <w:tr2bl w:val="nil"/>
                  </w:tcBorders>
                  <w:noWrap w:val="0"/>
                  <w:vAlign w:val="center"/>
                </w:tcPr>
                <w:p w14:paraId="52FE2529">
                  <w:pPr>
                    <w:keepNext w:val="0"/>
                    <w:keepLines w:val="0"/>
                    <w:pageBreakBefore w:val="0"/>
                    <w:widowControl w:val="0"/>
                    <w:kinsoku/>
                    <w:wordWrap/>
                    <w:topLinePunct w:val="0"/>
                    <w:autoSpaceDE/>
                    <w:autoSpaceDN/>
                    <w:bidi w:val="0"/>
                    <w:adjustRightInd/>
                    <w:snapToGrid/>
                    <w:spacing w:line="240" w:lineRule="auto"/>
                    <w:jc w:val="center"/>
                    <w:textAlignment w:val="center"/>
                    <w:rPr>
                      <w:rFonts w:ascii="Times New Roman" w:hAnsi="Times New Roman" w:eastAsia="宋体" w:cs="Times New Roman"/>
                      <w:color w:val="auto"/>
                      <w:lang w:eastAsia="zh-CN"/>
                    </w:rPr>
                  </w:pPr>
                  <w:r>
                    <w:rPr>
                      <w:rFonts w:ascii="Times New Roman" w:hAnsi="Times New Roman" w:eastAsia="宋体" w:cs="Times New Roman"/>
                      <w:color w:val="auto"/>
                      <w:lang w:eastAsia="zh-CN"/>
                    </w:rPr>
                    <w:t>进水</w:t>
                  </w:r>
                </w:p>
              </w:tc>
              <w:tc>
                <w:tcPr>
                  <w:tcW w:w="553" w:type="pct"/>
                  <w:tcBorders>
                    <w:tl2br w:val="nil"/>
                    <w:tr2bl w:val="nil"/>
                  </w:tcBorders>
                  <w:noWrap w:val="0"/>
                  <w:vAlign w:val="center"/>
                </w:tcPr>
                <w:p w14:paraId="75C8F141">
                  <w:pPr>
                    <w:keepNext w:val="0"/>
                    <w:keepLines w:val="0"/>
                    <w:pageBreakBefore w:val="0"/>
                    <w:widowControl w:val="0"/>
                    <w:kinsoku/>
                    <w:wordWrap/>
                    <w:topLinePunct w:val="0"/>
                    <w:autoSpaceDE/>
                    <w:autoSpaceDN/>
                    <w:bidi w:val="0"/>
                    <w:adjustRightInd/>
                    <w:snapToGrid/>
                    <w:spacing w:line="240" w:lineRule="auto"/>
                    <w:jc w:val="center"/>
                    <w:textAlignment w:val="center"/>
                    <w:rPr>
                      <w:rFonts w:ascii="Times New Roman" w:hAnsi="Times New Roman" w:eastAsia="宋体" w:cs="Times New Roman"/>
                      <w:color w:val="auto"/>
                      <w:kern w:val="2"/>
                      <w:lang w:eastAsia="zh-CN"/>
                    </w:rPr>
                  </w:pPr>
                  <w:r>
                    <w:rPr>
                      <w:rFonts w:ascii="Times New Roman" w:hAnsi="Times New Roman" w:eastAsia="宋体" w:cs="Times New Roman"/>
                      <w:color w:val="auto"/>
                      <w:kern w:val="2"/>
                      <w:lang w:eastAsia="zh-CN"/>
                    </w:rPr>
                    <w:t>500</w:t>
                  </w:r>
                </w:p>
              </w:tc>
              <w:tc>
                <w:tcPr>
                  <w:tcW w:w="486" w:type="pct"/>
                  <w:tcBorders>
                    <w:tl2br w:val="nil"/>
                    <w:tr2bl w:val="nil"/>
                  </w:tcBorders>
                  <w:noWrap w:val="0"/>
                  <w:vAlign w:val="center"/>
                </w:tcPr>
                <w:p w14:paraId="4BC4B0A9">
                  <w:pPr>
                    <w:keepNext w:val="0"/>
                    <w:keepLines w:val="0"/>
                    <w:pageBreakBefore w:val="0"/>
                    <w:widowControl w:val="0"/>
                    <w:kinsoku/>
                    <w:wordWrap/>
                    <w:topLinePunct w:val="0"/>
                    <w:autoSpaceDE/>
                    <w:autoSpaceDN/>
                    <w:bidi w:val="0"/>
                    <w:adjustRightInd/>
                    <w:snapToGrid/>
                    <w:spacing w:line="240" w:lineRule="auto"/>
                    <w:jc w:val="center"/>
                    <w:textAlignment w:val="center"/>
                    <w:rPr>
                      <w:rFonts w:ascii="Times New Roman" w:hAnsi="Times New Roman" w:eastAsia="宋体" w:cs="Times New Roman"/>
                      <w:color w:val="auto"/>
                      <w:lang w:eastAsia="zh-CN"/>
                    </w:rPr>
                  </w:pPr>
                  <w:r>
                    <w:rPr>
                      <w:rFonts w:ascii="Times New Roman" w:hAnsi="Times New Roman" w:eastAsia="宋体" w:cs="Times New Roman"/>
                      <w:color w:val="auto"/>
                      <w:lang w:eastAsia="zh-CN"/>
                    </w:rPr>
                    <w:t>250</w:t>
                  </w:r>
                </w:p>
              </w:tc>
              <w:tc>
                <w:tcPr>
                  <w:tcW w:w="410" w:type="pct"/>
                  <w:tcBorders>
                    <w:tl2br w:val="nil"/>
                    <w:tr2bl w:val="nil"/>
                  </w:tcBorders>
                  <w:noWrap w:val="0"/>
                  <w:vAlign w:val="center"/>
                </w:tcPr>
                <w:p w14:paraId="4B2025E3">
                  <w:pPr>
                    <w:keepNext w:val="0"/>
                    <w:keepLines w:val="0"/>
                    <w:pageBreakBefore w:val="0"/>
                    <w:widowControl w:val="0"/>
                    <w:kinsoku/>
                    <w:wordWrap/>
                    <w:topLinePunct w:val="0"/>
                    <w:autoSpaceDE/>
                    <w:autoSpaceDN/>
                    <w:bidi w:val="0"/>
                    <w:adjustRightInd/>
                    <w:snapToGrid/>
                    <w:spacing w:line="240" w:lineRule="auto"/>
                    <w:jc w:val="center"/>
                    <w:textAlignment w:val="center"/>
                    <w:rPr>
                      <w:rFonts w:ascii="Times New Roman" w:hAnsi="Times New Roman" w:eastAsia="宋体" w:cs="Times New Roman"/>
                      <w:color w:val="auto"/>
                      <w:lang w:eastAsia="zh-CN"/>
                    </w:rPr>
                  </w:pPr>
                  <w:r>
                    <w:rPr>
                      <w:rFonts w:ascii="Times New Roman" w:hAnsi="Times New Roman" w:eastAsia="宋体" w:cs="Times New Roman"/>
                      <w:color w:val="auto"/>
                      <w:lang w:eastAsia="zh-CN"/>
                    </w:rPr>
                    <w:t>400</w:t>
                  </w:r>
                </w:p>
              </w:tc>
              <w:tc>
                <w:tcPr>
                  <w:tcW w:w="402" w:type="pct"/>
                  <w:tcBorders>
                    <w:tl2br w:val="nil"/>
                    <w:tr2bl w:val="nil"/>
                  </w:tcBorders>
                  <w:noWrap w:val="0"/>
                  <w:vAlign w:val="center"/>
                </w:tcPr>
                <w:p w14:paraId="4E0694C2">
                  <w:pPr>
                    <w:keepNext w:val="0"/>
                    <w:keepLines w:val="0"/>
                    <w:pageBreakBefore w:val="0"/>
                    <w:widowControl w:val="0"/>
                    <w:kinsoku/>
                    <w:wordWrap/>
                    <w:topLinePunct w:val="0"/>
                    <w:autoSpaceDE/>
                    <w:autoSpaceDN/>
                    <w:bidi w:val="0"/>
                    <w:adjustRightInd/>
                    <w:snapToGrid/>
                    <w:spacing w:line="240" w:lineRule="auto"/>
                    <w:jc w:val="center"/>
                    <w:textAlignment w:val="center"/>
                    <w:rPr>
                      <w:rFonts w:ascii="Times New Roman" w:hAnsi="Times New Roman" w:eastAsia="宋体" w:cs="Times New Roman"/>
                      <w:color w:val="auto"/>
                      <w:lang w:eastAsia="zh-CN"/>
                    </w:rPr>
                  </w:pPr>
                  <w:r>
                    <w:rPr>
                      <w:rFonts w:ascii="Times New Roman" w:hAnsi="Times New Roman" w:eastAsia="宋体" w:cs="Times New Roman"/>
                      <w:color w:val="auto"/>
                      <w:lang w:eastAsia="zh-CN"/>
                    </w:rPr>
                    <w:t>70</w:t>
                  </w:r>
                </w:p>
              </w:tc>
              <w:tc>
                <w:tcPr>
                  <w:tcW w:w="561" w:type="pct"/>
                  <w:tcBorders>
                    <w:tl2br w:val="nil"/>
                    <w:tr2bl w:val="nil"/>
                  </w:tcBorders>
                  <w:noWrap w:val="0"/>
                  <w:vAlign w:val="center"/>
                </w:tcPr>
                <w:p w14:paraId="73DFC487">
                  <w:pPr>
                    <w:keepNext w:val="0"/>
                    <w:keepLines w:val="0"/>
                    <w:pageBreakBefore w:val="0"/>
                    <w:widowControl w:val="0"/>
                    <w:kinsoku/>
                    <w:wordWrap/>
                    <w:topLinePunct w:val="0"/>
                    <w:autoSpaceDE/>
                    <w:autoSpaceDN/>
                    <w:bidi w:val="0"/>
                    <w:adjustRightInd/>
                    <w:snapToGrid/>
                    <w:spacing w:line="240" w:lineRule="auto"/>
                    <w:jc w:val="center"/>
                    <w:textAlignment w:val="center"/>
                    <w:rPr>
                      <w:rFonts w:ascii="Times New Roman" w:hAnsi="Times New Roman" w:eastAsia="宋体" w:cs="Times New Roman"/>
                      <w:color w:val="auto"/>
                      <w:lang w:eastAsia="zh-CN"/>
                    </w:rPr>
                  </w:pPr>
                  <w:r>
                    <w:rPr>
                      <w:rFonts w:ascii="Times New Roman" w:hAnsi="Times New Roman" w:eastAsia="宋体" w:cs="Times New Roman"/>
                      <w:color w:val="auto"/>
                      <w:lang w:eastAsia="zh-CN"/>
                    </w:rPr>
                    <w:t>45</w:t>
                  </w:r>
                </w:p>
              </w:tc>
              <w:tc>
                <w:tcPr>
                  <w:tcW w:w="343" w:type="pct"/>
                  <w:tcBorders>
                    <w:tl2br w:val="nil"/>
                    <w:tr2bl w:val="nil"/>
                  </w:tcBorders>
                  <w:noWrap w:val="0"/>
                  <w:vAlign w:val="center"/>
                </w:tcPr>
                <w:p w14:paraId="31BA6007">
                  <w:pPr>
                    <w:keepNext w:val="0"/>
                    <w:keepLines w:val="0"/>
                    <w:pageBreakBefore w:val="0"/>
                    <w:widowControl w:val="0"/>
                    <w:kinsoku/>
                    <w:wordWrap/>
                    <w:topLinePunct w:val="0"/>
                    <w:autoSpaceDE/>
                    <w:autoSpaceDN/>
                    <w:bidi w:val="0"/>
                    <w:adjustRightInd/>
                    <w:snapToGrid/>
                    <w:spacing w:line="240" w:lineRule="auto"/>
                    <w:jc w:val="center"/>
                    <w:textAlignment w:val="center"/>
                    <w:rPr>
                      <w:rFonts w:ascii="Times New Roman" w:hAnsi="Times New Roman" w:eastAsia="宋体" w:cs="Times New Roman"/>
                      <w:color w:val="auto"/>
                      <w:lang w:eastAsia="zh-CN"/>
                    </w:rPr>
                  </w:pPr>
                  <w:r>
                    <w:rPr>
                      <w:rFonts w:ascii="Times New Roman" w:hAnsi="Times New Roman" w:eastAsia="宋体" w:cs="Times New Roman"/>
                      <w:color w:val="auto"/>
                      <w:lang w:eastAsia="zh-CN"/>
                    </w:rPr>
                    <w:t>5</w:t>
                  </w:r>
                </w:p>
              </w:tc>
              <w:tc>
                <w:tcPr>
                  <w:tcW w:w="310" w:type="pct"/>
                  <w:tcBorders>
                    <w:tl2br w:val="nil"/>
                    <w:tr2bl w:val="nil"/>
                  </w:tcBorders>
                  <w:noWrap w:val="0"/>
                  <w:vAlign w:val="center"/>
                </w:tcPr>
                <w:p w14:paraId="409A623A">
                  <w:pPr>
                    <w:keepNext w:val="0"/>
                    <w:keepLines w:val="0"/>
                    <w:pageBreakBefore w:val="0"/>
                    <w:widowControl w:val="0"/>
                    <w:kinsoku/>
                    <w:wordWrap/>
                    <w:topLinePunct w:val="0"/>
                    <w:autoSpaceDE/>
                    <w:autoSpaceDN/>
                    <w:bidi w:val="0"/>
                    <w:adjustRightInd/>
                    <w:snapToGrid/>
                    <w:spacing w:line="240" w:lineRule="auto"/>
                    <w:jc w:val="center"/>
                    <w:textAlignment w:val="center"/>
                    <w:rPr>
                      <w:rFonts w:ascii="Times New Roman" w:hAnsi="Times New Roman" w:eastAsia="宋体" w:cs="Times New Roman"/>
                      <w:color w:val="auto"/>
                      <w:lang w:eastAsia="zh-CN"/>
                    </w:rPr>
                  </w:pPr>
                  <w:r>
                    <w:rPr>
                      <w:rFonts w:ascii="Times New Roman" w:hAnsi="Times New Roman" w:eastAsia="宋体" w:cs="Times New Roman"/>
                      <w:color w:val="auto"/>
                      <w:lang w:eastAsia="zh-CN"/>
                    </w:rPr>
                    <w:t>6-9</w:t>
                  </w:r>
                </w:p>
              </w:tc>
              <w:tc>
                <w:tcPr>
                  <w:tcW w:w="1502" w:type="pct"/>
                  <w:tcBorders>
                    <w:tl2br w:val="nil"/>
                    <w:tr2bl w:val="nil"/>
                  </w:tcBorders>
                  <w:noWrap w:val="0"/>
                  <w:vAlign w:val="center"/>
                </w:tcPr>
                <w:p w14:paraId="4BA807FE">
                  <w:pPr>
                    <w:keepNext w:val="0"/>
                    <w:keepLines w:val="0"/>
                    <w:pageBreakBefore w:val="0"/>
                    <w:widowControl w:val="0"/>
                    <w:kinsoku/>
                    <w:wordWrap/>
                    <w:topLinePunct w:val="0"/>
                    <w:autoSpaceDE/>
                    <w:autoSpaceDN/>
                    <w:bidi w:val="0"/>
                    <w:adjustRightInd/>
                    <w:snapToGrid/>
                    <w:spacing w:line="240" w:lineRule="auto"/>
                    <w:jc w:val="center"/>
                    <w:textAlignment w:val="center"/>
                    <w:rPr>
                      <w:rFonts w:ascii="Times New Roman" w:hAnsi="Times New Roman" w:eastAsia="宋体" w:cs="Times New Roman"/>
                      <w:color w:val="auto"/>
                      <w:lang w:eastAsia="zh-CN"/>
                    </w:rPr>
                  </w:pPr>
                  <w:r>
                    <w:rPr>
                      <w:rFonts w:ascii="Times New Roman" w:hAnsi="Times New Roman" w:eastAsia="宋体" w:cs="Times New Roman"/>
                      <w:color w:val="auto"/>
                      <w:lang w:eastAsia="zh-CN"/>
                    </w:rPr>
                    <w:t>/</w:t>
                  </w:r>
                </w:p>
              </w:tc>
            </w:tr>
            <w:tr w14:paraId="156568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8" w:type="pct"/>
                  <w:tcBorders>
                    <w:tl2br w:val="nil"/>
                    <w:tr2bl w:val="nil"/>
                  </w:tcBorders>
                  <w:noWrap w:val="0"/>
                  <w:vAlign w:val="center"/>
                </w:tcPr>
                <w:p w14:paraId="444F7756">
                  <w:pPr>
                    <w:pStyle w:val="56"/>
                    <w:keepNext w:val="0"/>
                    <w:keepLines w:val="0"/>
                    <w:pageBreakBefore w:val="0"/>
                    <w:widowControl w:val="0"/>
                    <w:kinsoku/>
                    <w:wordWrap/>
                    <w:overflowPunct w:val="0"/>
                    <w:topLinePunct w:val="0"/>
                    <w:autoSpaceDE/>
                    <w:autoSpaceDN/>
                    <w:bidi w:val="0"/>
                    <w:adjustRightInd/>
                    <w:snapToGrid/>
                    <w:spacing w:line="240" w:lineRule="auto"/>
                    <w:jc w:val="center"/>
                    <w:textAlignment w:val="auto"/>
                    <w:rPr>
                      <w:rFonts w:ascii="Times New Roman" w:hAnsi="Times New Roman" w:cs="Times New Roman"/>
                      <w:color w:val="auto"/>
                      <w:lang w:val="en-US"/>
                    </w:rPr>
                  </w:pPr>
                  <w:r>
                    <w:rPr>
                      <w:rFonts w:ascii="Times New Roman" w:hAnsi="Times New Roman" w:cs="Times New Roman"/>
                      <w:color w:val="auto"/>
                      <w:lang w:val="en-US"/>
                    </w:rPr>
                    <w:t>出水</w:t>
                  </w:r>
                </w:p>
              </w:tc>
              <w:tc>
                <w:tcPr>
                  <w:tcW w:w="553" w:type="pct"/>
                  <w:tcBorders>
                    <w:tl2br w:val="nil"/>
                    <w:tr2bl w:val="nil"/>
                  </w:tcBorders>
                  <w:noWrap w:val="0"/>
                  <w:vAlign w:val="center"/>
                </w:tcPr>
                <w:p w14:paraId="5138B694">
                  <w:pPr>
                    <w:pStyle w:val="56"/>
                    <w:keepNext w:val="0"/>
                    <w:keepLines w:val="0"/>
                    <w:pageBreakBefore w:val="0"/>
                    <w:widowControl w:val="0"/>
                    <w:kinsoku/>
                    <w:wordWrap/>
                    <w:overflowPunct w:val="0"/>
                    <w:topLinePunct w:val="0"/>
                    <w:autoSpaceDE/>
                    <w:autoSpaceDN/>
                    <w:bidi w:val="0"/>
                    <w:adjustRightInd/>
                    <w:snapToGrid/>
                    <w:spacing w:line="240" w:lineRule="auto"/>
                    <w:jc w:val="center"/>
                    <w:textAlignment w:val="auto"/>
                    <w:rPr>
                      <w:rFonts w:ascii="Times New Roman" w:hAnsi="Times New Roman" w:cs="Times New Roman"/>
                      <w:color w:val="auto"/>
                      <w:kern w:val="2"/>
                      <w:lang w:val="en-US" w:bidi="ar-SA"/>
                    </w:rPr>
                  </w:pPr>
                  <w:r>
                    <w:rPr>
                      <w:rFonts w:ascii="Times New Roman" w:hAnsi="Times New Roman" w:cs="Times New Roman"/>
                      <w:color w:val="auto"/>
                      <w:kern w:val="2"/>
                      <w:lang w:val="en-US" w:bidi="ar-SA"/>
                    </w:rPr>
                    <w:t>50</w:t>
                  </w:r>
                </w:p>
              </w:tc>
              <w:tc>
                <w:tcPr>
                  <w:tcW w:w="486" w:type="pct"/>
                  <w:tcBorders>
                    <w:tl2br w:val="nil"/>
                    <w:tr2bl w:val="nil"/>
                  </w:tcBorders>
                  <w:noWrap w:val="0"/>
                  <w:vAlign w:val="center"/>
                </w:tcPr>
                <w:p w14:paraId="22B6D3EA">
                  <w:pPr>
                    <w:pStyle w:val="56"/>
                    <w:keepNext w:val="0"/>
                    <w:keepLines w:val="0"/>
                    <w:pageBreakBefore w:val="0"/>
                    <w:widowControl w:val="0"/>
                    <w:kinsoku/>
                    <w:wordWrap/>
                    <w:overflowPunct w:val="0"/>
                    <w:topLinePunct w:val="0"/>
                    <w:autoSpaceDE/>
                    <w:autoSpaceDN/>
                    <w:bidi w:val="0"/>
                    <w:adjustRightInd/>
                    <w:snapToGrid/>
                    <w:spacing w:line="240" w:lineRule="auto"/>
                    <w:jc w:val="center"/>
                    <w:textAlignment w:val="auto"/>
                    <w:rPr>
                      <w:rFonts w:ascii="Times New Roman" w:hAnsi="Times New Roman" w:cs="Times New Roman"/>
                      <w:color w:val="auto"/>
                      <w:lang w:val="en-US"/>
                    </w:rPr>
                  </w:pPr>
                  <w:r>
                    <w:rPr>
                      <w:rFonts w:ascii="Times New Roman" w:hAnsi="Times New Roman" w:cs="Times New Roman"/>
                      <w:color w:val="auto"/>
                      <w:lang w:val="en-US"/>
                    </w:rPr>
                    <w:t>10</w:t>
                  </w:r>
                </w:p>
              </w:tc>
              <w:tc>
                <w:tcPr>
                  <w:tcW w:w="410" w:type="pct"/>
                  <w:tcBorders>
                    <w:tl2br w:val="nil"/>
                    <w:tr2bl w:val="nil"/>
                  </w:tcBorders>
                  <w:noWrap w:val="0"/>
                  <w:vAlign w:val="center"/>
                </w:tcPr>
                <w:p w14:paraId="38F65F62">
                  <w:pPr>
                    <w:pStyle w:val="56"/>
                    <w:keepNext w:val="0"/>
                    <w:keepLines w:val="0"/>
                    <w:pageBreakBefore w:val="0"/>
                    <w:widowControl w:val="0"/>
                    <w:kinsoku/>
                    <w:wordWrap/>
                    <w:overflowPunct w:val="0"/>
                    <w:topLinePunct w:val="0"/>
                    <w:autoSpaceDE/>
                    <w:autoSpaceDN/>
                    <w:bidi w:val="0"/>
                    <w:adjustRightInd/>
                    <w:snapToGrid/>
                    <w:spacing w:line="240" w:lineRule="auto"/>
                    <w:jc w:val="center"/>
                    <w:textAlignment w:val="auto"/>
                    <w:rPr>
                      <w:rFonts w:ascii="Times New Roman" w:hAnsi="Times New Roman" w:cs="Times New Roman"/>
                      <w:color w:val="auto"/>
                      <w:lang w:val="en-US"/>
                    </w:rPr>
                  </w:pPr>
                  <w:r>
                    <w:rPr>
                      <w:rFonts w:ascii="Times New Roman" w:hAnsi="Times New Roman" w:cs="Times New Roman"/>
                      <w:color w:val="auto"/>
                      <w:lang w:val="en-US"/>
                    </w:rPr>
                    <w:t>10</w:t>
                  </w:r>
                </w:p>
              </w:tc>
              <w:tc>
                <w:tcPr>
                  <w:tcW w:w="402" w:type="pct"/>
                  <w:tcBorders>
                    <w:tl2br w:val="nil"/>
                    <w:tr2bl w:val="nil"/>
                  </w:tcBorders>
                  <w:noWrap w:val="0"/>
                  <w:vAlign w:val="center"/>
                </w:tcPr>
                <w:p w14:paraId="5564122C">
                  <w:pPr>
                    <w:pStyle w:val="56"/>
                    <w:keepNext w:val="0"/>
                    <w:keepLines w:val="0"/>
                    <w:pageBreakBefore w:val="0"/>
                    <w:widowControl w:val="0"/>
                    <w:kinsoku/>
                    <w:wordWrap/>
                    <w:overflowPunct w:val="0"/>
                    <w:topLinePunct w:val="0"/>
                    <w:autoSpaceDE/>
                    <w:autoSpaceDN/>
                    <w:bidi w:val="0"/>
                    <w:adjustRightInd/>
                    <w:snapToGrid/>
                    <w:spacing w:line="240" w:lineRule="auto"/>
                    <w:jc w:val="center"/>
                    <w:textAlignment w:val="auto"/>
                    <w:rPr>
                      <w:rFonts w:ascii="Times New Roman" w:hAnsi="Times New Roman" w:cs="Times New Roman"/>
                      <w:color w:val="auto"/>
                      <w:lang w:val="en-US"/>
                    </w:rPr>
                  </w:pPr>
                  <w:r>
                    <w:rPr>
                      <w:rFonts w:ascii="Times New Roman" w:hAnsi="Times New Roman" w:cs="Times New Roman"/>
                      <w:color w:val="auto"/>
                      <w:lang w:val="en-US"/>
                    </w:rPr>
                    <w:t>15</w:t>
                  </w:r>
                </w:p>
              </w:tc>
              <w:tc>
                <w:tcPr>
                  <w:tcW w:w="561" w:type="pct"/>
                  <w:tcBorders>
                    <w:tl2br w:val="nil"/>
                    <w:tr2bl w:val="nil"/>
                  </w:tcBorders>
                  <w:noWrap w:val="0"/>
                  <w:vAlign w:val="center"/>
                </w:tcPr>
                <w:p w14:paraId="0B2F08EA">
                  <w:pPr>
                    <w:pStyle w:val="56"/>
                    <w:keepNext w:val="0"/>
                    <w:keepLines w:val="0"/>
                    <w:pageBreakBefore w:val="0"/>
                    <w:widowControl w:val="0"/>
                    <w:kinsoku/>
                    <w:wordWrap/>
                    <w:overflowPunct w:val="0"/>
                    <w:topLinePunct w:val="0"/>
                    <w:autoSpaceDE/>
                    <w:autoSpaceDN/>
                    <w:bidi w:val="0"/>
                    <w:adjustRightInd/>
                    <w:snapToGrid/>
                    <w:spacing w:line="240" w:lineRule="auto"/>
                    <w:jc w:val="center"/>
                    <w:textAlignment w:val="auto"/>
                    <w:rPr>
                      <w:rFonts w:ascii="Times New Roman" w:hAnsi="Times New Roman" w:cs="Times New Roman"/>
                      <w:color w:val="auto"/>
                      <w:lang w:val="en-US"/>
                    </w:rPr>
                  </w:pPr>
                  <w:r>
                    <w:rPr>
                      <w:rFonts w:ascii="Times New Roman" w:hAnsi="Times New Roman" w:cs="Times New Roman"/>
                      <w:color w:val="auto"/>
                      <w:lang w:val="en-US"/>
                    </w:rPr>
                    <w:t>5（8）</w:t>
                  </w:r>
                </w:p>
              </w:tc>
              <w:tc>
                <w:tcPr>
                  <w:tcW w:w="343" w:type="pct"/>
                  <w:tcBorders>
                    <w:tl2br w:val="nil"/>
                    <w:tr2bl w:val="nil"/>
                  </w:tcBorders>
                  <w:noWrap w:val="0"/>
                  <w:vAlign w:val="center"/>
                </w:tcPr>
                <w:p w14:paraId="04799950">
                  <w:pPr>
                    <w:pStyle w:val="56"/>
                    <w:keepNext w:val="0"/>
                    <w:keepLines w:val="0"/>
                    <w:pageBreakBefore w:val="0"/>
                    <w:widowControl w:val="0"/>
                    <w:kinsoku/>
                    <w:wordWrap/>
                    <w:overflowPunct w:val="0"/>
                    <w:topLinePunct w:val="0"/>
                    <w:autoSpaceDE/>
                    <w:autoSpaceDN/>
                    <w:bidi w:val="0"/>
                    <w:adjustRightInd/>
                    <w:snapToGrid/>
                    <w:spacing w:line="240" w:lineRule="auto"/>
                    <w:jc w:val="center"/>
                    <w:textAlignment w:val="auto"/>
                    <w:rPr>
                      <w:rFonts w:ascii="Times New Roman" w:hAnsi="Times New Roman" w:cs="Times New Roman"/>
                      <w:color w:val="auto"/>
                      <w:lang w:val="en-US"/>
                    </w:rPr>
                  </w:pPr>
                  <w:r>
                    <w:rPr>
                      <w:rFonts w:ascii="Times New Roman" w:hAnsi="Times New Roman" w:cs="Times New Roman"/>
                      <w:color w:val="auto"/>
                      <w:lang w:val="en-US"/>
                    </w:rPr>
                    <w:t>0.5</w:t>
                  </w:r>
                </w:p>
              </w:tc>
              <w:tc>
                <w:tcPr>
                  <w:tcW w:w="310" w:type="pct"/>
                  <w:tcBorders>
                    <w:tl2br w:val="nil"/>
                    <w:tr2bl w:val="nil"/>
                  </w:tcBorders>
                  <w:noWrap w:val="0"/>
                  <w:vAlign w:val="center"/>
                </w:tcPr>
                <w:p w14:paraId="1FFDBEF1">
                  <w:pPr>
                    <w:pStyle w:val="56"/>
                    <w:keepNext w:val="0"/>
                    <w:keepLines w:val="0"/>
                    <w:pageBreakBefore w:val="0"/>
                    <w:widowControl w:val="0"/>
                    <w:kinsoku/>
                    <w:wordWrap/>
                    <w:overflowPunct w:val="0"/>
                    <w:topLinePunct w:val="0"/>
                    <w:autoSpaceDE/>
                    <w:autoSpaceDN/>
                    <w:bidi w:val="0"/>
                    <w:adjustRightInd/>
                    <w:snapToGrid/>
                    <w:spacing w:line="240" w:lineRule="auto"/>
                    <w:jc w:val="center"/>
                    <w:textAlignment w:val="auto"/>
                    <w:rPr>
                      <w:rFonts w:ascii="Times New Roman" w:hAnsi="Times New Roman" w:cs="Times New Roman"/>
                      <w:color w:val="auto"/>
                      <w:lang w:val="en-US"/>
                    </w:rPr>
                  </w:pPr>
                  <w:r>
                    <w:rPr>
                      <w:rFonts w:ascii="Times New Roman" w:hAnsi="Times New Roman" w:cs="Times New Roman"/>
                      <w:color w:val="auto"/>
                      <w:lang w:val="en-US"/>
                    </w:rPr>
                    <w:t>6-9</w:t>
                  </w:r>
                </w:p>
              </w:tc>
              <w:tc>
                <w:tcPr>
                  <w:tcW w:w="1502" w:type="pct"/>
                  <w:tcBorders>
                    <w:tl2br w:val="nil"/>
                    <w:tr2bl w:val="nil"/>
                  </w:tcBorders>
                  <w:noWrap w:val="0"/>
                  <w:vAlign w:val="center"/>
                </w:tcPr>
                <w:p w14:paraId="7F8D4EC6">
                  <w:pPr>
                    <w:pStyle w:val="56"/>
                    <w:keepNext w:val="0"/>
                    <w:keepLines w:val="0"/>
                    <w:pageBreakBefore w:val="0"/>
                    <w:widowControl w:val="0"/>
                    <w:kinsoku/>
                    <w:wordWrap/>
                    <w:overflowPunct w:val="0"/>
                    <w:topLinePunct w:val="0"/>
                    <w:autoSpaceDE/>
                    <w:autoSpaceDN/>
                    <w:bidi w:val="0"/>
                    <w:adjustRightInd/>
                    <w:snapToGrid/>
                    <w:spacing w:line="240" w:lineRule="auto"/>
                    <w:jc w:val="center"/>
                    <w:textAlignment w:val="auto"/>
                    <w:rPr>
                      <w:rFonts w:ascii="Times New Roman" w:hAnsi="Times New Roman" w:cs="Times New Roman"/>
                      <w:color w:val="auto"/>
                      <w:lang w:val="en-US"/>
                    </w:rPr>
                  </w:pPr>
                  <w:r>
                    <w:rPr>
                      <w:rFonts w:ascii="Times New Roman" w:hAnsi="Times New Roman" w:cs="Times New Roman"/>
                      <w:color w:val="auto"/>
                      <w:lang w:val="en-US"/>
                    </w:rPr>
                    <w:t>10</w:t>
                  </w:r>
                  <w:r>
                    <w:rPr>
                      <w:rFonts w:ascii="Times New Roman" w:hAnsi="Times New Roman" w:cs="Times New Roman"/>
                      <w:color w:val="auto"/>
                      <w:vertAlign w:val="superscript"/>
                      <w:lang w:val="en-US"/>
                    </w:rPr>
                    <w:t>3</w:t>
                  </w:r>
                </w:p>
              </w:tc>
            </w:tr>
          </w:tbl>
          <w:p w14:paraId="451D91EC">
            <w:pPr>
              <w:pStyle w:val="75"/>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ascii="Times New Roman" w:hAnsi="Times New Roman" w:cs="Times New Roman"/>
                <w:color w:val="auto"/>
                <w:lang w:eastAsia="zh-CN"/>
              </w:rPr>
            </w:pPr>
          </w:p>
          <w:p w14:paraId="28D04EF6">
            <w:pPr>
              <w:pStyle w:val="75"/>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ascii="Times New Roman" w:hAnsi="Times New Roman" w:cs="Times New Roman"/>
                <w:color w:val="auto"/>
                <w:lang w:eastAsia="zh-CN"/>
              </w:rPr>
            </w:pPr>
            <w:r>
              <w:rPr>
                <w:rFonts w:ascii="Times New Roman" w:hAnsi="Times New Roman" w:cs="Times New Roman"/>
                <w:color w:val="auto"/>
                <w:lang w:eastAsia="zh-CN"/>
              </w:rPr>
              <w:t>抚顺县救兵镇污水处理厂污水处理工艺如下：</w:t>
            </w:r>
          </w:p>
          <w:p w14:paraId="45B2706E">
            <w:pPr>
              <w:pStyle w:val="75"/>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ascii="Times New Roman" w:hAnsi="Times New Roman" w:cs="Times New Roman"/>
                <w:color w:val="auto"/>
                <w:lang w:eastAsia="zh-CN"/>
              </w:rPr>
            </w:pPr>
            <w:r>
              <w:rPr>
                <w:rFonts w:ascii="Times New Roman" w:hAnsi="Times New Roman" w:cs="Times New Roman"/>
                <w:color w:val="auto"/>
                <w:lang w:eastAsia="zh-CN"/>
              </w:rPr>
              <w:t>①经管网收集来的生活污水通过粗格栅，除去较大的杂物，从而起到保护后续设备的作用。</w:t>
            </w:r>
          </w:p>
          <w:p w14:paraId="6BD01BEA">
            <w:pPr>
              <w:pStyle w:val="75"/>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ascii="Times New Roman" w:hAnsi="Times New Roman" w:cs="Times New Roman"/>
                <w:color w:val="auto"/>
                <w:lang w:eastAsia="zh-CN"/>
              </w:rPr>
            </w:pPr>
            <w:r>
              <w:rPr>
                <w:rFonts w:ascii="Times New Roman" w:hAnsi="Times New Roman" w:cs="Times New Roman"/>
                <w:color w:val="auto"/>
                <w:lang w:eastAsia="zh-CN"/>
              </w:rPr>
              <w:t>②经过格栅后进入提升泵房，并用潜污泵将污水提升进入细格栅曝气沉砂池进一步去除细小颗粒物，除去细小颗粒物的污水和回流污泥进入改良型A</w:t>
            </w:r>
            <w:r>
              <w:rPr>
                <w:rFonts w:hint="eastAsia" w:ascii="Times New Roman" w:hAnsi="Times New Roman" w:cs="Times New Roman"/>
                <w:color w:val="auto"/>
                <w:vertAlign w:val="superscript"/>
                <w:lang w:val="en-US" w:eastAsia="zh-CN"/>
              </w:rPr>
              <w:t>2</w:t>
            </w:r>
            <w:r>
              <w:rPr>
                <w:rFonts w:ascii="Times New Roman" w:hAnsi="Times New Roman" w:cs="Times New Roman"/>
                <w:color w:val="auto"/>
                <w:lang w:eastAsia="zh-CN"/>
              </w:rPr>
              <w:t>/</w:t>
            </w:r>
            <w:r>
              <w:rPr>
                <w:rFonts w:hint="eastAsia" w:ascii="Times New Roman" w:hAnsi="Times New Roman" w:cs="Times New Roman"/>
                <w:color w:val="auto"/>
                <w:lang w:val="en-US" w:eastAsia="zh-CN"/>
              </w:rPr>
              <w:t>O</w:t>
            </w:r>
            <w:r>
              <w:rPr>
                <w:rFonts w:ascii="Times New Roman" w:hAnsi="Times New Roman" w:cs="Times New Roman"/>
                <w:color w:val="auto"/>
                <w:lang w:eastAsia="zh-CN"/>
              </w:rPr>
              <w:t>生化池的预缺氧区，停留时间为20</w:t>
            </w:r>
            <w:r>
              <w:rPr>
                <w:rFonts w:hint="eastAsia" w:ascii="Times New Roman" w:hAnsi="Times New Roman" w:cs="Times New Roman"/>
                <w:color w:val="auto"/>
                <w:lang w:eastAsia="zh-CN"/>
              </w:rPr>
              <w:t>～</w:t>
            </w:r>
            <w:r>
              <w:rPr>
                <w:rFonts w:ascii="Times New Roman" w:hAnsi="Times New Roman" w:cs="Times New Roman"/>
                <w:color w:val="auto"/>
                <w:lang w:eastAsia="zh-CN"/>
              </w:rPr>
              <w:t>30min，微生物利用约10%进水中的有机物去除回流污泥中的硝态氮，消除硝态氮对厌氧池的不利影响，从而保证厌氧池的稳定性。随后进入厌氧区、缺氧区，有机物分别被聚磷菌和反硝化细菌利用后浓度已很低，有利于自养的硝化菌的生长繁殖，接着进入好氧区。污水在流经三个不同功能分区的过程中，在不同微生物菌群作用下，使污水中的有机物、氮和磷得到去除。</w:t>
            </w:r>
          </w:p>
          <w:p w14:paraId="406D0EA3">
            <w:pPr>
              <w:pStyle w:val="75"/>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ascii="Times New Roman" w:hAnsi="Times New Roman" w:cs="Times New Roman"/>
                <w:color w:val="auto"/>
                <w:lang w:eastAsia="zh-CN"/>
              </w:rPr>
            </w:pPr>
            <w:r>
              <w:rPr>
                <w:rFonts w:ascii="Times New Roman" w:hAnsi="Times New Roman" w:cs="Times New Roman"/>
                <w:color w:val="auto"/>
                <w:lang w:eastAsia="zh-CN"/>
              </w:rPr>
              <w:t>③改良型A</w:t>
            </w:r>
            <w:r>
              <w:rPr>
                <w:rFonts w:hint="eastAsia" w:ascii="Times New Roman" w:hAnsi="Times New Roman" w:cs="Times New Roman"/>
                <w:color w:val="auto"/>
                <w:vertAlign w:val="superscript"/>
                <w:lang w:val="en-US" w:eastAsia="zh-CN"/>
              </w:rPr>
              <w:t>2</w:t>
            </w:r>
            <w:r>
              <w:rPr>
                <w:rFonts w:ascii="Times New Roman" w:hAnsi="Times New Roman" w:cs="Times New Roman"/>
                <w:color w:val="auto"/>
                <w:lang w:eastAsia="zh-CN"/>
              </w:rPr>
              <w:t>/</w:t>
            </w:r>
            <w:r>
              <w:rPr>
                <w:rFonts w:hint="eastAsia" w:ascii="Times New Roman" w:hAnsi="Times New Roman" w:cs="Times New Roman"/>
                <w:color w:val="auto"/>
                <w:lang w:val="en-US" w:eastAsia="zh-CN"/>
              </w:rPr>
              <w:t>O</w:t>
            </w:r>
            <w:r>
              <w:rPr>
                <w:rFonts w:ascii="Times New Roman" w:hAnsi="Times New Roman" w:cs="Times New Roman"/>
                <w:color w:val="auto"/>
                <w:lang w:eastAsia="zh-CN"/>
              </w:rPr>
              <w:t>生化池出水，随后进入二沉池，二沉池污泥进入回流泵房，部分回流至预缺氧区，剩余污泥进入污泥脱水机房，采用机械浓缩脱水后外运。</w:t>
            </w:r>
          </w:p>
          <w:p w14:paraId="05F3D208">
            <w:pPr>
              <w:pStyle w:val="75"/>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ascii="Times New Roman" w:hAnsi="Times New Roman" w:cs="Times New Roman"/>
                <w:color w:val="auto"/>
                <w:lang w:eastAsia="zh-CN"/>
              </w:rPr>
            </w:pPr>
            <w:r>
              <w:rPr>
                <w:rFonts w:ascii="Times New Roman" w:hAnsi="Times New Roman" w:cs="Times New Roman"/>
                <w:color w:val="auto"/>
                <w:lang w:eastAsia="zh-CN"/>
              </w:rPr>
              <w:t>④二沉池出水进入高密度沉淀池，经混凝池、絮凝反应区、沉淀区后，进入纤维转盘滤池，出水进入接触池通过离子除臭消毒后排入东洲河。</w:t>
            </w:r>
          </w:p>
          <w:p w14:paraId="7FA012B9">
            <w:pPr>
              <w:pStyle w:val="75"/>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ascii="Times New Roman" w:hAnsi="Times New Roman" w:cs="Times New Roman"/>
                <w:color w:val="auto"/>
                <w:lang w:eastAsia="zh-CN"/>
              </w:rPr>
            </w:pPr>
            <w:r>
              <w:rPr>
                <w:rFonts w:ascii="Times New Roman" w:hAnsi="Times New Roman" w:cs="Times New Roman"/>
                <w:color w:val="auto"/>
                <w:lang w:eastAsia="zh-CN"/>
              </w:rPr>
              <w:t>工艺流程见下图。</w:t>
            </w:r>
          </w:p>
          <w:p w14:paraId="2F63A13E">
            <w:pPr>
              <w:pStyle w:val="75"/>
              <w:spacing w:beforeLines="50" w:line="360" w:lineRule="auto"/>
              <w:jc w:val="center"/>
              <w:rPr>
                <w:rFonts w:ascii="Times New Roman" w:hAnsi="Times New Roman" w:cs="Times New Roman"/>
                <w:color w:val="auto"/>
                <w:lang w:eastAsia="zh-CN"/>
              </w:rPr>
            </w:pPr>
            <w:r>
              <w:rPr>
                <w:rFonts w:ascii="Times New Roman" w:hAnsi="Times New Roman" w:cs="Times New Roman"/>
                <w:color w:val="auto"/>
                <w:lang w:eastAsia="zh-CN"/>
              </w:rPr>
              <w:drawing>
                <wp:inline distT="0" distB="0" distL="114300" distR="114300">
                  <wp:extent cx="2736850" cy="4544060"/>
                  <wp:effectExtent l="12700" t="12700" r="12700" b="15240"/>
                  <wp:docPr id="6" name="图片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348"/>
                          <pic:cNvPicPr>
                            <a:picLocks noChangeAspect="1"/>
                          </pic:cNvPicPr>
                        </pic:nvPicPr>
                        <pic:blipFill>
                          <a:blip r:embed="rId18"/>
                          <a:stretch>
                            <a:fillRect/>
                          </a:stretch>
                        </pic:blipFill>
                        <pic:spPr>
                          <a:xfrm>
                            <a:off x="0" y="0"/>
                            <a:ext cx="2736850" cy="4544060"/>
                          </a:xfrm>
                          <a:prstGeom prst="rect">
                            <a:avLst/>
                          </a:prstGeom>
                          <a:noFill/>
                          <a:ln w="12700" cap="flat" cmpd="sng">
                            <a:solidFill>
                              <a:srgbClr val="000000"/>
                            </a:solidFill>
                            <a:prstDash val="solid"/>
                            <a:round/>
                            <a:headEnd type="none" w="med" len="med"/>
                            <a:tailEnd type="none" w="med" len="med"/>
                          </a:ln>
                        </pic:spPr>
                      </pic:pic>
                    </a:graphicData>
                  </a:graphic>
                </wp:inline>
              </w:drawing>
            </w:r>
          </w:p>
          <w:p w14:paraId="10164758">
            <w:pPr>
              <w:pStyle w:val="75"/>
              <w:numPr>
                <w:ilvl w:val="0"/>
                <w:numId w:val="21"/>
              </w:numPr>
              <w:ind w:left="0" w:leftChars="0" w:firstLine="0" w:firstLineChars="0"/>
              <w:jc w:val="center"/>
              <w:rPr>
                <w:rFonts w:hint="eastAsia"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 xml:space="preserve">  抚顺县救兵镇污水处理厂工艺流程图</w:t>
            </w:r>
          </w:p>
          <w:p w14:paraId="67EE7944">
            <w:pPr>
              <w:pStyle w:val="59"/>
              <w:keepNext w:val="0"/>
              <w:keepLines w:val="0"/>
              <w:pageBreakBefore w:val="0"/>
              <w:widowControl w:val="0"/>
              <w:kinsoku/>
              <w:wordWrap/>
              <w:overflowPunct/>
              <w:topLinePunct w:val="0"/>
              <w:autoSpaceDE/>
              <w:autoSpaceDN/>
              <w:bidi w:val="0"/>
              <w:adjustRightInd/>
              <w:snapToGrid/>
              <w:ind w:left="0" w:leftChars="0" w:firstLine="480" w:firstLineChars="200"/>
              <w:textAlignment w:val="auto"/>
              <w:rPr>
                <w:rFonts w:hint="default" w:ascii="Times New Roman" w:hAnsi="Times New Roman" w:cs="Times New Roman"/>
                <w:bCs/>
                <w:color w:val="auto"/>
                <w:sz w:val="24"/>
                <w:szCs w:val="24"/>
              </w:rPr>
            </w:pPr>
            <w:r>
              <w:rPr>
                <w:rFonts w:ascii="Times New Roman" w:hAnsi="Times New Roman" w:cs="Times New Roman"/>
                <w:color w:val="auto"/>
                <w:sz w:val="24"/>
                <w:szCs w:val="24"/>
                <w:lang w:eastAsia="zh-CN"/>
              </w:rPr>
              <w:t>本项目废水排水仅为生活污水，成分比较简单，不会对抚顺县救兵镇污水处理厂进水负荷和处理水质产生冲击。综上所述，本项目依托抚顺县救兵镇污水处理厂可行。</w:t>
            </w:r>
          </w:p>
          <w:p w14:paraId="17481A2F">
            <w:pPr>
              <w:pStyle w:val="62"/>
              <w:rPr>
                <w:color w:val="auto"/>
                <w:highlight w:val="none"/>
              </w:rPr>
            </w:pPr>
            <w:r>
              <w:rPr>
                <w:rFonts w:hint="eastAsia"/>
                <w:color w:val="auto"/>
                <w:highlight w:val="none"/>
              </w:rPr>
              <w:t>3、声环境影响分析及污染防治措施</w:t>
            </w:r>
          </w:p>
          <w:p w14:paraId="5B20AF27">
            <w:pPr>
              <w:adjustRightInd w:val="0"/>
              <w:snapToGrid w:val="0"/>
              <w:spacing w:line="360" w:lineRule="auto"/>
              <w:ind w:firstLine="482" w:firstLineChars="200"/>
              <w:rPr>
                <w:rFonts w:hint="eastAsia" w:ascii="宋体" w:hAnsi="宋体"/>
                <w:bCs/>
                <w:color w:val="auto"/>
                <w:sz w:val="24"/>
                <w:highlight w:val="none"/>
              </w:rPr>
            </w:pPr>
            <w:r>
              <w:rPr>
                <w:b/>
                <w:bCs/>
                <w:color w:val="auto"/>
                <w:sz w:val="24"/>
              </w:rPr>
              <w:t>（1）本项目噪声污染及防治措施</w:t>
            </w:r>
          </w:p>
          <w:p w14:paraId="5A7AAF3C">
            <w:pPr>
              <w:adjustRightInd w:val="0"/>
              <w:snapToGrid w:val="0"/>
              <w:ind w:firstLine="482"/>
              <w:rPr>
                <w:rFonts w:hint="eastAsia" w:ascii="宋体" w:hAnsi="宋体"/>
                <w:bCs/>
                <w:color w:val="auto"/>
                <w:sz w:val="24"/>
                <w:highlight w:val="none"/>
              </w:rPr>
            </w:pPr>
            <w:r>
              <w:rPr>
                <w:rFonts w:hint="eastAsia" w:ascii="宋体" w:hAnsi="宋体"/>
                <w:bCs/>
                <w:color w:val="auto"/>
                <w:sz w:val="24"/>
                <w:highlight w:val="none"/>
              </w:rPr>
              <w:t>本项目</w:t>
            </w:r>
            <w:r>
              <w:rPr>
                <w:rFonts w:hint="eastAsia" w:ascii="宋体" w:hAnsi="宋体"/>
                <w:bCs/>
                <w:color w:val="auto"/>
                <w:sz w:val="24"/>
                <w:highlight w:val="none"/>
                <w:lang w:eastAsia="zh-CN"/>
              </w:rPr>
              <w:t>噪声主要来自设备、风机等产生的噪声。</w:t>
            </w:r>
            <w:r>
              <w:rPr>
                <w:rFonts w:ascii="宋体" w:hAnsi="宋体"/>
                <w:bCs/>
                <w:color w:val="auto"/>
                <w:sz w:val="24"/>
                <w:highlight w:val="none"/>
              </w:rPr>
              <w:t>主要噪声污染源强见</w:t>
            </w:r>
            <w:r>
              <w:rPr>
                <w:rFonts w:hint="eastAsia" w:ascii="宋体" w:hAnsi="宋体"/>
                <w:bCs/>
                <w:color w:val="auto"/>
                <w:sz w:val="24"/>
                <w:highlight w:val="none"/>
              </w:rPr>
              <w:t>下</w:t>
            </w:r>
            <w:r>
              <w:rPr>
                <w:rFonts w:hint="eastAsia" w:ascii="宋体" w:hAnsi="宋体"/>
                <w:bCs/>
                <w:color w:val="auto"/>
                <w:sz w:val="24"/>
                <w:highlight w:val="none"/>
                <w:lang w:eastAsia="zh-CN"/>
              </w:rPr>
              <w:t>表</w:t>
            </w:r>
            <w:r>
              <w:rPr>
                <w:rFonts w:hint="eastAsia" w:ascii="宋体" w:hAnsi="宋体"/>
                <w:bCs/>
                <w:color w:val="auto"/>
                <w:sz w:val="24"/>
                <w:highlight w:val="none"/>
              </w:rPr>
              <w:t>。</w:t>
            </w:r>
          </w:p>
          <w:p w14:paraId="2863CD70">
            <w:pPr>
              <w:pStyle w:val="68"/>
              <w:numPr>
                <w:ilvl w:val="0"/>
                <w:numId w:val="19"/>
              </w:numPr>
              <w:spacing w:line="360" w:lineRule="auto"/>
              <w:ind w:left="0" w:leftChars="0" w:firstLine="0" w:firstLineChars="0"/>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  本项目新增噪声源强调查清单 （室内声源）</w:t>
            </w:r>
          </w:p>
          <w:tbl>
            <w:tblPr>
              <w:tblStyle w:val="25"/>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317"/>
              <w:gridCol w:w="472"/>
              <w:gridCol w:w="665"/>
              <w:gridCol w:w="619"/>
              <w:gridCol w:w="629"/>
              <w:gridCol w:w="664"/>
              <w:gridCol w:w="655"/>
              <w:gridCol w:w="595"/>
              <w:gridCol w:w="427"/>
              <w:gridCol w:w="510"/>
              <w:gridCol w:w="549"/>
              <w:gridCol w:w="464"/>
              <w:gridCol w:w="603"/>
              <w:gridCol w:w="688"/>
              <w:gridCol w:w="599"/>
            </w:tblGrid>
            <w:tr w14:paraId="6C4B77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17" w:type="dxa"/>
                  <w:vMerge w:val="restart"/>
                  <w:noWrap w:val="0"/>
                  <w:textDirection w:val="tbRlV"/>
                  <w:vAlign w:val="center"/>
                </w:tcPr>
                <w:p w14:paraId="66D6FD12">
                  <w:pPr>
                    <w:spacing w:line="240" w:lineRule="auto"/>
                    <w:jc w:val="center"/>
                    <w:rPr>
                      <w:color w:val="auto"/>
                      <w:sz w:val="18"/>
                      <w:szCs w:val="18"/>
                      <w:highlight w:val="none"/>
                    </w:rPr>
                  </w:pPr>
                  <w:r>
                    <w:rPr>
                      <w:color w:val="auto"/>
                      <w:spacing w:val="-4"/>
                      <w:sz w:val="18"/>
                      <w:szCs w:val="18"/>
                      <w:highlight w:val="none"/>
                    </w:rPr>
                    <w:t>序 号</w:t>
                  </w:r>
                </w:p>
              </w:tc>
              <w:tc>
                <w:tcPr>
                  <w:tcW w:w="472" w:type="dxa"/>
                  <w:vMerge w:val="restart"/>
                  <w:noWrap w:val="0"/>
                  <w:vAlign w:val="center"/>
                </w:tcPr>
                <w:p w14:paraId="346ED273">
                  <w:pPr>
                    <w:spacing w:line="240" w:lineRule="auto"/>
                    <w:jc w:val="center"/>
                    <w:rPr>
                      <w:color w:val="auto"/>
                      <w:sz w:val="18"/>
                      <w:szCs w:val="18"/>
                      <w:highlight w:val="none"/>
                    </w:rPr>
                  </w:pPr>
                  <w:r>
                    <w:rPr>
                      <w:color w:val="auto"/>
                      <w:spacing w:val="7"/>
                      <w:sz w:val="18"/>
                      <w:szCs w:val="18"/>
                      <w:highlight w:val="none"/>
                    </w:rPr>
                    <w:t>建筑</w:t>
                  </w:r>
                  <w:r>
                    <w:rPr>
                      <w:color w:val="auto"/>
                      <w:spacing w:val="6"/>
                      <w:sz w:val="18"/>
                      <w:szCs w:val="18"/>
                      <w:highlight w:val="none"/>
                    </w:rPr>
                    <w:t>物</w:t>
                  </w:r>
                  <w:r>
                    <w:rPr>
                      <w:color w:val="auto"/>
                      <w:spacing w:val="5"/>
                      <w:sz w:val="18"/>
                      <w:szCs w:val="18"/>
                      <w:highlight w:val="none"/>
                    </w:rPr>
                    <w:t>名称</w:t>
                  </w:r>
                </w:p>
              </w:tc>
              <w:tc>
                <w:tcPr>
                  <w:tcW w:w="666" w:type="dxa"/>
                  <w:vMerge w:val="restart"/>
                  <w:noWrap w:val="0"/>
                  <w:vAlign w:val="center"/>
                </w:tcPr>
                <w:p w14:paraId="367D76ED">
                  <w:pPr>
                    <w:spacing w:line="240" w:lineRule="auto"/>
                    <w:jc w:val="center"/>
                    <w:rPr>
                      <w:color w:val="auto"/>
                      <w:spacing w:val="7"/>
                      <w:sz w:val="18"/>
                      <w:szCs w:val="18"/>
                      <w:highlight w:val="none"/>
                    </w:rPr>
                  </w:pPr>
                  <w:r>
                    <w:rPr>
                      <w:color w:val="auto"/>
                      <w:spacing w:val="8"/>
                      <w:sz w:val="18"/>
                      <w:szCs w:val="18"/>
                      <w:highlight w:val="none"/>
                    </w:rPr>
                    <w:t>声</w:t>
                  </w:r>
                  <w:r>
                    <w:rPr>
                      <w:color w:val="auto"/>
                      <w:spacing w:val="7"/>
                      <w:sz w:val="18"/>
                      <w:szCs w:val="18"/>
                      <w:highlight w:val="none"/>
                    </w:rPr>
                    <w:t>源</w:t>
                  </w:r>
                </w:p>
                <w:p w14:paraId="72F7990B">
                  <w:pPr>
                    <w:spacing w:line="240" w:lineRule="auto"/>
                    <w:jc w:val="center"/>
                    <w:rPr>
                      <w:color w:val="auto"/>
                      <w:sz w:val="18"/>
                      <w:szCs w:val="18"/>
                      <w:highlight w:val="none"/>
                    </w:rPr>
                  </w:pPr>
                  <w:r>
                    <w:rPr>
                      <w:color w:val="auto"/>
                      <w:spacing w:val="7"/>
                      <w:sz w:val="18"/>
                      <w:szCs w:val="18"/>
                      <w:highlight w:val="none"/>
                    </w:rPr>
                    <w:t>名称</w:t>
                  </w:r>
                </w:p>
              </w:tc>
              <w:tc>
                <w:tcPr>
                  <w:tcW w:w="620" w:type="dxa"/>
                  <w:vMerge w:val="restart"/>
                  <w:noWrap w:val="0"/>
                  <w:vAlign w:val="center"/>
                </w:tcPr>
                <w:p w14:paraId="25F33672">
                  <w:pPr>
                    <w:spacing w:line="240" w:lineRule="auto"/>
                    <w:jc w:val="center"/>
                    <w:rPr>
                      <w:rFonts w:hint="eastAsia"/>
                      <w:color w:val="auto"/>
                      <w:spacing w:val="7"/>
                      <w:sz w:val="18"/>
                      <w:szCs w:val="18"/>
                      <w:highlight w:val="none"/>
                    </w:rPr>
                  </w:pPr>
                  <w:r>
                    <w:rPr>
                      <w:rFonts w:hint="eastAsia"/>
                      <w:color w:val="auto"/>
                      <w:spacing w:val="7"/>
                      <w:sz w:val="18"/>
                      <w:szCs w:val="18"/>
                      <w:highlight w:val="none"/>
                    </w:rPr>
                    <w:t>数量（台/套）</w:t>
                  </w:r>
                </w:p>
              </w:tc>
              <w:tc>
                <w:tcPr>
                  <w:tcW w:w="630" w:type="dxa"/>
                  <w:vMerge w:val="restart"/>
                  <w:noWrap w:val="0"/>
                  <w:vAlign w:val="center"/>
                </w:tcPr>
                <w:p w14:paraId="161399BD">
                  <w:pPr>
                    <w:tabs>
                      <w:tab w:val="left" w:pos="266"/>
                    </w:tabs>
                    <w:spacing w:line="240" w:lineRule="auto"/>
                    <w:jc w:val="center"/>
                    <w:rPr>
                      <w:color w:val="auto"/>
                      <w:sz w:val="18"/>
                      <w:szCs w:val="18"/>
                      <w:highlight w:val="none"/>
                    </w:rPr>
                  </w:pPr>
                  <w:r>
                    <w:rPr>
                      <w:color w:val="auto"/>
                      <w:spacing w:val="8"/>
                      <w:sz w:val="18"/>
                      <w:szCs w:val="18"/>
                      <w:highlight w:val="none"/>
                    </w:rPr>
                    <w:t>声</w:t>
                  </w:r>
                  <w:r>
                    <w:rPr>
                      <w:color w:val="auto"/>
                      <w:spacing w:val="7"/>
                      <w:sz w:val="18"/>
                      <w:szCs w:val="18"/>
                      <w:highlight w:val="none"/>
                    </w:rPr>
                    <w:t>源源强</w:t>
                  </w:r>
                  <w:r>
                    <w:rPr>
                      <w:rFonts w:hint="eastAsia"/>
                      <w:color w:val="auto"/>
                      <w:spacing w:val="26"/>
                      <w:sz w:val="18"/>
                      <w:szCs w:val="18"/>
                      <w:highlight w:val="none"/>
                      <w:lang w:eastAsia="zh-CN"/>
                    </w:rPr>
                    <w:t>（</w:t>
                  </w:r>
                  <w:r>
                    <w:rPr>
                      <w:color w:val="auto"/>
                      <w:spacing w:val="26"/>
                      <w:sz w:val="18"/>
                      <w:szCs w:val="18"/>
                      <w:highlight w:val="none"/>
                    </w:rPr>
                    <w:t>声</w:t>
                  </w:r>
                  <w:r>
                    <w:rPr>
                      <w:rFonts w:hint="eastAsia"/>
                      <w:color w:val="auto"/>
                      <w:spacing w:val="26"/>
                      <w:sz w:val="18"/>
                      <w:szCs w:val="18"/>
                      <w:highlight w:val="none"/>
                      <w:lang w:eastAsia="zh-CN"/>
                    </w:rPr>
                    <w:t>压</w:t>
                  </w:r>
                  <w:r>
                    <w:rPr>
                      <w:color w:val="auto"/>
                      <w:spacing w:val="26"/>
                      <w:sz w:val="18"/>
                      <w:szCs w:val="18"/>
                      <w:highlight w:val="none"/>
                    </w:rPr>
                    <w:t>级</w:t>
                  </w:r>
                  <w:r>
                    <w:rPr>
                      <w:color w:val="auto"/>
                      <w:sz w:val="18"/>
                      <w:szCs w:val="18"/>
                      <w:highlight w:val="none"/>
                    </w:rPr>
                    <w:t>dB</w:t>
                  </w:r>
                </w:p>
                <w:p w14:paraId="12E8CDB7">
                  <w:pPr>
                    <w:tabs>
                      <w:tab w:val="left" w:pos="266"/>
                    </w:tabs>
                    <w:spacing w:line="240" w:lineRule="auto"/>
                    <w:jc w:val="center"/>
                    <w:rPr>
                      <w:color w:val="auto"/>
                      <w:sz w:val="18"/>
                      <w:szCs w:val="18"/>
                      <w:highlight w:val="none"/>
                    </w:rPr>
                  </w:pPr>
                  <w:r>
                    <w:rPr>
                      <w:color w:val="auto"/>
                      <w:spacing w:val="6"/>
                      <w:sz w:val="18"/>
                      <w:szCs w:val="18"/>
                      <w:highlight w:val="none"/>
                    </w:rPr>
                    <w:t>(</w:t>
                  </w:r>
                  <w:r>
                    <w:rPr>
                      <w:color w:val="auto"/>
                      <w:sz w:val="18"/>
                      <w:szCs w:val="18"/>
                      <w:highlight w:val="none"/>
                    </w:rPr>
                    <w:t>A</w:t>
                  </w:r>
                  <w:r>
                    <w:rPr>
                      <w:color w:val="auto"/>
                      <w:spacing w:val="6"/>
                      <w:sz w:val="18"/>
                      <w:szCs w:val="18"/>
                      <w:highlight w:val="none"/>
                    </w:rPr>
                    <w:t>))</w:t>
                  </w:r>
                </w:p>
              </w:tc>
              <w:tc>
                <w:tcPr>
                  <w:tcW w:w="665" w:type="dxa"/>
                  <w:vMerge w:val="restart"/>
                  <w:noWrap w:val="0"/>
                  <w:vAlign w:val="center"/>
                </w:tcPr>
                <w:p w14:paraId="385F2552">
                  <w:pPr>
                    <w:spacing w:line="240" w:lineRule="auto"/>
                    <w:jc w:val="center"/>
                    <w:rPr>
                      <w:color w:val="auto"/>
                      <w:sz w:val="18"/>
                      <w:szCs w:val="18"/>
                      <w:highlight w:val="none"/>
                    </w:rPr>
                  </w:pPr>
                  <w:r>
                    <w:rPr>
                      <w:color w:val="auto"/>
                      <w:spacing w:val="7"/>
                      <w:position w:val="3"/>
                      <w:sz w:val="18"/>
                      <w:szCs w:val="18"/>
                      <w:highlight w:val="none"/>
                    </w:rPr>
                    <w:t>声</w:t>
                  </w:r>
                  <w:r>
                    <w:rPr>
                      <w:color w:val="auto"/>
                      <w:spacing w:val="6"/>
                      <w:position w:val="3"/>
                      <w:sz w:val="18"/>
                      <w:szCs w:val="18"/>
                      <w:highlight w:val="none"/>
                    </w:rPr>
                    <w:t>源控</w:t>
                  </w:r>
                  <w:r>
                    <w:rPr>
                      <w:color w:val="auto"/>
                      <w:spacing w:val="8"/>
                      <w:sz w:val="18"/>
                      <w:szCs w:val="18"/>
                      <w:highlight w:val="none"/>
                    </w:rPr>
                    <w:t>制</w:t>
                  </w:r>
                  <w:r>
                    <w:rPr>
                      <w:color w:val="auto"/>
                      <w:spacing w:val="7"/>
                      <w:sz w:val="18"/>
                      <w:szCs w:val="18"/>
                      <w:highlight w:val="none"/>
                    </w:rPr>
                    <w:t>措施</w:t>
                  </w:r>
                </w:p>
              </w:tc>
              <w:tc>
                <w:tcPr>
                  <w:tcW w:w="1679" w:type="dxa"/>
                  <w:gridSpan w:val="3"/>
                  <w:noWrap w:val="0"/>
                  <w:vAlign w:val="center"/>
                </w:tcPr>
                <w:p w14:paraId="099E8AB9">
                  <w:pPr>
                    <w:spacing w:line="240" w:lineRule="auto"/>
                    <w:jc w:val="center"/>
                    <w:rPr>
                      <w:color w:val="auto"/>
                      <w:sz w:val="18"/>
                      <w:szCs w:val="18"/>
                      <w:highlight w:val="none"/>
                    </w:rPr>
                  </w:pPr>
                  <w:r>
                    <w:rPr>
                      <w:color w:val="auto"/>
                      <w:spacing w:val="10"/>
                      <w:position w:val="1"/>
                      <w:sz w:val="18"/>
                      <w:szCs w:val="18"/>
                      <w:highlight w:val="none"/>
                    </w:rPr>
                    <w:t>空</w:t>
                  </w:r>
                  <w:r>
                    <w:rPr>
                      <w:color w:val="auto"/>
                      <w:spacing w:val="8"/>
                      <w:position w:val="1"/>
                      <w:sz w:val="18"/>
                      <w:szCs w:val="18"/>
                      <w:highlight w:val="none"/>
                    </w:rPr>
                    <w:t>间相对位置/</w:t>
                  </w:r>
                  <w:r>
                    <w:rPr>
                      <w:color w:val="auto"/>
                      <w:position w:val="1"/>
                      <w:sz w:val="18"/>
                      <w:szCs w:val="18"/>
                      <w:highlight w:val="none"/>
                    </w:rPr>
                    <w:t>m</w:t>
                  </w:r>
                </w:p>
              </w:tc>
              <w:tc>
                <w:tcPr>
                  <w:tcW w:w="510" w:type="dxa"/>
                  <w:vMerge w:val="restart"/>
                  <w:noWrap w:val="0"/>
                  <w:vAlign w:val="center"/>
                </w:tcPr>
                <w:p w14:paraId="521CCD9F">
                  <w:pPr>
                    <w:spacing w:line="240" w:lineRule="auto"/>
                    <w:jc w:val="center"/>
                    <w:rPr>
                      <w:color w:val="auto"/>
                      <w:sz w:val="18"/>
                      <w:szCs w:val="18"/>
                      <w:highlight w:val="none"/>
                    </w:rPr>
                  </w:pPr>
                  <w:r>
                    <w:rPr>
                      <w:color w:val="auto"/>
                      <w:spacing w:val="8"/>
                      <w:sz w:val="18"/>
                      <w:szCs w:val="18"/>
                      <w:highlight w:val="none"/>
                    </w:rPr>
                    <w:t>距室</w:t>
                  </w:r>
                  <w:r>
                    <w:rPr>
                      <w:color w:val="auto"/>
                      <w:spacing w:val="7"/>
                      <w:sz w:val="18"/>
                      <w:szCs w:val="18"/>
                      <w:highlight w:val="none"/>
                    </w:rPr>
                    <w:t>内</w:t>
                  </w:r>
                  <w:r>
                    <w:rPr>
                      <w:color w:val="auto"/>
                      <w:spacing w:val="8"/>
                      <w:sz w:val="18"/>
                      <w:szCs w:val="18"/>
                      <w:highlight w:val="none"/>
                    </w:rPr>
                    <w:t>边界</w:t>
                  </w:r>
                  <w:r>
                    <w:rPr>
                      <w:color w:val="auto"/>
                      <w:spacing w:val="7"/>
                      <w:sz w:val="18"/>
                      <w:szCs w:val="18"/>
                      <w:highlight w:val="none"/>
                    </w:rPr>
                    <w:t>距</w:t>
                  </w:r>
                  <w:r>
                    <w:rPr>
                      <w:color w:val="auto"/>
                      <w:spacing w:val="5"/>
                      <w:position w:val="1"/>
                      <w:sz w:val="18"/>
                      <w:szCs w:val="18"/>
                      <w:highlight w:val="none"/>
                    </w:rPr>
                    <w:t>离/</w:t>
                  </w:r>
                  <w:r>
                    <w:rPr>
                      <w:color w:val="auto"/>
                      <w:position w:val="1"/>
                      <w:sz w:val="18"/>
                      <w:szCs w:val="18"/>
                      <w:highlight w:val="none"/>
                    </w:rPr>
                    <w:t>m</w:t>
                  </w:r>
                </w:p>
              </w:tc>
              <w:tc>
                <w:tcPr>
                  <w:tcW w:w="550" w:type="dxa"/>
                  <w:vMerge w:val="restart"/>
                  <w:noWrap w:val="0"/>
                  <w:vAlign w:val="center"/>
                </w:tcPr>
                <w:p w14:paraId="637D899A">
                  <w:pPr>
                    <w:spacing w:line="240" w:lineRule="auto"/>
                    <w:jc w:val="center"/>
                    <w:rPr>
                      <w:color w:val="auto"/>
                      <w:sz w:val="18"/>
                      <w:szCs w:val="18"/>
                      <w:highlight w:val="none"/>
                    </w:rPr>
                  </w:pPr>
                  <w:r>
                    <w:rPr>
                      <w:color w:val="auto"/>
                      <w:spacing w:val="9"/>
                      <w:sz w:val="18"/>
                      <w:szCs w:val="18"/>
                      <w:highlight w:val="none"/>
                    </w:rPr>
                    <w:t>室</w:t>
                  </w:r>
                  <w:r>
                    <w:rPr>
                      <w:color w:val="auto"/>
                      <w:spacing w:val="7"/>
                      <w:sz w:val="18"/>
                      <w:szCs w:val="18"/>
                      <w:highlight w:val="none"/>
                    </w:rPr>
                    <w:t>内边界</w:t>
                  </w:r>
                  <w:r>
                    <w:rPr>
                      <w:color w:val="auto"/>
                      <w:spacing w:val="15"/>
                      <w:sz w:val="18"/>
                      <w:szCs w:val="18"/>
                      <w:highlight w:val="none"/>
                    </w:rPr>
                    <w:t>声</w:t>
                  </w:r>
                  <w:r>
                    <w:rPr>
                      <w:color w:val="auto"/>
                      <w:spacing w:val="13"/>
                      <w:sz w:val="18"/>
                      <w:szCs w:val="18"/>
                      <w:highlight w:val="none"/>
                    </w:rPr>
                    <w:t>级/</w:t>
                  </w:r>
                  <w:r>
                    <w:rPr>
                      <w:color w:val="auto"/>
                      <w:sz w:val="18"/>
                      <w:szCs w:val="18"/>
                      <w:highlight w:val="none"/>
                    </w:rPr>
                    <w:t xml:space="preserve">    dB</w:t>
                  </w:r>
                  <w:r>
                    <w:rPr>
                      <w:color w:val="auto"/>
                      <w:spacing w:val="9"/>
                      <w:sz w:val="18"/>
                      <w:szCs w:val="18"/>
                      <w:highlight w:val="none"/>
                    </w:rPr>
                    <w:t>(</w:t>
                  </w:r>
                  <w:r>
                    <w:rPr>
                      <w:color w:val="auto"/>
                      <w:sz w:val="18"/>
                      <w:szCs w:val="18"/>
                      <w:highlight w:val="none"/>
                    </w:rPr>
                    <w:t>A</w:t>
                  </w:r>
                  <w:r>
                    <w:rPr>
                      <w:color w:val="auto"/>
                      <w:spacing w:val="8"/>
                      <w:sz w:val="18"/>
                      <w:szCs w:val="18"/>
                      <w:highlight w:val="none"/>
                    </w:rPr>
                    <w:t>)</w:t>
                  </w:r>
                </w:p>
              </w:tc>
              <w:tc>
                <w:tcPr>
                  <w:tcW w:w="464" w:type="dxa"/>
                  <w:vMerge w:val="restart"/>
                  <w:noWrap w:val="0"/>
                  <w:vAlign w:val="center"/>
                </w:tcPr>
                <w:p w14:paraId="471097E8">
                  <w:pPr>
                    <w:spacing w:line="240" w:lineRule="auto"/>
                    <w:jc w:val="center"/>
                    <w:rPr>
                      <w:color w:val="auto"/>
                      <w:sz w:val="18"/>
                      <w:szCs w:val="18"/>
                      <w:highlight w:val="none"/>
                    </w:rPr>
                  </w:pPr>
                  <w:r>
                    <w:rPr>
                      <w:color w:val="auto"/>
                      <w:spacing w:val="6"/>
                      <w:position w:val="4"/>
                      <w:sz w:val="18"/>
                      <w:szCs w:val="18"/>
                      <w:highlight w:val="none"/>
                    </w:rPr>
                    <w:t>运行</w:t>
                  </w:r>
                  <w:r>
                    <w:rPr>
                      <w:color w:val="auto"/>
                      <w:spacing w:val="2"/>
                      <w:sz w:val="18"/>
                      <w:szCs w:val="18"/>
                      <w:highlight w:val="none"/>
                    </w:rPr>
                    <w:t>时段</w:t>
                  </w:r>
                </w:p>
              </w:tc>
              <w:tc>
                <w:tcPr>
                  <w:tcW w:w="604" w:type="dxa"/>
                  <w:vMerge w:val="restart"/>
                  <w:noWrap w:val="0"/>
                  <w:vAlign w:val="center"/>
                </w:tcPr>
                <w:p w14:paraId="5F406BDC">
                  <w:pPr>
                    <w:spacing w:line="240" w:lineRule="auto"/>
                    <w:jc w:val="center"/>
                    <w:rPr>
                      <w:color w:val="auto"/>
                      <w:sz w:val="18"/>
                      <w:szCs w:val="18"/>
                      <w:highlight w:val="none"/>
                    </w:rPr>
                  </w:pPr>
                  <w:r>
                    <w:rPr>
                      <w:color w:val="auto"/>
                      <w:spacing w:val="9"/>
                      <w:sz w:val="18"/>
                      <w:szCs w:val="18"/>
                      <w:highlight w:val="none"/>
                    </w:rPr>
                    <w:t>建</w:t>
                  </w:r>
                  <w:r>
                    <w:rPr>
                      <w:color w:val="auto"/>
                      <w:spacing w:val="7"/>
                      <w:sz w:val="18"/>
                      <w:szCs w:val="18"/>
                      <w:highlight w:val="none"/>
                    </w:rPr>
                    <w:t>筑物插</w:t>
                  </w:r>
                  <w:r>
                    <w:rPr>
                      <w:color w:val="auto"/>
                      <w:spacing w:val="8"/>
                      <w:position w:val="1"/>
                      <w:sz w:val="18"/>
                      <w:szCs w:val="18"/>
                      <w:highlight w:val="none"/>
                    </w:rPr>
                    <w:t>入</w:t>
                  </w:r>
                  <w:r>
                    <w:rPr>
                      <w:color w:val="auto"/>
                      <w:spacing w:val="6"/>
                      <w:position w:val="1"/>
                      <w:sz w:val="18"/>
                      <w:szCs w:val="18"/>
                      <w:highlight w:val="none"/>
                    </w:rPr>
                    <w:t>损失/</w:t>
                  </w:r>
                </w:p>
                <w:p w14:paraId="74EFFEA4">
                  <w:pPr>
                    <w:spacing w:line="240" w:lineRule="auto"/>
                    <w:jc w:val="both"/>
                    <w:rPr>
                      <w:color w:val="auto"/>
                      <w:sz w:val="18"/>
                      <w:szCs w:val="18"/>
                      <w:highlight w:val="none"/>
                    </w:rPr>
                  </w:pPr>
                  <w:r>
                    <w:rPr>
                      <w:color w:val="auto"/>
                      <w:position w:val="3"/>
                      <w:sz w:val="18"/>
                      <w:szCs w:val="18"/>
                      <w:highlight w:val="none"/>
                    </w:rPr>
                    <w:t>dB</w:t>
                  </w:r>
                  <w:r>
                    <w:rPr>
                      <w:color w:val="auto"/>
                      <w:spacing w:val="9"/>
                      <w:position w:val="3"/>
                      <w:sz w:val="18"/>
                      <w:szCs w:val="18"/>
                      <w:highlight w:val="none"/>
                    </w:rPr>
                    <w:t>(</w:t>
                  </w:r>
                  <w:r>
                    <w:rPr>
                      <w:color w:val="auto"/>
                      <w:position w:val="3"/>
                      <w:sz w:val="18"/>
                      <w:szCs w:val="18"/>
                      <w:highlight w:val="none"/>
                    </w:rPr>
                    <w:t>A</w:t>
                  </w:r>
                  <w:r>
                    <w:rPr>
                      <w:color w:val="auto"/>
                      <w:spacing w:val="8"/>
                      <w:position w:val="3"/>
                      <w:sz w:val="18"/>
                      <w:szCs w:val="18"/>
                      <w:highlight w:val="none"/>
                    </w:rPr>
                    <w:t>)</w:t>
                  </w:r>
                </w:p>
              </w:tc>
              <w:tc>
                <w:tcPr>
                  <w:tcW w:w="1287" w:type="dxa"/>
                  <w:gridSpan w:val="2"/>
                  <w:noWrap w:val="0"/>
                  <w:vAlign w:val="center"/>
                </w:tcPr>
                <w:p w14:paraId="7550212B">
                  <w:pPr>
                    <w:spacing w:line="240" w:lineRule="auto"/>
                    <w:jc w:val="center"/>
                    <w:rPr>
                      <w:color w:val="auto"/>
                      <w:sz w:val="18"/>
                      <w:szCs w:val="18"/>
                      <w:highlight w:val="none"/>
                    </w:rPr>
                  </w:pPr>
                  <w:r>
                    <w:rPr>
                      <w:color w:val="auto"/>
                      <w:spacing w:val="10"/>
                      <w:sz w:val="18"/>
                      <w:szCs w:val="18"/>
                      <w:highlight w:val="none"/>
                    </w:rPr>
                    <w:t>建</w:t>
                  </w:r>
                  <w:r>
                    <w:rPr>
                      <w:color w:val="auto"/>
                      <w:spacing w:val="8"/>
                      <w:sz w:val="18"/>
                      <w:szCs w:val="18"/>
                      <w:highlight w:val="none"/>
                    </w:rPr>
                    <w:t>筑物外噪声</w:t>
                  </w:r>
                </w:p>
              </w:tc>
            </w:tr>
            <w:tr w14:paraId="57C6C8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17" w:type="dxa"/>
                  <w:vMerge w:val="continue"/>
                  <w:noWrap w:val="0"/>
                  <w:textDirection w:val="tbRlV"/>
                  <w:vAlign w:val="center"/>
                </w:tcPr>
                <w:p w14:paraId="06819572">
                  <w:pPr>
                    <w:spacing w:line="240" w:lineRule="auto"/>
                    <w:jc w:val="center"/>
                    <w:rPr>
                      <w:color w:val="auto"/>
                      <w:sz w:val="18"/>
                      <w:szCs w:val="18"/>
                      <w:highlight w:val="none"/>
                    </w:rPr>
                  </w:pPr>
                </w:p>
              </w:tc>
              <w:tc>
                <w:tcPr>
                  <w:tcW w:w="472" w:type="dxa"/>
                  <w:vMerge w:val="continue"/>
                  <w:noWrap w:val="0"/>
                  <w:vAlign w:val="center"/>
                </w:tcPr>
                <w:p w14:paraId="60F4912B">
                  <w:pPr>
                    <w:spacing w:line="240" w:lineRule="auto"/>
                    <w:jc w:val="center"/>
                    <w:rPr>
                      <w:color w:val="auto"/>
                      <w:sz w:val="18"/>
                      <w:szCs w:val="18"/>
                      <w:highlight w:val="none"/>
                    </w:rPr>
                  </w:pPr>
                </w:p>
              </w:tc>
              <w:tc>
                <w:tcPr>
                  <w:tcW w:w="666" w:type="dxa"/>
                  <w:vMerge w:val="continue"/>
                  <w:noWrap w:val="0"/>
                  <w:vAlign w:val="center"/>
                </w:tcPr>
                <w:p w14:paraId="5BC6D759">
                  <w:pPr>
                    <w:spacing w:line="240" w:lineRule="auto"/>
                    <w:jc w:val="center"/>
                    <w:rPr>
                      <w:color w:val="auto"/>
                      <w:sz w:val="18"/>
                      <w:szCs w:val="18"/>
                      <w:highlight w:val="none"/>
                    </w:rPr>
                  </w:pPr>
                </w:p>
              </w:tc>
              <w:tc>
                <w:tcPr>
                  <w:tcW w:w="620" w:type="dxa"/>
                  <w:vMerge w:val="continue"/>
                  <w:noWrap w:val="0"/>
                  <w:vAlign w:val="center"/>
                </w:tcPr>
                <w:p w14:paraId="3335A39E">
                  <w:pPr>
                    <w:spacing w:line="240" w:lineRule="auto"/>
                    <w:jc w:val="center"/>
                    <w:rPr>
                      <w:color w:val="auto"/>
                      <w:sz w:val="18"/>
                      <w:szCs w:val="18"/>
                      <w:highlight w:val="none"/>
                    </w:rPr>
                  </w:pPr>
                </w:p>
              </w:tc>
              <w:tc>
                <w:tcPr>
                  <w:tcW w:w="630" w:type="dxa"/>
                  <w:vMerge w:val="continue"/>
                  <w:noWrap w:val="0"/>
                  <w:vAlign w:val="center"/>
                </w:tcPr>
                <w:p w14:paraId="12F07F2A">
                  <w:pPr>
                    <w:spacing w:line="240" w:lineRule="auto"/>
                    <w:jc w:val="center"/>
                    <w:rPr>
                      <w:color w:val="auto"/>
                      <w:sz w:val="18"/>
                      <w:szCs w:val="18"/>
                      <w:highlight w:val="none"/>
                    </w:rPr>
                  </w:pPr>
                </w:p>
              </w:tc>
              <w:tc>
                <w:tcPr>
                  <w:tcW w:w="665" w:type="dxa"/>
                  <w:vMerge w:val="continue"/>
                  <w:noWrap w:val="0"/>
                  <w:vAlign w:val="center"/>
                </w:tcPr>
                <w:p w14:paraId="5EFDC290">
                  <w:pPr>
                    <w:spacing w:line="240" w:lineRule="auto"/>
                    <w:jc w:val="center"/>
                    <w:rPr>
                      <w:color w:val="auto"/>
                      <w:sz w:val="18"/>
                      <w:szCs w:val="18"/>
                      <w:highlight w:val="none"/>
                    </w:rPr>
                  </w:pPr>
                </w:p>
              </w:tc>
              <w:tc>
                <w:tcPr>
                  <w:tcW w:w="656" w:type="dxa"/>
                  <w:noWrap w:val="0"/>
                  <w:vAlign w:val="center"/>
                </w:tcPr>
                <w:p w14:paraId="0285580A">
                  <w:pPr>
                    <w:spacing w:line="240" w:lineRule="auto"/>
                    <w:jc w:val="center"/>
                    <w:rPr>
                      <w:color w:val="auto"/>
                      <w:sz w:val="18"/>
                      <w:szCs w:val="18"/>
                      <w:highlight w:val="none"/>
                    </w:rPr>
                  </w:pPr>
                  <w:r>
                    <w:rPr>
                      <w:color w:val="auto"/>
                      <w:spacing w:val="5"/>
                      <w:sz w:val="18"/>
                      <w:szCs w:val="18"/>
                      <w:highlight w:val="none"/>
                    </w:rPr>
                    <w:t>X</w:t>
                  </w:r>
                </w:p>
              </w:tc>
              <w:tc>
                <w:tcPr>
                  <w:tcW w:w="596" w:type="dxa"/>
                  <w:noWrap w:val="0"/>
                  <w:vAlign w:val="center"/>
                </w:tcPr>
                <w:p w14:paraId="72987550">
                  <w:pPr>
                    <w:spacing w:line="240" w:lineRule="auto"/>
                    <w:jc w:val="center"/>
                    <w:rPr>
                      <w:color w:val="auto"/>
                      <w:sz w:val="18"/>
                      <w:szCs w:val="18"/>
                      <w:highlight w:val="none"/>
                    </w:rPr>
                  </w:pPr>
                  <w:r>
                    <w:rPr>
                      <w:color w:val="auto"/>
                      <w:spacing w:val="5"/>
                      <w:sz w:val="18"/>
                      <w:szCs w:val="18"/>
                      <w:highlight w:val="none"/>
                    </w:rPr>
                    <w:t>Y</w:t>
                  </w:r>
                </w:p>
              </w:tc>
              <w:tc>
                <w:tcPr>
                  <w:tcW w:w="427" w:type="dxa"/>
                  <w:noWrap w:val="0"/>
                  <w:vAlign w:val="center"/>
                </w:tcPr>
                <w:p w14:paraId="01F83B25">
                  <w:pPr>
                    <w:spacing w:line="240" w:lineRule="auto"/>
                    <w:jc w:val="center"/>
                    <w:rPr>
                      <w:color w:val="auto"/>
                      <w:sz w:val="18"/>
                      <w:szCs w:val="18"/>
                      <w:highlight w:val="none"/>
                    </w:rPr>
                  </w:pPr>
                  <w:r>
                    <w:rPr>
                      <w:color w:val="auto"/>
                      <w:spacing w:val="3"/>
                      <w:sz w:val="18"/>
                      <w:szCs w:val="18"/>
                      <w:highlight w:val="none"/>
                    </w:rPr>
                    <w:t>Z</w:t>
                  </w:r>
                </w:p>
              </w:tc>
              <w:tc>
                <w:tcPr>
                  <w:tcW w:w="510" w:type="dxa"/>
                  <w:vMerge w:val="continue"/>
                  <w:noWrap w:val="0"/>
                  <w:vAlign w:val="center"/>
                </w:tcPr>
                <w:p w14:paraId="56E595C2">
                  <w:pPr>
                    <w:spacing w:line="240" w:lineRule="auto"/>
                    <w:jc w:val="center"/>
                    <w:rPr>
                      <w:color w:val="auto"/>
                      <w:sz w:val="18"/>
                      <w:szCs w:val="18"/>
                      <w:highlight w:val="none"/>
                    </w:rPr>
                  </w:pPr>
                </w:p>
              </w:tc>
              <w:tc>
                <w:tcPr>
                  <w:tcW w:w="550" w:type="dxa"/>
                  <w:vMerge w:val="continue"/>
                  <w:noWrap w:val="0"/>
                  <w:vAlign w:val="center"/>
                </w:tcPr>
                <w:p w14:paraId="42C30600">
                  <w:pPr>
                    <w:spacing w:line="240" w:lineRule="auto"/>
                    <w:jc w:val="center"/>
                    <w:rPr>
                      <w:color w:val="auto"/>
                      <w:sz w:val="18"/>
                      <w:szCs w:val="18"/>
                      <w:highlight w:val="none"/>
                    </w:rPr>
                  </w:pPr>
                </w:p>
              </w:tc>
              <w:tc>
                <w:tcPr>
                  <w:tcW w:w="464" w:type="dxa"/>
                  <w:vMerge w:val="continue"/>
                  <w:noWrap w:val="0"/>
                  <w:vAlign w:val="center"/>
                </w:tcPr>
                <w:p w14:paraId="4F7CFF99">
                  <w:pPr>
                    <w:spacing w:line="240" w:lineRule="auto"/>
                    <w:jc w:val="center"/>
                    <w:rPr>
                      <w:color w:val="auto"/>
                      <w:sz w:val="18"/>
                      <w:szCs w:val="18"/>
                      <w:highlight w:val="none"/>
                    </w:rPr>
                  </w:pPr>
                </w:p>
              </w:tc>
              <w:tc>
                <w:tcPr>
                  <w:tcW w:w="604" w:type="dxa"/>
                  <w:vMerge w:val="continue"/>
                  <w:noWrap w:val="0"/>
                  <w:vAlign w:val="center"/>
                </w:tcPr>
                <w:p w14:paraId="106AB850">
                  <w:pPr>
                    <w:spacing w:line="240" w:lineRule="auto"/>
                    <w:jc w:val="center"/>
                    <w:rPr>
                      <w:color w:val="auto"/>
                      <w:sz w:val="18"/>
                      <w:szCs w:val="18"/>
                      <w:highlight w:val="none"/>
                    </w:rPr>
                  </w:pPr>
                </w:p>
              </w:tc>
              <w:tc>
                <w:tcPr>
                  <w:tcW w:w="688" w:type="dxa"/>
                  <w:noWrap w:val="0"/>
                  <w:vAlign w:val="center"/>
                </w:tcPr>
                <w:p w14:paraId="36790F48">
                  <w:pPr>
                    <w:spacing w:line="240" w:lineRule="auto"/>
                    <w:jc w:val="center"/>
                    <w:rPr>
                      <w:color w:val="auto"/>
                      <w:sz w:val="18"/>
                      <w:szCs w:val="18"/>
                      <w:highlight w:val="none"/>
                    </w:rPr>
                  </w:pPr>
                  <w:r>
                    <w:rPr>
                      <w:color w:val="auto"/>
                      <w:spacing w:val="7"/>
                      <w:sz w:val="18"/>
                      <w:szCs w:val="18"/>
                      <w:highlight w:val="none"/>
                    </w:rPr>
                    <w:t>声</w:t>
                  </w:r>
                  <w:r>
                    <w:rPr>
                      <w:color w:val="auto"/>
                      <w:spacing w:val="6"/>
                      <w:sz w:val="18"/>
                      <w:szCs w:val="18"/>
                      <w:highlight w:val="none"/>
                    </w:rPr>
                    <w:t>压级</w:t>
                  </w:r>
                </w:p>
                <w:p w14:paraId="7E5F9B0D">
                  <w:pPr>
                    <w:spacing w:line="240" w:lineRule="auto"/>
                    <w:jc w:val="center"/>
                    <w:rPr>
                      <w:color w:val="auto"/>
                      <w:sz w:val="18"/>
                      <w:szCs w:val="18"/>
                      <w:highlight w:val="none"/>
                    </w:rPr>
                  </w:pPr>
                  <w:r>
                    <w:rPr>
                      <w:color w:val="auto"/>
                      <w:spacing w:val="9"/>
                      <w:position w:val="3"/>
                      <w:sz w:val="18"/>
                      <w:szCs w:val="18"/>
                      <w:highlight w:val="none"/>
                    </w:rPr>
                    <w:t>/</w:t>
                  </w:r>
                  <w:r>
                    <w:rPr>
                      <w:color w:val="auto"/>
                      <w:position w:val="3"/>
                      <w:sz w:val="18"/>
                      <w:szCs w:val="18"/>
                      <w:highlight w:val="none"/>
                    </w:rPr>
                    <w:t>dB</w:t>
                  </w:r>
                  <w:r>
                    <w:rPr>
                      <w:color w:val="auto"/>
                      <w:spacing w:val="9"/>
                      <w:position w:val="3"/>
                      <w:sz w:val="18"/>
                      <w:szCs w:val="18"/>
                      <w:highlight w:val="none"/>
                    </w:rPr>
                    <w:t>(</w:t>
                  </w:r>
                  <w:r>
                    <w:rPr>
                      <w:color w:val="auto"/>
                      <w:position w:val="3"/>
                      <w:sz w:val="18"/>
                      <w:szCs w:val="18"/>
                      <w:highlight w:val="none"/>
                    </w:rPr>
                    <w:t>A</w:t>
                  </w:r>
                  <w:r>
                    <w:rPr>
                      <w:color w:val="auto"/>
                      <w:spacing w:val="8"/>
                      <w:position w:val="3"/>
                      <w:sz w:val="18"/>
                      <w:szCs w:val="18"/>
                      <w:highlight w:val="none"/>
                    </w:rPr>
                    <w:t>)</w:t>
                  </w:r>
                </w:p>
              </w:tc>
              <w:tc>
                <w:tcPr>
                  <w:tcW w:w="599" w:type="dxa"/>
                  <w:noWrap w:val="0"/>
                  <w:vAlign w:val="center"/>
                </w:tcPr>
                <w:p w14:paraId="54306A8A">
                  <w:pPr>
                    <w:spacing w:line="240" w:lineRule="auto"/>
                    <w:jc w:val="center"/>
                    <w:rPr>
                      <w:color w:val="auto"/>
                      <w:sz w:val="18"/>
                      <w:szCs w:val="18"/>
                      <w:highlight w:val="none"/>
                    </w:rPr>
                  </w:pPr>
                  <w:r>
                    <w:rPr>
                      <w:color w:val="auto"/>
                      <w:spacing w:val="9"/>
                      <w:sz w:val="18"/>
                      <w:szCs w:val="18"/>
                      <w:highlight w:val="none"/>
                    </w:rPr>
                    <w:t>建</w:t>
                  </w:r>
                  <w:r>
                    <w:rPr>
                      <w:color w:val="auto"/>
                      <w:spacing w:val="7"/>
                      <w:sz w:val="18"/>
                      <w:szCs w:val="18"/>
                      <w:highlight w:val="none"/>
                    </w:rPr>
                    <w:t>筑物外</w:t>
                  </w:r>
                  <w:r>
                    <w:rPr>
                      <w:color w:val="auto"/>
                      <w:spacing w:val="8"/>
                      <w:sz w:val="18"/>
                      <w:szCs w:val="18"/>
                      <w:highlight w:val="none"/>
                    </w:rPr>
                    <w:t>距离/</w:t>
                  </w:r>
                  <w:r>
                    <w:rPr>
                      <w:color w:val="auto"/>
                      <w:sz w:val="18"/>
                      <w:szCs w:val="18"/>
                      <w:highlight w:val="none"/>
                    </w:rPr>
                    <w:t>m</w:t>
                  </w:r>
                </w:p>
              </w:tc>
            </w:tr>
            <w:tr w14:paraId="2C2841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17" w:type="dxa"/>
                  <w:noWrap w:val="0"/>
                  <w:vAlign w:val="center"/>
                </w:tcPr>
                <w:p w14:paraId="7A52C698">
                  <w:pPr>
                    <w:numPr>
                      <w:ilvl w:val="0"/>
                      <w:numId w:val="23"/>
                    </w:numPr>
                    <w:spacing w:line="240" w:lineRule="auto"/>
                    <w:ind w:left="0" w:leftChars="0" w:firstLine="0" w:firstLineChars="0"/>
                    <w:jc w:val="center"/>
                    <w:rPr>
                      <w:color w:val="auto"/>
                      <w:sz w:val="18"/>
                      <w:szCs w:val="18"/>
                      <w:highlight w:val="none"/>
                    </w:rPr>
                  </w:pPr>
                </w:p>
              </w:tc>
              <w:tc>
                <w:tcPr>
                  <w:tcW w:w="472" w:type="dxa"/>
                  <w:vMerge w:val="restart"/>
                  <w:noWrap w:val="0"/>
                  <w:vAlign w:val="center"/>
                </w:tcPr>
                <w:p w14:paraId="11FDB8D9">
                  <w:pPr>
                    <w:spacing w:line="240" w:lineRule="auto"/>
                    <w:jc w:val="center"/>
                    <w:rPr>
                      <w:rFonts w:hint="eastAsia"/>
                      <w:color w:val="auto"/>
                      <w:spacing w:val="7"/>
                      <w:sz w:val="18"/>
                      <w:szCs w:val="18"/>
                      <w:highlight w:val="none"/>
                      <w:lang w:eastAsia="zh-CN"/>
                    </w:rPr>
                  </w:pPr>
                  <w:r>
                    <w:rPr>
                      <w:rFonts w:hint="eastAsia"/>
                      <w:color w:val="auto"/>
                      <w:spacing w:val="7"/>
                      <w:sz w:val="18"/>
                      <w:szCs w:val="18"/>
                      <w:highlight w:val="none"/>
                      <w:lang w:eastAsia="zh-CN"/>
                    </w:rPr>
                    <w:t>生产车间</w:t>
                  </w:r>
                </w:p>
              </w:tc>
              <w:tc>
                <w:tcPr>
                  <w:tcW w:w="666" w:type="dxa"/>
                  <w:noWrap w:val="0"/>
                  <w:vAlign w:val="center"/>
                </w:tcPr>
                <w:p w14:paraId="551EF5DB">
                  <w:pPr>
                    <w:spacing w:line="240" w:lineRule="auto"/>
                    <w:jc w:val="center"/>
                    <w:rPr>
                      <w:rFonts w:hint="eastAsia" w:eastAsia="宋体"/>
                      <w:color w:val="auto"/>
                      <w:spacing w:val="2"/>
                      <w:sz w:val="18"/>
                      <w:szCs w:val="18"/>
                      <w:highlight w:val="none"/>
                      <w:lang w:eastAsia="zh-CN"/>
                    </w:rPr>
                  </w:pPr>
                  <w:r>
                    <w:rPr>
                      <w:rFonts w:hint="eastAsia" w:eastAsia="宋体"/>
                      <w:color w:val="auto"/>
                      <w:sz w:val="18"/>
                      <w:szCs w:val="18"/>
                      <w:highlight w:val="none"/>
                      <w:lang w:eastAsia="zh-CN"/>
                    </w:rPr>
                    <w:t>梳齿机</w:t>
                  </w:r>
                </w:p>
              </w:tc>
              <w:tc>
                <w:tcPr>
                  <w:tcW w:w="620" w:type="dxa"/>
                  <w:noWrap w:val="0"/>
                  <w:vAlign w:val="center"/>
                </w:tcPr>
                <w:p w14:paraId="304C5AFF">
                  <w:pPr>
                    <w:spacing w:line="240" w:lineRule="auto"/>
                    <w:jc w:val="center"/>
                    <w:rPr>
                      <w:color w:val="auto"/>
                      <w:kern w:val="0"/>
                      <w:sz w:val="18"/>
                      <w:szCs w:val="18"/>
                      <w:highlight w:val="none"/>
                    </w:rPr>
                  </w:pPr>
                  <w:r>
                    <w:rPr>
                      <w:rFonts w:hint="eastAsia"/>
                      <w:color w:val="auto"/>
                      <w:kern w:val="0"/>
                      <w:sz w:val="18"/>
                      <w:szCs w:val="18"/>
                      <w:highlight w:val="none"/>
                    </w:rPr>
                    <w:t>1</w:t>
                  </w:r>
                </w:p>
              </w:tc>
              <w:tc>
                <w:tcPr>
                  <w:tcW w:w="630" w:type="dxa"/>
                  <w:noWrap w:val="0"/>
                  <w:vAlign w:val="center"/>
                </w:tcPr>
                <w:p w14:paraId="744A75CC">
                  <w:pPr>
                    <w:spacing w:line="240" w:lineRule="auto"/>
                    <w:jc w:val="center"/>
                    <w:rPr>
                      <w:rFonts w:hint="default" w:eastAsia="宋体"/>
                      <w:color w:val="auto"/>
                      <w:spacing w:val="21"/>
                      <w:sz w:val="18"/>
                      <w:szCs w:val="18"/>
                      <w:highlight w:val="none"/>
                      <w:lang w:val="en-US" w:eastAsia="zh-CN"/>
                    </w:rPr>
                  </w:pPr>
                  <w:r>
                    <w:rPr>
                      <w:color w:val="auto"/>
                      <w:kern w:val="0"/>
                      <w:sz w:val="18"/>
                      <w:szCs w:val="18"/>
                      <w:highlight w:val="none"/>
                    </w:rPr>
                    <w:t>≤</w:t>
                  </w:r>
                  <w:r>
                    <w:rPr>
                      <w:rFonts w:hint="eastAsia"/>
                      <w:color w:val="auto"/>
                      <w:kern w:val="0"/>
                      <w:sz w:val="18"/>
                      <w:szCs w:val="18"/>
                      <w:highlight w:val="none"/>
                      <w:lang w:val="en-US" w:eastAsia="zh-CN"/>
                    </w:rPr>
                    <w:t>85</w:t>
                  </w:r>
                </w:p>
              </w:tc>
              <w:tc>
                <w:tcPr>
                  <w:tcW w:w="665" w:type="dxa"/>
                  <w:vMerge w:val="restart"/>
                  <w:noWrap w:val="0"/>
                  <w:vAlign w:val="center"/>
                </w:tcPr>
                <w:p w14:paraId="14DCE409">
                  <w:pPr>
                    <w:numPr>
                      <w:ilvl w:val="0"/>
                      <w:numId w:val="23"/>
                    </w:numPr>
                    <w:spacing w:line="240" w:lineRule="auto"/>
                    <w:ind w:left="0" w:leftChars="0" w:firstLine="0" w:firstLineChars="0"/>
                    <w:jc w:val="center"/>
                    <w:rPr>
                      <w:rFonts w:hint="eastAsia" w:eastAsia="宋体"/>
                      <w:color w:val="auto"/>
                      <w:sz w:val="18"/>
                      <w:szCs w:val="18"/>
                      <w:highlight w:val="none"/>
                      <w:lang w:eastAsia="zh-CN"/>
                    </w:rPr>
                  </w:pPr>
                  <w:r>
                    <w:rPr>
                      <w:color w:val="auto"/>
                      <w:spacing w:val="8"/>
                      <w:sz w:val="18"/>
                      <w:szCs w:val="18"/>
                      <w:highlight w:val="none"/>
                    </w:rPr>
                    <w:t>低噪</w:t>
                  </w:r>
                  <w:r>
                    <w:rPr>
                      <w:color w:val="auto"/>
                      <w:spacing w:val="7"/>
                      <w:sz w:val="18"/>
                      <w:szCs w:val="18"/>
                      <w:highlight w:val="none"/>
                    </w:rPr>
                    <w:t>声</w:t>
                  </w:r>
                  <w:r>
                    <w:rPr>
                      <w:color w:val="auto"/>
                      <w:spacing w:val="8"/>
                      <w:sz w:val="18"/>
                      <w:szCs w:val="18"/>
                      <w:highlight w:val="none"/>
                    </w:rPr>
                    <w:t>设备，</w:t>
                  </w:r>
                  <w:r>
                    <w:rPr>
                      <w:color w:val="auto"/>
                      <w:spacing w:val="7"/>
                      <w:sz w:val="18"/>
                      <w:szCs w:val="18"/>
                      <w:highlight w:val="none"/>
                    </w:rPr>
                    <w:t>基</w:t>
                  </w:r>
                  <w:r>
                    <w:rPr>
                      <w:color w:val="auto"/>
                      <w:spacing w:val="6"/>
                      <w:sz w:val="18"/>
                      <w:szCs w:val="18"/>
                      <w:highlight w:val="none"/>
                    </w:rPr>
                    <w:t>础减振</w:t>
                  </w:r>
                  <w:r>
                    <w:rPr>
                      <w:color w:val="auto"/>
                      <w:spacing w:val="5"/>
                      <w:sz w:val="18"/>
                      <w:szCs w:val="18"/>
                      <w:highlight w:val="none"/>
                    </w:rPr>
                    <w:t>、</w:t>
                  </w:r>
                  <w:r>
                    <w:rPr>
                      <w:color w:val="auto"/>
                      <w:spacing w:val="7"/>
                      <w:position w:val="3"/>
                      <w:sz w:val="18"/>
                      <w:szCs w:val="18"/>
                      <w:highlight w:val="none"/>
                    </w:rPr>
                    <w:t>厂房</w:t>
                  </w:r>
                  <w:r>
                    <w:rPr>
                      <w:color w:val="auto"/>
                      <w:spacing w:val="6"/>
                      <w:position w:val="3"/>
                      <w:sz w:val="18"/>
                      <w:szCs w:val="18"/>
                      <w:highlight w:val="none"/>
                    </w:rPr>
                    <w:t>隔</w:t>
                  </w:r>
                  <w:r>
                    <w:rPr>
                      <w:color w:val="auto"/>
                      <w:sz w:val="18"/>
                      <w:szCs w:val="18"/>
                      <w:highlight w:val="none"/>
                    </w:rPr>
                    <w:t>声</w:t>
                  </w:r>
                  <w:r>
                    <w:rPr>
                      <w:rFonts w:hint="eastAsia"/>
                      <w:color w:val="auto"/>
                      <w:sz w:val="18"/>
                      <w:szCs w:val="18"/>
                      <w:highlight w:val="none"/>
                      <w:lang w:eastAsia="zh-CN"/>
                    </w:rPr>
                    <w:t>、合理布局</w:t>
                  </w:r>
                </w:p>
              </w:tc>
              <w:tc>
                <w:tcPr>
                  <w:tcW w:w="656" w:type="dxa"/>
                  <w:noWrap w:val="0"/>
                  <w:vAlign w:val="center"/>
                </w:tcPr>
                <w:p w14:paraId="48342A6C">
                  <w:pPr>
                    <w:spacing w:line="240" w:lineRule="auto"/>
                    <w:jc w:val="center"/>
                    <w:rPr>
                      <w:rFonts w:hint="eastAsia" w:ascii="Times New Roman" w:hAnsi="Times New Roman" w:eastAsia="宋体" w:cs="Times New Roman"/>
                      <w:color w:val="auto"/>
                      <w:spacing w:val="-4"/>
                      <w:sz w:val="18"/>
                      <w:szCs w:val="18"/>
                      <w:highlight w:val="none"/>
                      <w:lang w:val="en-US" w:eastAsia="zh-CN"/>
                    </w:rPr>
                  </w:pPr>
                  <w:r>
                    <w:rPr>
                      <w:rFonts w:hint="eastAsia" w:ascii="Times New Roman" w:hAnsi="Times New Roman" w:eastAsia="宋体" w:cs="Times New Roman"/>
                      <w:color w:val="auto"/>
                      <w:spacing w:val="-4"/>
                      <w:sz w:val="18"/>
                      <w:szCs w:val="18"/>
                      <w:highlight w:val="none"/>
                      <w:lang w:val="en-US" w:eastAsia="zh-CN"/>
                    </w:rPr>
                    <w:t>-30.655</w:t>
                  </w:r>
                </w:p>
              </w:tc>
              <w:tc>
                <w:tcPr>
                  <w:tcW w:w="596" w:type="dxa"/>
                  <w:noWrap w:val="0"/>
                  <w:vAlign w:val="center"/>
                </w:tcPr>
                <w:p w14:paraId="59E5F164">
                  <w:pPr>
                    <w:spacing w:line="240" w:lineRule="auto"/>
                    <w:jc w:val="center"/>
                    <w:rPr>
                      <w:rFonts w:hint="eastAsia" w:ascii="Times New Roman" w:hAnsi="Times New Roman" w:eastAsia="宋体" w:cs="Times New Roman"/>
                      <w:color w:val="auto"/>
                      <w:spacing w:val="-4"/>
                      <w:sz w:val="18"/>
                      <w:szCs w:val="18"/>
                      <w:highlight w:val="none"/>
                      <w:lang w:val="en-US" w:eastAsia="zh-CN"/>
                    </w:rPr>
                  </w:pPr>
                  <w:r>
                    <w:rPr>
                      <w:rFonts w:hint="eastAsia" w:ascii="Times New Roman" w:hAnsi="Times New Roman" w:eastAsia="宋体" w:cs="Times New Roman"/>
                      <w:color w:val="auto"/>
                      <w:spacing w:val="-4"/>
                      <w:sz w:val="18"/>
                      <w:szCs w:val="18"/>
                      <w:highlight w:val="none"/>
                      <w:lang w:val="en-US" w:eastAsia="zh-CN"/>
                    </w:rPr>
                    <w:t>-11.679</w:t>
                  </w:r>
                </w:p>
              </w:tc>
              <w:tc>
                <w:tcPr>
                  <w:tcW w:w="427" w:type="dxa"/>
                  <w:noWrap w:val="0"/>
                  <w:vAlign w:val="center"/>
                </w:tcPr>
                <w:p w14:paraId="7D12068E">
                  <w:pPr>
                    <w:spacing w:line="240" w:lineRule="auto"/>
                    <w:jc w:val="center"/>
                    <w:rPr>
                      <w:rFonts w:hint="default" w:eastAsia="宋体"/>
                      <w:color w:val="auto"/>
                      <w:spacing w:val="-4"/>
                      <w:sz w:val="18"/>
                      <w:szCs w:val="18"/>
                      <w:highlight w:val="none"/>
                      <w:lang w:val="en-US" w:eastAsia="zh-CN"/>
                    </w:rPr>
                  </w:pPr>
                  <w:r>
                    <w:rPr>
                      <w:rFonts w:hint="eastAsia"/>
                      <w:color w:val="auto"/>
                      <w:spacing w:val="-4"/>
                      <w:sz w:val="18"/>
                      <w:szCs w:val="18"/>
                      <w:highlight w:val="none"/>
                      <w:lang w:val="en-US" w:eastAsia="zh-CN"/>
                    </w:rPr>
                    <w:t>1.2</w:t>
                  </w:r>
                </w:p>
              </w:tc>
              <w:tc>
                <w:tcPr>
                  <w:tcW w:w="510" w:type="dxa"/>
                  <w:noWrap w:val="0"/>
                  <w:vAlign w:val="center"/>
                </w:tcPr>
                <w:p w14:paraId="2165E08B">
                  <w:pPr>
                    <w:spacing w:line="240" w:lineRule="auto"/>
                    <w:jc w:val="center"/>
                    <w:rPr>
                      <w:rFonts w:hint="default" w:eastAsia="宋体"/>
                      <w:color w:val="auto"/>
                      <w:spacing w:val="-5"/>
                      <w:sz w:val="18"/>
                      <w:szCs w:val="18"/>
                      <w:highlight w:val="none"/>
                      <w:lang w:val="en-US" w:eastAsia="zh-CN"/>
                    </w:rPr>
                  </w:pPr>
                  <w:r>
                    <w:rPr>
                      <w:rFonts w:hint="eastAsia"/>
                      <w:color w:val="auto"/>
                      <w:spacing w:val="-5"/>
                      <w:sz w:val="18"/>
                      <w:szCs w:val="18"/>
                      <w:highlight w:val="none"/>
                      <w:lang w:val="en-US" w:eastAsia="zh-CN"/>
                    </w:rPr>
                    <w:t>4.0</w:t>
                  </w:r>
                </w:p>
              </w:tc>
              <w:tc>
                <w:tcPr>
                  <w:tcW w:w="550" w:type="dxa"/>
                  <w:noWrap w:val="0"/>
                  <w:vAlign w:val="center"/>
                </w:tcPr>
                <w:p w14:paraId="02215C38">
                  <w:pPr>
                    <w:spacing w:line="240" w:lineRule="auto"/>
                    <w:jc w:val="center"/>
                    <w:rPr>
                      <w:rFonts w:hint="default" w:eastAsia="宋体"/>
                      <w:color w:val="auto"/>
                      <w:spacing w:val="2"/>
                      <w:sz w:val="18"/>
                      <w:szCs w:val="18"/>
                      <w:highlight w:val="none"/>
                      <w:lang w:val="en-US" w:eastAsia="zh-CN"/>
                    </w:rPr>
                  </w:pPr>
                  <w:r>
                    <w:rPr>
                      <w:rFonts w:hint="eastAsia" w:eastAsia="宋体"/>
                      <w:color w:val="auto"/>
                      <w:spacing w:val="2"/>
                      <w:sz w:val="18"/>
                      <w:szCs w:val="18"/>
                      <w:highlight w:val="none"/>
                      <w:lang w:val="en-US" w:eastAsia="zh-CN"/>
                    </w:rPr>
                    <w:t>73</w:t>
                  </w:r>
                </w:p>
              </w:tc>
              <w:tc>
                <w:tcPr>
                  <w:tcW w:w="464" w:type="dxa"/>
                  <w:vMerge w:val="restart"/>
                  <w:noWrap w:val="0"/>
                  <w:vAlign w:val="center"/>
                </w:tcPr>
                <w:p w14:paraId="7EFFFA37">
                  <w:pPr>
                    <w:spacing w:line="240" w:lineRule="auto"/>
                    <w:jc w:val="center"/>
                    <w:rPr>
                      <w:rFonts w:hint="eastAsia" w:eastAsia="宋体"/>
                      <w:color w:val="auto"/>
                      <w:spacing w:val="8"/>
                      <w:sz w:val="18"/>
                      <w:szCs w:val="18"/>
                      <w:highlight w:val="none"/>
                      <w:lang w:eastAsia="zh-CN"/>
                    </w:rPr>
                  </w:pPr>
                  <w:r>
                    <w:rPr>
                      <w:rFonts w:hint="eastAsia"/>
                      <w:color w:val="auto"/>
                      <w:spacing w:val="8"/>
                      <w:sz w:val="18"/>
                      <w:szCs w:val="18"/>
                      <w:highlight w:val="none"/>
                      <w:lang w:eastAsia="zh-CN"/>
                    </w:rPr>
                    <w:t>昼间</w:t>
                  </w:r>
                </w:p>
              </w:tc>
              <w:tc>
                <w:tcPr>
                  <w:tcW w:w="604" w:type="dxa"/>
                  <w:noWrap w:val="0"/>
                  <w:vAlign w:val="center"/>
                </w:tcPr>
                <w:p w14:paraId="7E3476CF">
                  <w:pPr>
                    <w:spacing w:line="240" w:lineRule="auto"/>
                    <w:jc w:val="center"/>
                    <w:rPr>
                      <w:rFonts w:hint="default" w:eastAsia="宋体"/>
                      <w:color w:val="auto"/>
                      <w:spacing w:val="-5"/>
                      <w:sz w:val="18"/>
                      <w:szCs w:val="18"/>
                      <w:highlight w:val="none"/>
                      <w:lang w:val="en-US" w:eastAsia="zh-CN"/>
                    </w:rPr>
                  </w:pPr>
                  <w:r>
                    <w:rPr>
                      <w:rFonts w:hint="eastAsia"/>
                      <w:color w:val="auto"/>
                      <w:spacing w:val="-5"/>
                      <w:sz w:val="18"/>
                      <w:szCs w:val="18"/>
                      <w:highlight w:val="none"/>
                      <w:lang w:val="en-US" w:eastAsia="zh-CN"/>
                    </w:rPr>
                    <w:t>15</w:t>
                  </w:r>
                </w:p>
              </w:tc>
              <w:tc>
                <w:tcPr>
                  <w:tcW w:w="688" w:type="dxa"/>
                  <w:noWrap w:val="0"/>
                  <w:vAlign w:val="center"/>
                </w:tcPr>
                <w:p w14:paraId="2A1245C1">
                  <w:pPr>
                    <w:spacing w:line="240" w:lineRule="auto"/>
                    <w:jc w:val="center"/>
                    <w:rPr>
                      <w:rFonts w:hint="default" w:ascii="Times New Roman" w:hAnsi="Times New Roman" w:eastAsia="宋体" w:cs="Times New Roman"/>
                      <w:color w:val="auto"/>
                      <w:spacing w:val="-5"/>
                      <w:sz w:val="18"/>
                      <w:szCs w:val="18"/>
                      <w:highlight w:val="none"/>
                      <w:lang w:val="en-US" w:eastAsia="zh-CN"/>
                    </w:rPr>
                  </w:pPr>
                  <w:r>
                    <w:rPr>
                      <w:rFonts w:hint="eastAsia" w:ascii="Times New Roman" w:hAnsi="Times New Roman" w:eastAsia="宋体" w:cs="Times New Roman"/>
                      <w:color w:val="auto"/>
                      <w:spacing w:val="-5"/>
                      <w:sz w:val="18"/>
                      <w:szCs w:val="18"/>
                      <w:highlight w:val="none"/>
                      <w:lang w:val="en-US" w:eastAsia="zh-CN"/>
                    </w:rPr>
                    <w:t>52</w:t>
                  </w:r>
                </w:p>
              </w:tc>
              <w:tc>
                <w:tcPr>
                  <w:tcW w:w="599" w:type="dxa"/>
                  <w:noWrap w:val="0"/>
                  <w:vAlign w:val="center"/>
                </w:tcPr>
                <w:p w14:paraId="6D9FFFD0">
                  <w:pPr>
                    <w:spacing w:line="240" w:lineRule="auto"/>
                    <w:jc w:val="center"/>
                    <w:rPr>
                      <w:rFonts w:hint="default" w:eastAsia="宋体"/>
                      <w:color w:val="auto"/>
                      <w:spacing w:val="-4"/>
                      <w:sz w:val="18"/>
                      <w:szCs w:val="18"/>
                      <w:highlight w:val="none"/>
                      <w:lang w:val="en-US" w:eastAsia="zh-CN"/>
                    </w:rPr>
                  </w:pPr>
                  <w:r>
                    <w:rPr>
                      <w:rFonts w:hint="eastAsia" w:eastAsia="宋体"/>
                      <w:color w:val="auto"/>
                      <w:spacing w:val="-4"/>
                      <w:sz w:val="18"/>
                      <w:szCs w:val="18"/>
                      <w:highlight w:val="none"/>
                      <w:lang w:val="en-US" w:eastAsia="zh-CN"/>
                    </w:rPr>
                    <w:t>1</w:t>
                  </w:r>
                </w:p>
              </w:tc>
            </w:tr>
            <w:tr w14:paraId="4B1BE7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7" w:hRule="atLeast"/>
                <w:jc w:val="center"/>
              </w:trPr>
              <w:tc>
                <w:tcPr>
                  <w:tcW w:w="317" w:type="dxa"/>
                  <w:noWrap w:val="0"/>
                  <w:vAlign w:val="center"/>
                </w:tcPr>
                <w:p w14:paraId="6C952DA6">
                  <w:pPr>
                    <w:numPr>
                      <w:ilvl w:val="0"/>
                      <w:numId w:val="23"/>
                    </w:numPr>
                    <w:spacing w:line="240" w:lineRule="auto"/>
                    <w:ind w:left="0" w:leftChars="0" w:firstLine="0" w:firstLineChars="0"/>
                    <w:jc w:val="center"/>
                    <w:rPr>
                      <w:rFonts w:hint="eastAsia" w:eastAsia="宋体"/>
                      <w:color w:val="auto"/>
                      <w:sz w:val="18"/>
                      <w:szCs w:val="18"/>
                      <w:highlight w:val="none"/>
                      <w:lang w:eastAsia="zh-CN"/>
                    </w:rPr>
                  </w:pPr>
                </w:p>
              </w:tc>
              <w:tc>
                <w:tcPr>
                  <w:tcW w:w="472" w:type="dxa"/>
                  <w:vMerge w:val="continue"/>
                  <w:noWrap w:val="0"/>
                  <w:vAlign w:val="center"/>
                </w:tcPr>
                <w:p w14:paraId="1EBB18C9">
                  <w:pPr>
                    <w:spacing w:line="240" w:lineRule="auto"/>
                    <w:jc w:val="center"/>
                    <w:rPr>
                      <w:rFonts w:hint="eastAsia" w:eastAsia="宋体"/>
                      <w:color w:val="auto"/>
                      <w:spacing w:val="7"/>
                      <w:sz w:val="18"/>
                      <w:szCs w:val="18"/>
                      <w:highlight w:val="none"/>
                      <w:lang w:eastAsia="zh-CN"/>
                    </w:rPr>
                  </w:pPr>
                </w:p>
              </w:tc>
              <w:tc>
                <w:tcPr>
                  <w:tcW w:w="666" w:type="dxa"/>
                  <w:noWrap w:val="0"/>
                  <w:vAlign w:val="center"/>
                </w:tcPr>
                <w:p w14:paraId="27D784A3">
                  <w:pPr>
                    <w:spacing w:line="240" w:lineRule="auto"/>
                    <w:jc w:val="center"/>
                    <w:rPr>
                      <w:rFonts w:hint="eastAsia" w:eastAsia="宋体"/>
                      <w:color w:val="auto"/>
                      <w:kern w:val="0"/>
                      <w:sz w:val="18"/>
                      <w:szCs w:val="18"/>
                      <w:highlight w:val="none"/>
                      <w:lang w:eastAsia="zh-CN"/>
                    </w:rPr>
                  </w:pPr>
                  <w:r>
                    <w:rPr>
                      <w:rFonts w:hint="eastAsia" w:eastAsia="宋体"/>
                      <w:color w:val="auto"/>
                      <w:spacing w:val="7"/>
                      <w:sz w:val="18"/>
                      <w:szCs w:val="18"/>
                      <w:highlight w:val="none"/>
                      <w:lang w:eastAsia="zh-CN"/>
                    </w:rPr>
                    <w:t>指接机</w:t>
                  </w:r>
                </w:p>
              </w:tc>
              <w:tc>
                <w:tcPr>
                  <w:tcW w:w="620" w:type="dxa"/>
                  <w:noWrap w:val="0"/>
                  <w:vAlign w:val="center"/>
                </w:tcPr>
                <w:p w14:paraId="24272C99">
                  <w:pPr>
                    <w:spacing w:line="240" w:lineRule="auto"/>
                    <w:jc w:val="center"/>
                    <w:rPr>
                      <w:rFonts w:hint="eastAsia" w:eastAsia="宋体"/>
                      <w:color w:val="auto"/>
                      <w:kern w:val="0"/>
                      <w:sz w:val="18"/>
                      <w:szCs w:val="18"/>
                      <w:highlight w:val="none"/>
                      <w:lang w:eastAsia="zh-CN"/>
                    </w:rPr>
                  </w:pPr>
                  <w:r>
                    <w:rPr>
                      <w:rFonts w:hint="eastAsia"/>
                      <w:color w:val="auto"/>
                      <w:kern w:val="0"/>
                      <w:sz w:val="18"/>
                      <w:szCs w:val="18"/>
                      <w:highlight w:val="none"/>
                      <w:lang w:val="en-US" w:eastAsia="zh-CN"/>
                    </w:rPr>
                    <w:t>1</w:t>
                  </w:r>
                </w:p>
              </w:tc>
              <w:tc>
                <w:tcPr>
                  <w:tcW w:w="630" w:type="dxa"/>
                  <w:noWrap w:val="0"/>
                  <w:vAlign w:val="center"/>
                </w:tcPr>
                <w:p w14:paraId="77450E8F">
                  <w:pPr>
                    <w:spacing w:line="240" w:lineRule="auto"/>
                    <w:jc w:val="center"/>
                    <w:rPr>
                      <w:rFonts w:hint="default"/>
                      <w:color w:val="auto"/>
                      <w:kern w:val="0"/>
                      <w:sz w:val="18"/>
                      <w:szCs w:val="18"/>
                      <w:highlight w:val="none"/>
                      <w:lang w:val="en-US"/>
                    </w:rPr>
                  </w:pPr>
                  <w:r>
                    <w:rPr>
                      <w:color w:val="auto"/>
                      <w:kern w:val="0"/>
                      <w:sz w:val="18"/>
                      <w:szCs w:val="18"/>
                      <w:highlight w:val="none"/>
                    </w:rPr>
                    <w:t>≤</w:t>
                  </w:r>
                  <w:r>
                    <w:rPr>
                      <w:rFonts w:hint="eastAsia"/>
                      <w:color w:val="auto"/>
                      <w:kern w:val="0"/>
                      <w:sz w:val="18"/>
                      <w:szCs w:val="18"/>
                      <w:highlight w:val="none"/>
                      <w:lang w:val="en-US" w:eastAsia="zh-CN"/>
                    </w:rPr>
                    <w:t>85</w:t>
                  </w:r>
                </w:p>
              </w:tc>
              <w:tc>
                <w:tcPr>
                  <w:tcW w:w="665" w:type="dxa"/>
                  <w:vMerge w:val="continue"/>
                  <w:noWrap w:val="0"/>
                  <w:vAlign w:val="center"/>
                </w:tcPr>
                <w:p w14:paraId="477AD03E">
                  <w:pPr>
                    <w:spacing w:line="240" w:lineRule="auto"/>
                    <w:jc w:val="center"/>
                    <w:rPr>
                      <w:color w:val="auto"/>
                      <w:sz w:val="18"/>
                      <w:szCs w:val="18"/>
                      <w:highlight w:val="none"/>
                    </w:rPr>
                  </w:pPr>
                </w:p>
              </w:tc>
              <w:tc>
                <w:tcPr>
                  <w:tcW w:w="656" w:type="dxa"/>
                  <w:noWrap w:val="0"/>
                  <w:vAlign w:val="center"/>
                </w:tcPr>
                <w:p w14:paraId="6F666EEE">
                  <w:pPr>
                    <w:spacing w:line="240" w:lineRule="auto"/>
                    <w:jc w:val="center"/>
                    <w:rPr>
                      <w:rFonts w:hint="eastAsia" w:ascii="Times New Roman" w:hAnsi="Times New Roman" w:eastAsia="宋体" w:cs="Times New Roman"/>
                      <w:color w:val="auto"/>
                      <w:spacing w:val="-4"/>
                      <w:sz w:val="18"/>
                      <w:szCs w:val="18"/>
                      <w:highlight w:val="none"/>
                      <w:lang w:val="en-US" w:eastAsia="zh-CN"/>
                    </w:rPr>
                  </w:pPr>
                  <w:r>
                    <w:rPr>
                      <w:rFonts w:hint="eastAsia" w:ascii="Times New Roman" w:hAnsi="Times New Roman" w:eastAsia="宋体" w:cs="Times New Roman"/>
                      <w:color w:val="auto"/>
                      <w:spacing w:val="-4"/>
                      <w:sz w:val="18"/>
                      <w:szCs w:val="18"/>
                      <w:highlight w:val="none"/>
                      <w:lang w:val="en-US" w:eastAsia="zh-CN"/>
                    </w:rPr>
                    <w:t>-44.116</w:t>
                  </w:r>
                </w:p>
              </w:tc>
              <w:tc>
                <w:tcPr>
                  <w:tcW w:w="596" w:type="dxa"/>
                  <w:noWrap w:val="0"/>
                  <w:vAlign w:val="center"/>
                </w:tcPr>
                <w:p w14:paraId="1DAC961A">
                  <w:pPr>
                    <w:spacing w:line="240" w:lineRule="auto"/>
                    <w:jc w:val="center"/>
                    <w:rPr>
                      <w:rFonts w:hint="eastAsia" w:ascii="Times New Roman" w:hAnsi="Times New Roman" w:eastAsia="宋体" w:cs="Times New Roman"/>
                      <w:color w:val="auto"/>
                      <w:spacing w:val="-4"/>
                      <w:sz w:val="18"/>
                      <w:szCs w:val="18"/>
                      <w:highlight w:val="none"/>
                      <w:lang w:val="en-US" w:eastAsia="zh-CN"/>
                    </w:rPr>
                  </w:pPr>
                  <w:r>
                    <w:rPr>
                      <w:rFonts w:hint="eastAsia" w:ascii="Times New Roman" w:hAnsi="Times New Roman" w:eastAsia="宋体" w:cs="Times New Roman"/>
                      <w:color w:val="auto"/>
                      <w:spacing w:val="-4"/>
                      <w:sz w:val="18"/>
                      <w:szCs w:val="18"/>
                      <w:highlight w:val="none"/>
                      <w:lang w:val="en-US" w:eastAsia="zh-CN"/>
                    </w:rPr>
                    <w:t>-24.347</w:t>
                  </w:r>
                </w:p>
              </w:tc>
              <w:tc>
                <w:tcPr>
                  <w:tcW w:w="427" w:type="dxa"/>
                  <w:noWrap w:val="0"/>
                  <w:vAlign w:val="center"/>
                </w:tcPr>
                <w:p w14:paraId="17802D86">
                  <w:pPr>
                    <w:spacing w:line="240" w:lineRule="auto"/>
                    <w:jc w:val="center"/>
                    <w:rPr>
                      <w:rFonts w:hint="default" w:eastAsia="宋体"/>
                      <w:color w:val="auto"/>
                      <w:spacing w:val="-4"/>
                      <w:sz w:val="18"/>
                      <w:szCs w:val="18"/>
                      <w:highlight w:val="none"/>
                      <w:lang w:val="en-US" w:eastAsia="zh-CN"/>
                    </w:rPr>
                  </w:pPr>
                  <w:r>
                    <w:rPr>
                      <w:rFonts w:hint="eastAsia"/>
                      <w:color w:val="auto"/>
                      <w:spacing w:val="-4"/>
                      <w:sz w:val="18"/>
                      <w:szCs w:val="18"/>
                      <w:highlight w:val="none"/>
                      <w:lang w:val="en-US" w:eastAsia="zh-CN"/>
                    </w:rPr>
                    <w:t>1.2</w:t>
                  </w:r>
                </w:p>
              </w:tc>
              <w:tc>
                <w:tcPr>
                  <w:tcW w:w="510" w:type="dxa"/>
                  <w:noWrap w:val="0"/>
                  <w:vAlign w:val="center"/>
                </w:tcPr>
                <w:p w14:paraId="7F37F30C">
                  <w:pPr>
                    <w:spacing w:line="240" w:lineRule="auto"/>
                    <w:jc w:val="center"/>
                    <w:rPr>
                      <w:rFonts w:hint="default" w:eastAsia="宋体"/>
                      <w:color w:val="auto"/>
                      <w:spacing w:val="-5"/>
                      <w:sz w:val="18"/>
                      <w:szCs w:val="18"/>
                      <w:highlight w:val="none"/>
                      <w:lang w:val="en-US" w:eastAsia="zh-CN"/>
                    </w:rPr>
                  </w:pPr>
                  <w:r>
                    <w:rPr>
                      <w:rFonts w:hint="eastAsia"/>
                      <w:color w:val="auto"/>
                      <w:spacing w:val="-5"/>
                      <w:sz w:val="18"/>
                      <w:szCs w:val="18"/>
                      <w:highlight w:val="none"/>
                      <w:lang w:val="en-US" w:eastAsia="zh-CN"/>
                    </w:rPr>
                    <w:t>3.0</w:t>
                  </w:r>
                </w:p>
              </w:tc>
              <w:tc>
                <w:tcPr>
                  <w:tcW w:w="550" w:type="dxa"/>
                  <w:noWrap w:val="0"/>
                  <w:vAlign w:val="center"/>
                </w:tcPr>
                <w:p w14:paraId="6DC41829">
                  <w:pPr>
                    <w:spacing w:line="240" w:lineRule="auto"/>
                    <w:jc w:val="center"/>
                    <w:rPr>
                      <w:rFonts w:hint="default" w:eastAsia="宋体"/>
                      <w:color w:val="auto"/>
                      <w:spacing w:val="2"/>
                      <w:sz w:val="18"/>
                      <w:szCs w:val="18"/>
                      <w:highlight w:val="none"/>
                      <w:lang w:val="en-US" w:eastAsia="zh-CN"/>
                    </w:rPr>
                  </w:pPr>
                  <w:r>
                    <w:rPr>
                      <w:rFonts w:hint="eastAsia" w:eastAsia="宋体"/>
                      <w:color w:val="auto"/>
                      <w:spacing w:val="2"/>
                      <w:sz w:val="18"/>
                      <w:szCs w:val="18"/>
                      <w:highlight w:val="none"/>
                      <w:lang w:val="en-US" w:eastAsia="zh-CN"/>
                    </w:rPr>
                    <w:t>75</w:t>
                  </w:r>
                </w:p>
              </w:tc>
              <w:tc>
                <w:tcPr>
                  <w:tcW w:w="464" w:type="dxa"/>
                  <w:vMerge w:val="continue"/>
                  <w:noWrap w:val="0"/>
                  <w:vAlign w:val="center"/>
                </w:tcPr>
                <w:p w14:paraId="6C13A2F6">
                  <w:pPr>
                    <w:spacing w:line="240" w:lineRule="auto"/>
                    <w:jc w:val="center"/>
                    <w:rPr>
                      <w:color w:val="auto"/>
                      <w:spacing w:val="8"/>
                      <w:sz w:val="18"/>
                      <w:szCs w:val="18"/>
                      <w:highlight w:val="none"/>
                    </w:rPr>
                  </w:pPr>
                </w:p>
              </w:tc>
              <w:tc>
                <w:tcPr>
                  <w:tcW w:w="604" w:type="dxa"/>
                  <w:noWrap w:val="0"/>
                  <w:vAlign w:val="center"/>
                </w:tcPr>
                <w:p w14:paraId="6712C909">
                  <w:pPr>
                    <w:spacing w:line="240" w:lineRule="auto"/>
                    <w:jc w:val="center"/>
                    <w:rPr>
                      <w:color w:val="auto"/>
                      <w:spacing w:val="-5"/>
                      <w:sz w:val="18"/>
                      <w:szCs w:val="18"/>
                      <w:highlight w:val="none"/>
                    </w:rPr>
                  </w:pPr>
                  <w:r>
                    <w:rPr>
                      <w:rFonts w:hint="eastAsia"/>
                      <w:color w:val="auto"/>
                      <w:spacing w:val="-5"/>
                      <w:sz w:val="18"/>
                      <w:szCs w:val="18"/>
                      <w:highlight w:val="none"/>
                      <w:lang w:val="en-US" w:eastAsia="zh-CN"/>
                    </w:rPr>
                    <w:t>15</w:t>
                  </w:r>
                </w:p>
              </w:tc>
              <w:tc>
                <w:tcPr>
                  <w:tcW w:w="688" w:type="dxa"/>
                  <w:noWrap w:val="0"/>
                  <w:vAlign w:val="center"/>
                </w:tcPr>
                <w:p w14:paraId="225B5727">
                  <w:pPr>
                    <w:spacing w:line="240" w:lineRule="auto"/>
                    <w:jc w:val="center"/>
                    <w:rPr>
                      <w:rFonts w:hint="default" w:ascii="Times New Roman" w:hAnsi="Times New Roman" w:eastAsia="宋体" w:cs="Times New Roman"/>
                      <w:color w:val="auto"/>
                      <w:spacing w:val="-5"/>
                      <w:sz w:val="18"/>
                      <w:szCs w:val="18"/>
                      <w:highlight w:val="none"/>
                      <w:lang w:val="en-US" w:eastAsia="zh-CN"/>
                    </w:rPr>
                  </w:pPr>
                  <w:r>
                    <w:rPr>
                      <w:rFonts w:hint="eastAsia" w:ascii="Times New Roman" w:hAnsi="Times New Roman" w:eastAsia="宋体" w:cs="Times New Roman"/>
                      <w:color w:val="auto"/>
                      <w:spacing w:val="-5"/>
                      <w:sz w:val="18"/>
                      <w:szCs w:val="18"/>
                      <w:highlight w:val="none"/>
                      <w:lang w:val="en-US" w:eastAsia="zh-CN"/>
                    </w:rPr>
                    <w:t>54</w:t>
                  </w:r>
                </w:p>
              </w:tc>
              <w:tc>
                <w:tcPr>
                  <w:tcW w:w="599" w:type="dxa"/>
                  <w:noWrap w:val="0"/>
                  <w:vAlign w:val="center"/>
                </w:tcPr>
                <w:p w14:paraId="537ED44E">
                  <w:pPr>
                    <w:spacing w:line="240" w:lineRule="auto"/>
                    <w:jc w:val="center"/>
                    <w:rPr>
                      <w:rFonts w:hint="default" w:eastAsia="宋体"/>
                      <w:color w:val="auto"/>
                      <w:spacing w:val="-4"/>
                      <w:sz w:val="18"/>
                      <w:szCs w:val="18"/>
                      <w:highlight w:val="none"/>
                      <w:lang w:val="en-US" w:eastAsia="zh-CN"/>
                    </w:rPr>
                  </w:pPr>
                  <w:r>
                    <w:rPr>
                      <w:rFonts w:hint="eastAsia" w:eastAsia="宋体"/>
                      <w:color w:val="auto"/>
                      <w:spacing w:val="-4"/>
                      <w:sz w:val="18"/>
                      <w:szCs w:val="18"/>
                      <w:highlight w:val="none"/>
                      <w:lang w:val="en-US" w:eastAsia="zh-CN"/>
                    </w:rPr>
                    <w:t>1</w:t>
                  </w:r>
                </w:p>
              </w:tc>
            </w:tr>
            <w:tr w14:paraId="2DDE73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17" w:type="dxa"/>
                  <w:noWrap w:val="0"/>
                  <w:vAlign w:val="center"/>
                </w:tcPr>
                <w:p w14:paraId="7C58F0DB">
                  <w:pPr>
                    <w:numPr>
                      <w:ilvl w:val="0"/>
                      <w:numId w:val="23"/>
                    </w:numPr>
                    <w:spacing w:line="240" w:lineRule="auto"/>
                    <w:ind w:left="0" w:leftChars="0" w:firstLine="0" w:firstLineChars="0"/>
                    <w:jc w:val="center"/>
                    <w:rPr>
                      <w:rFonts w:hint="eastAsia" w:eastAsia="宋体"/>
                      <w:color w:val="auto"/>
                      <w:sz w:val="18"/>
                      <w:szCs w:val="18"/>
                      <w:highlight w:val="none"/>
                      <w:lang w:eastAsia="zh-CN"/>
                    </w:rPr>
                  </w:pPr>
                </w:p>
              </w:tc>
              <w:tc>
                <w:tcPr>
                  <w:tcW w:w="472" w:type="dxa"/>
                  <w:vMerge w:val="continue"/>
                  <w:noWrap w:val="0"/>
                  <w:vAlign w:val="center"/>
                </w:tcPr>
                <w:p w14:paraId="2DED8A7F">
                  <w:pPr>
                    <w:spacing w:line="240" w:lineRule="auto"/>
                    <w:jc w:val="center"/>
                    <w:rPr>
                      <w:rFonts w:hint="eastAsia" w:eastAsia="宋体"/>
                      <w:color w:val="auto"/>
                      <w:spacing w:val="7"/>
                      <w:sz w:val="18"/>
                      <w:szCs w:val="18"/>
                      <w:highlight w:val="none"/>
                      <w:lang w:eastAsia="zh-CN"/>
                    </w:rPr>
                  </w:pPr>
                </w:p>
              </w:tc>
              <w:tc>
                <w:tcPr>
                  <w:tcW w:w="666" w:type="dxa"/>
                  <w:noWrap w:val="0"/>
                  <w:vAlign w:val="center"/>
                </w:tcPr>
                <w:p w14:paraId="5E8B3641">
                  <w:pPr>
                    <w:spacing w:line="240" w:lineRule="auto"/>
                    <w:jc w:val="center"/>
                    <w:rPr>
                      <w:rFonts w:hint="eastAsia" w:eastAsia="宋体"/>
                      <w:color w:val="auto"/>
                      <w:spacing w:val="7"/>
                      <w:sz w:val="18"/>
                      <w:szCs w:val="18"/>
                      <w:highlight w:val="none"/>
                      <w:lang w:eastAsia="zh-CN"/>
                    </w:rPr>
                  </w:pPr>
                  <w:r>
                    <w:rPr>
                      <w:rFonts w:hint="eastAsia" w:eastAsia="宋体"/>
                      <w:color w:val="auto"/>
                      <w:spacing w:val="7"/>
                      <w:sz w:val="18"/>
                      <w:szCs w:val="18"/>
                      <w:highlight w:val="none"/>
                      <w:lang w:eastAsia="zh-CN"/>
                    </w:rPr>
                    <w:t>磨刀机</w:t>
                  </w:r>
                </w:p>
              </w:tc>
              <w:tc>
                <w:tcPr>
                  <w:tcW w:w="620" w:type="dxa"/>
                  <w:noWrap w:val="0"/>
                  <w:vAlign w:val="center"/>
                </w:tcPr>
                <w:p w14:paraId="3A52A58C">
                  <w:pPr>
                    <w:spacing w:line="240" w:lineRule="auto"/>
                    <w:jc w:val="center"/>
                    <w:rPr>
                      <w:rFonts w:hint="default"/>
                      <w:color w:val="auto"/>
                      <w:kern w:val="0"/>
                      <w:sz w:val="18"/>
                      <w:szCs w:val="18"/>
                      <w:highlight w:val="none"/>
                      <w:lang w:val="en-US" w:eastAsia="zh-CN"/>
                    </w:rPr>
                  </w:pPr>
                  <w:r>
                    <w:rPr>
                      <w:rFonts w:hint="eastAsia"/>
                      <w:color w:val="auto"/>
                      <w:kern w:val="0"/>
                      <w:sz w:val="18"/>
                      <w:szCs w:val="18"/>
                      <w:highlight w:val="none"/>
                      <w:lang w:val="en-US" w:eastAsia="zh-CN"/>
                    </w:rPr>
                    <w:t>1</w:t>
                  </w:r>
                </w:p>
              </w:tc>
              <w:tc>
                <w:tcPr>
                  <w:tcW w:w="630" w:type="dxa"/>
                  <w:noWrap w:val="0"/>
                  <w:vAlign w:val="center"/>
                </w:tcPr>
                <w:p w14:paraId="09F15377">
                  <w:pPr>
                    <w:spacing w:line="240" w:lineRule="auto"/>
                    <w:jc w:val="center"/>
                    <w:rPr>
                      <w:rFonts w:hint="default"/>
                      <w:color w:val="auto"/>
                      <w:kern w:val="0"/>
                      <w:sz w:val="18"/>
                      <w:szCs w:val="18"/>
                      <w:highlight w:val="none"/>
                      <w:lang w:val="en-US"/>
                    </w:rPr>
                  </w:pPr>
                  <w:r>
                    <w:rPr>
                      <w:color w:val="auto"/>
                      <w:kern w:val="0"/>
                      <w:sz w:val="18"/>
                      <w:szCs w:val="18"/>
                      <w:highlight w:val="none"/>
                    </w:rPr>
                    <w:t>≤</w:t>
                  </w:r>
                  <w:r>
                    <w:rPr>
                      <w:rFonts w:hint="eastAsia"/>
                      <w:color w:val="auto"/>
                      <w:kern w:val="0"/>
                      <w:sz w:val="18"/>
                      <w:szCs w:val="18"/>
                      <w:highlight w:val="none"/>
                      <w:lang w:val="en-US" w:eastAsia="zh-CN"/>
                    </w:rPr>
                    <w:t>85</w:t>
                  </w:r>
                </w:p>
              </w:tc>
              <w:tc>
                <w:tcPr>
                  <w:tcW w:w="665" w:type="dxa"/>
                  <w:vMerge w:val="continue"/>
                  <w:noWrap w:val="0"/>
                  <w:vAlign w:val="center"/>
                </w:tcPr>
                <w:p w14:paraId="4937A560">
                  <w:pPr>
                    <w:spacing w:line="240" w:lineRule="auto"/>
                    <w:jc w:val="center"/>
                    <w:rPr>
                      <w:color w:val="auto"/>
                      <w:sz w:val="18"/>
                      <w:szCs w:val="18"/>
                      <w:highlight w:val="none"/>
                    </w:rPr>
                  </w:pPr>
                </w:p>
              </w:tc>
              <w:tc>
                <w:tcPr>
                  <w:tcW w:w="656" w:type="dxa"/>
                  <w:noWrap w:val="0"/>
                  <w:vAlign w:val="center"/>
                </w:tcPr>
                <w:p w14:paraId="2557822F">
                  <w:pPr>
                    <w:spacing w:line="240" w:lineRule="auto"/>
                    <w:jc w:val="center"/>
                    <w:rPr>
                      <w:rFonts w:hint="eastAsia" w:ascii="Times New Roman" w:hAnsi="Times New Roman" w:eastAsia="宋体" w:cs="Times New Roman"/>
                      <w:color w:val="auto"/>
                      <w:spacing w:val="-4"/>
                      <w:sz w:val="18"/>
                      <w:szCs w:val="18"/>
                      <w:highlight w:val="none"/>
                      <w:lang w:val="en-US" w:eastAsia="zh-CN"/>
                    </w:rPr>
                  </w:pPr>
                  <w:r>
                    <w:rPr>
                      <w:rFonts w:hint="eastAsia" w:ascii="Times New Roman" w:hAnsi="Times New Roman" w:eastAsia="宋体" w:cs="Times New Roman"/>
                      <w:color w:val="auto"/>
                      <w:spacing w:val="-4"/>
                      <w:sz w:val="18"/>
                      <w:szCs w:val="18"/>
                      <w:highlight w:val="none"/>
                      <w:lang w:val="en-US" w:eastAsia="zh-CN"/>
                    </w:rPr>
                    <w:t>-50.175</w:t>
                  </w:r>
                </w:p>
              </w:tc>
              <w:tc>
                <w:tcPr>
                  <w:tcW w:w="596" w:type="dxa"/>
                  <w:noWrap w:val="0"/>
                  <w:vAlign w:val="center"/>
                </w:tcPr>
                <w:p w14:paraId="05F2D195">
                  <w:pPr>
                    <w:spacing w:line="240" w:lineRule="auto"/>
                    <w:jc w:val="center"/>
                    <w:rPr>
                      <w:rFonts w:hint="eastAsia" w:ascii="Times New Roman" w:hAnsi="Times New Roman" w:eastAsia="宋体" w:cs="Times New Roman"/>
                      <w:color w:val="auto"/>
                      <w:spacing w:val="-4"/>
                      <w:sz w:val="18"/>
                      <w:szCs w:val="18"/>
                      <w:highlight w:val="none"/>
                      <w:lang w:val="en-US" w:eastAsia="zh-CN"/>
                    </w:rPr>
                  </w:pPr>
                  <w:r>
                    <w:rPr>
                      <w:rFonts w:hint="eastAsia" w:ascii="Times New Roman" w:hAnsi="Times New Roman" w:eastAsia="宋体" w:cs="Times New Roman"/>
                      <w:color w:val="auto"/>
                      <w:spacing w:val="-4"/>
                      <w:sz w:val="18"/>
                      <w:szCs w:val="18"/>
                      <w:highlight w:val="none"/>
                      <w:lang w:val="en-US" w:eastAsia="zh-CN"/>
                    </w:rPr>
                    <w:t>-21.44</w:t>
                  </w:r>
                </w:p>
              </w:tc>
              <w:tc>
                <w:tcPr>
                  <w:tcW w:w="427" w:type="dxa"/>
                  <w:noWrap w:val="0"/>
                  <w:vAlign w:val="center"/>
                </w:tcPr>
                <w:p w14:paraId="785CC922">
                  <w:pPr>
                    <w:spacing w:line="240" w:lineRule="auto"/>
                    <w:jc w:val="center"/>
                    <w:rPr>
                      <w:rFonts w:hint="eastAsia"/>
                      <w:color w:val="auto"/>
                      <w:spacing w:val="-4"/>
                      <w:sz w:val="18"/>
                      <w:szCs w:val="18"/>
                      <w:highlight w:val="none"/>
                      <w:lang w:val="en-US" w:eastAsia="zh-CN"/>
                    </w:rPr>
                  </w:pPr>
                  <w:r>
                    <w:rPr>
                      <w:rFonts w:hint="eastAsia"/>
                      <w:color w:val="auto"/>
                      <w:spacing w:val="-4"/>
                      <w:sz w:val="18"/>
                      <w:szCs w:val="18"/>
                      <w:highlight w:val="none"/>
                      <w:lang w:val="en-US" w:eastAsia="zh-CN"/>
                    </w:rPr>
                    <w:t>1.2</w:t>
                  </w:r>
                </w:p>
              </w:tc>
              <w:tc>
                <w:tcPr>
                  <w:tcW w:w="510" w:type="dxa"/>
                  <w:noWrap w:val="0"/>
                  <w:vAlign w:val="center"/>
                </w:tcPr>
                <w:p w14:paraId="2B711FDF">
                  <w:pPr>
                    <w:spacing w:line="240" w:lineRule="auto"/>
                    <w:jc w:val="center"/>
                    <w:rPr>
                      <w:rFonts w:hint="default"/>
                      <w:color w:val="auto"/>
                      <w:spacing w:val="-5"/>
                      <w:sz w:val="18"/>
                      <w:szCs w:val="18"/>
                      <w:highlight w:val="none"/>
                      <w:lang w:val="en-US" w:eastAsia="zh-CN"/>
                    </w:rPr>
                  </w:pPr>
                  <w:r>
                    <w:rPr>
                      <w:rFonts w:hint="eastAsia"/>
                      <w:color w:val="auto"/>
                      <w:spacing w:val="-5"/>
                      <w:sz w:val="18"/>
                      <w:szCs w:val="18"/>
                      <w:highlight w:val="none"/>
                      <w:lang w:val="en-US" w:eastAsia="zh-CN"/>
                    </w:rPr>
                    <w:t>3.0</w:t>
                  </w:r>
                </w:p>
              </w:tc>
              <w:tc>
                <w:tcPr>
                  <w:tcW w:w="550" w:type="dxa"/>
                  <w:noWrap w:val="0"/>
                  <w:vAlign w:val="center"/>
                </w:tcPr>
                <w:p w14:paraId="2012D76E">
                  <w:pPr>
                    <w:spacing w:line="240" w:lineRule="auto"/>
                    <w:jc w:val="center"/>
                    <w:rPr>
                      <w:rFonts w:hint="default"/>
                      <w:color w:val="auto"/>
                      <w:spacing w:val="2"/>
                      <w:sz w:val="18"/>
                      <w:szCs w:val="18"/>
                      <w:highlight w:val="none"/>
                      <w:lang w:val="en-US" w:eastAsia="zh-CN"/>
                    </w:rPr>
                  </w:pPr>
                  <w:r>
                    <w:rPr>
                      <w:rFonts w:hint="eastAsia"/>
                      <w:color w:val="auto"/>
                      <w:spacing w:val="2"/>
                      <w:sz w:val="18"/>
                      <w:szCs w:val="18"/>
                      <w:highlight w:val="none"/>
                      <w:lang w:val="en-US" w:eastAsia="zh-CN"/>
                    </w:rPr>
                    <w:t>75</w:t>
                  </w:r>
                </w:p>
              </w:tc>
              <w:tc>
                <w:tcPr>
                  <w:tcW w:w="464" w:type="dxa"/>
                  <w:vMerge w:val="continue"/>
                  <w:noWrap w:val="0"/>
                  <w:vAlign w:val="center"/>
                </w:tcPr>
                <w:p w14:paraId="6C94E548">
                  <w:pPr>
                    <w:spacing w:line="240" w:lineRule="auto"/>
                    <w:jc w:val="center"/>
                    <w:rPr>
                      <w:color w:val="auto"/>
                      <w:spacing w:val="8"/>
                      <w:sz w:val="18"/>
                      <w:szCs w:val="18"/>
                      <w:highlight w:val="none"/>
                    </w:rPr>
                  </w:pPr>
                </w:p>
              </w:tc>
              <w:tc>
                <w:tcPr>
                  <w:tcW w:w="604" w:type="dxa"/>
                  <w:noWrap w:val="0"/>
                  <w:vAlign w:val="center"/>
                </w:tcPr>
                <w:p w14:paraId="605BC88F">
                  <w:pPr>
                    <w:spacing w:line="240" w:lineRule="auto"/>
                    <w:jc w:val="center"/>
                    <w:rPr>
                      <w:rFonts w:hint="eastAsia"/>
                      <w:color w:val="auto"/>
                      <w:spacing w:val="-5"/>
                      <w:sz w:val="18"/>
                      <w:szCs w:val="18"/>
                      <w:highlight w:val="none"/>
                      <w:lang w:val="en-US" w:eastAsia="zh-CN"/>
                    </w:rPr>
                  </w:pPr>
                  <w:r>
                    <w:rPr>
                      <w:rFonts w:hint="eastAsia"/>
                      <w:color w:val="auto"/>
                      <w:spacing w:val="-5"/>
                      <w:sz w:val="18"/>
                      <w:szCs w:val="18"/>
                      <w:highlight w:val="none"/>
                      <w:lang w:val="en-US" w:eastAsia="zh-CN"/>
                    </w:rPr>
                    <w:t>15</w:t>
                  </w:r>
                </w:p>
              </w:tc>
              <w:tc>
                <w:tcPr>
                  <w:tcW w:w="688" w:type="dxa"/>
                  <w:noWrap w:val="0"/>
                  <w:vAlign w:val="center"/>
                </w:tcPr>
                <w:p w14:paraId="487C630D">
                  <w:pPr>
                    <w:spacing w:line="240" w:lineRule="auto"/>
                    <w:jc w:val="center"/>
                    <w:rPr>
                      <w:rFonts w:hint="eastAsia" w:ascii="Times New Roman" w:hAnsi="Times New Roman" w:eastAsia="宋体" w:cs="Times New Roman"/>
                      <w:color w:val="auto"/>
                      <w:spacing w:val="-5"/>
                      <w:sz w:val="18"/>
                      <w:szCs w:val="18"/>
                      <w:highlight w:val="none"/>
                      <w:lang w:val="en-US" w:eastAsia="zh-CN"/>
                    </w:rPr>
                  </w:pPr>
                  <w:r>
                    <w:rPr>
                      <w:rFonts w:hint="eastAsia" w:ascii="Times New Roman" w:hAnsi="Times New Roman" w:eastAsia="宋体" w:cs="Times New Roman"/>
                      <w:color w:val="auto"/>
                      <w:spacing w:val="-5"/>
                      <w:sz w:val="18"/>
                      <w:szCs w:val="18"/>
                      <w:highlight w:val="none"/>
                      <w:lang w:val="en-US" w:eastAsia="zh-CN"/>
                    </w:rPr>
                    <w:t>54</w:t>
                  </w:r>
                </w:p>
              </w:tc>
              <w:tc>
                <w:tcPr>
                  <w:tcW w:w="599" w:type="dxa"/>
                  <w:noWrap w:val="0"/>
                  <w:vAlign w:val="center"/>
                </w:tcPr>
                <w:p w14:paraId="33446710">
                  <w:pPr>
                    <w:spacing w:line="240" w:lineRule="auto"/>
                    <w:jc w:val="center"/>
                    <w:rPr>
                      <w:rFonts w:hint="eastAsia"/>
                      <w:color w:val="auto"/>
                      <w:spacing w:val="-4"/>
                      <w:sz w:val="18"/>
                      <w:szCs w:val="18"/>
                      <w:highlight w:val="none"/>
                      <w:lang w:val="en-US" w:eastAsia="zh-CN"/>
                    </w:rPr>
                  </w:pPr>
                  <w:r>
                    <w:rPr>
                      <w:rFonts w:hint="eastAsia" w:eastAsia="宋体"/>
                      <w:color w:val="auto"/>
                      <w:spacing w:val="-4"/>
                      <w:sz w:val="18"/>
                      <w:szCs w:val="18"/>
                      <w:highlight w:val="none"/>
                      <w:lang w:val="en-US" w:eastAsia="zh-CN"/>
                    </w:rPr>
                    <w:t>1</w:t>
                  </w:r>
                </w:p>
              </w:tc>
            </w:tr>
            <w:tr w14:paraId="3B3FD8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17" w:type="dxa"/>
                  <w:noWrap w:val="0"/>
                  <w:vAlign w:val="center"/>
                </w:tcPr>
                <w:p w14:paraId="669923F4">
                  <w:pPr>
                    <w:numPr>
                      <w:ilvl w:val="0"/>
                      <w:numId w:val="23"/>
                    </w:numPr>
                    <w:spacing w:line="240" w:lineRule="auto"/>
                    <w:ind w:left="0" w:leftChars="0" w:firstLine="0" w:firstLineChars="0"/>
                    <w:jc w:val="center"/>
                    <w:rPr>
                      <w:rFonts w:hint="eastAsia"/>
                      <w:color w:val="auto"/>
                      <w:sz w:val="18"/>
                      <w:szCs w:val="18"/>
                      <w:highlight w:val="none"/>
                      <w:lang w:val="en-US" w:eastAsia="zh-CN"/>
                    </w:rPr>
                  </w:pPr>
                </w:p>
              </w:tc>
              <w:tc>
                <w:tcPr>
                  <w:tcW w:w="472" w:type="dxa"/>
                  <w:vMerge w:val="continue"/>
                  <w:noWrap w:val="0"/>
                  <w:vAlign w:val="center"/>
                </w:tcPr>
                <w:p w14:paraId="3B9FBA4C">
                  <w:pPr>
                    <w:spacing w:line="240" w:lineRule="auto"/>
                    <w:jc w:val="center"/>
                    <w:rPr>
                      <w:rFonts w:hint="eastAsia"/>
                      <w:color w:val="auto"/>
                      <w:spacing w:val="7"/>
                      <w:sz w:val="18"/>
                      <w:szCs w:val="18"/>
                      <w:highlight w:val="none"/>
                      <w:lang w:eastAsia="zh-CN"/>
                    </w:rPr>
                  </w:pPr>
                </w:p>
              </w:tc>
              <w:tc>
                <w:tcPr>
                  <w:tcW w:w="666" w:type="dxa"/>
                  <w:noWrap w:val="0"/>
                  <w:vAlign w:val="center"/>
                </w:tcPr>
                <w:p w14:paraId="0F426E9C">
                  <w:pPr>
                    <w:spacing w:line="240" w:lineRule="auto"/>
                    <w:jc w:val="center"/>
                    <w:rPr>
                      <w:rFonts w:hint="eastAsia"/>
                      <w:color w:val="auto"/>
                      <w:kern w:val="0"/>
                      <w:sz w:val="18"/>
                      <w:szCs w:val="18"/>
                      <w:highlight w:val="none"/>
                      <w:lang w:eastAsia="zh-CN"/>
                    </w:rPr>
                  </w:pPr>
                  <w:r>
                    <w:rPr>
                      <w:rFonts w:hint="eastAsia"/>
                      <w:color w:val="auto"/>
                      <w:spacing w:val="7"/>
                      <w:sz w:val="18"/>
                      <w:szCs w:val="18"/>
                      <w:highlight w:val="none"/>
                      <w:lang w:eastAsia="zh-CN"/>
                    </w:rPr>
                    <w:t>锯类</w:t>
                  </w:r>
                </w:p>
              </w:tc>
              <w:tc>
                <w:tcPr>
                  <w:tcW w:w="620" w:type="dxa"/>
                  <w:noWrap w:val="0"/>
                  <w:vAlign w:val="center"/>
                </w:tcPr>
                <w:p w14:paraId="6D02A740">
                  <w:pPr>
                    <w:spacing w:line="240" w:lineRule="auto"/>
                    <w:jc w:val="center"/>
                    <w:rPr>
                      <w:rFonts w:hint="default" w:eastAsia="宋体"/>
                      <w:color w:val="auto"/>
                      <w:kern w:val="0"/>
                      <w:sz w:val="18"/>
                      <w:szCs w:val="18"/>
                      <w:highlight w:val="none"/>
                      <w:lang w:val="en-US" w:eastAsia="zh-CN"/>
                    </w:rPr>
                  </w:pPr>
                  <w:r>
                    <w:rPr>
                      <w:rFonts w:hint="eastAsia"/>
                      <w:color w:val="auto"/>
                      <w:kern w:val="0"/>
                      <w:sz w:val="18"/>
                      <w:szCs w:val="18"/>
                      <w:highlight w:val="none"/>
                      <w:lang w:val="en-US" w:eastAsia="zh-CN"/>
                    </w:rPr>
                    <w:t>3</w:t>
                  </w:r>
                </w:p>
              </w:tc>
              <w:tc>
                <w:tcPr>
                  <w:tcW w:w="630" w:type="dxa"/>
                  <w:noWrap w:val="0"/>
                  <w:vAlign w:val="center"/>
                </w:tcPr>
                <w:p w14:paraId="079D4ABA">
                  <w:pPr>
                    <w:spacing w:line="240" w:lineRule="auto"/>
                    <w:jc w:val="center"/>
                    <w:rPr>
                      <w:rFonts w:hint="default" w:eastAsia="宋体"/>
                      <w:color w:val="auto"/>
                      <w:kern w:val="0"/>
                      <w:sz w:val="18"/>
                      <w:szCs w:val="18"/>
                      <w:highlight w:val="none"/>
                      <w:lang w:val="en-US" w:eastAsia="zh-CN"/>
                    </w:rPr>
                  </w:pPr>
                  <w:r>
                    <w:rPr>
                      <w:color w:val="auto"/>
                      <w:kern w:val="0"/>
                      <w:sz w:val="18"/>
                      <w:szCs w:val="18"/>
                      <w:highlight w:val="none"/>
                    </w:rPr>
                    <w:t>≤</w:t>
                  </w:r>
                  <w:r>
                    <w:rPr>
                      <w:rFonts w:hint="eastAsia"/>
                      <w:color w:val="auto"/>
                      <w:kern w:val="0"/>
                      <w:sz w:val="18"/>
                      <w:szCs w:val="18"/>
                      <w:highlight w:val="none"/>
                      <w:lang w:val="en-US" w:eastAsia="zh-CN"/>
                    </w:rPr>
                    <w:t>85</w:t>
                  </w:r>
                </w:p>
              </w:tc>
              <w:tc>
                <w:tcPr>
                  <w:tcW w:w="665" w:type="dxa"/>
                  <w:vMerge w:val="continue"/>
                  <w:noWrap w:val="0"/>
                  <w:vAlign w:val="center"/>
                </w:tcPr>
                <w:p w14:paraId="58ED3FF4">
                  <w:pPr>
                    <w:spacing w:line="240" w:lineRule="auto"/>
                    <w:jc w:val="center"/>
                    <w:rPr>
                      <w:color w:val="auto"/>
                      <w:sz w:val="18"/>
                      <w:szCs w:val="18"/>
                      <w:highlight w:val="none"/>
                    </w:rPr>
                  </w:pPr>
                </w:p>
              </w:tc>
              <w:tc>
                <w:tcPr>
                  <w:tcW w:w="656" w:type="dxa"/>
                  <w:noWrap w:val="0"/>
                  <w:vAlign w:val="center"/>
                </w:tcPr>
                <w:p w14:paraId="7966B4AF">
                  <w:pPr>
                    <w:spacing w:line="240" w:lineRule="auto"/>
                    <w:jc w:val="center"/>
                    <w:rPr>
                      <w:rFonts w:hint="eastAsia" w:ascii="Times New Roman" w:hAnsi="Times New Roman" w:eastAsia="宋体" w:cs="Times New Roman"/>
                      <w:color w:val="auto"/>
                      <w:spacing w:val="-4"/>
                      <w:sz w:val="18"/>
                      <w:szCs w:val="18"/>
                      <w:highlight w:val="none"/>
                      <w:lang w:val="en-US" w:eastAsia="zh-CN"/>
                    </w:rPr>
                  </w:pPr>
                  <w:r>
                    <w:rPr>
                      <w:rFonts w:hint="eastAsia" w:ascii="Times New Roman" w:hAnsi="Times New Roman" w:eastAsia="宋体" w:cs="Times New Roman"/>
                      <w:color w:val="auto"/>
                      <w:spacing w:val="-4"/>
                      <w:sz w:val="18"/>
                      <w:szCs w:val="18"/>
                      <w:highlight w:val="none"/>
                      <w:lang w:val="en-US" w:eastAsia="zh-CN"/>
                    </w:rPr>
                    <w:t>-61.648</w:t>
                  </w:r>
                </w:p>
              </w:tc>
              <w:tc>
                <w:tcPr>
                  <w:tcW w:w="596" w:type="dxa"/>
                  <w:noWrap w:val="0"/>
                  <w:vAlign w:val="center"/>
                </w:tcPr>
                <w:p w14:paraId="503137BA">
                  <w:pPr>
                    <w:spacing w:line="240" w:lineRule="auto"/>
                    <w:jc w:val="center"/>
                    <w:rPr>
                      <w:rFonts w:hint="eastAsia" w:ascii="Times New Roman" w:hAnsi="Times New Roman" w:eastAsia="宋体" w:cs="Times New Roman"/>
                      <w:color w:val="auto"/>
                      <w:spacing w:val="-4"/>
                      <w:sz w:val="18"/>
                      <w:szCs w:val="18"/>
                      <w:highlight w:val="none"/>
                      <w:lang w:val="en-US" w:eastAsia="zh-CN"/>
                    </w:rPr>
                  </w:pPr>
                  <w:r>
                    <w:rPr>
                      <w:rFonts w:hint="eastAsia" w:ascii="Times New Roman" w:hAnsi="Times New Roman" w:eastAsia="宋体" w:cs="Times New Roman"/>
                      <w:color w:val="auto"/>
                      <w:spacing w:val="-4"/>
                      <w:sz w:val="18"/>
                      <w:szCs w:val="18"/>
                      <w:highlight w:val="none"/>
                      <w:lang w:val="en-US" w:eastAsia="zh-CN"/>
                    </w:rPr>
                    <w:t>-13.534</w:t>
                  </w:r>
                </w:p>
              </w:tc>
              <w:tc>
                <w:tcPr>
                  <w:tcW w:w="427" w:type="dxa"/>
                  <w:noWrap w:val="0"/>
                  <w:vAlign w:val="center"/>
                </w:tcPr>
                <w:p w14:paraId="546A75B3">
                  <w:pPr>
                    <w:spacing w:line="240" w:lineRule="auto"/>
                    <w:jc w:val="center"/>
                    <w:rPr>
                      <w:rFonts w:hint="default" w:eastAsia="宋体"/>
                      <w:color w:val="auto"/>
                      <w:spacing w:val="-4"/>
                      <w:sz w:val="18"/>
                      <w:szCs w:val="18"/>
                      <w:highlight w:val="none"/>
                      <w:lang w:val="en-US" w:eastAsia="zh-CN"/>
                    </w:rPr>
                  </w:pPr>
                  <w:r>
                    <w:rPr>
                      <w:rFonts w:hint="eastAsia"/>
                      <w:color w:val="auto"/>
                      <w:spacing w:val="-4"/>
                      <w:sz w:val="18"/>
                      <w:szCs w:val="18"/>
                      <w:highlight w:val="none"/>
                      <w:lang w:val="en-US" w:eastAsia="zh-CN"/>
                    </w:rPr>
                    <w:t>1.2</w:t>
                  </w:r>
                </w:p>
              </w:tc>
              <w:tc>
                <w:tcPr>
                  <w:tcW w:w="510" w:type="dxa"/>
                  <w:noWrap w:val="0"/>
                  <w:vAlign w:val="center"/>
                </w:tcPr>
                <w:p w14:paraId="3C3A37D6">
                  <w:pPr>
                    <w:spacing w:line="240" w:lineRule="auto"/>
                    <w:jc w:val="center"/>
                    <w:rPr>
                      <w:rFonts w:hint="default" w:eastAsia="宋体"/>
                      <w:color w:val="auto"/>
                      <w:spacing w:val="-5"/>
                      <w:sz w:val="18"/>
                      <w:szCs w:val="18"/>
                      <w:highlight w:val="none"/>
                      <w:lang w:val="en-US" w:eastAsia="zh-CN"/>
                    </w:rPr>
                  </w:pPr>
                  <w:r>
                    <w:rPr>
                      <w:rFonts w:hint="eastAsia" w:eastAsia="宋体"/>
                      <w:color w:val="auto"/>
                      <w:spacing w:val="-5"/>
                      <w:sz w:val="18"/>
                      <w:szCs w:val="18"/>
                      <w:highlight w:val="none"/>
                      <w:lang w:val="en-US" w:eastAsia="zh-CN"/>
                    </w:rPr>
                    <w:t>3.0</w:t>
                  </w:r>
                </w:p>
              </w:tc>
              <w:tc>
                <w:tcPr>
                  <w:tcW w:w="550" w:type="dxa"/>
                  <w:noWrap w:val="0"/>
                  <w:vAlign w:val="center"/>
                </w:tcPr>
                <w:p w14:paraId="77D4A5E6">
                  <w:pPr>
                    <w:spacing w:line="240" w:lineRule="auto"/>
                    <w:jc w:val="center"/>
                    <w:rPr>
                      <w:rFonts w:hint="default" w:eastAsia="宋体"/>
                      <w:color w:val="auto"/>
                      <w:spacing w:val="2"/>
                      <w:sz w:val="18"/>
                      <w:szCs w:val="18"/>
                      <w:highlight w:val="none"/>
                      <w:lang w:val="en-US" w:eastAsia="zh-CN"/>
                    </w:rPr>
                  </w:pPr>
                  <w:r>
                    <w:rPr>
                      <w:rFonts w:hint="eastAsia" w:eastAsia="宋体"/>
                      <w:color w:val="auto"/>
                      <w:spacing w:val="2"/>
                      <w:sz w:val="18"/>
                      <w:szCs w:val="18"/>
                      <w:highlight w:val="none"/>
                      <w:lang w:val="en-US" w:eastAsia="zh-CN"/>
                    </w:rPr>
                    <w:t>80</w:t>
                  </w:r>
                </w:p>
              </w:tc>
              <w:tc>
                <w:tcPr>
                  <w:tcW w:w="464" w:type="dxa"/>
                  <w:vMerge w:val="continue"/>
                  <w:noWrap w:val="0"/>
                  <w:vAlign w:val="center"/>
                </w:tcPr>
                <w:p w14:paraId="29DD27E7">
                  <w:pPr>
                    <w:spacing w:line="240" w:lineRule="auto"/>
                    <w:jc w:val="center"/>
                    <w:rPr>
                      <w:color w:val="auto"/>
                      <w:spacing w:val="8"/>
                      <w:sz w:val="18"/>
                      <w:szCs w:val="18"/>
                      <w:highlight w:val="none"/>
                    </w:rPr>
                  </w:pPr>
                </w:p>
              </w:tc>
              <w:tc>
                <w:tcPr>
                  <w:tcW w:w="604" w:type="dxa"/>
                  <w:noWrap w:val="0"/>
                  <w:vAlign w:val="center"/>
                </w:tcPr>
                <w:p w14:paraId="080054FC">
                  <w:pPr>
                    <w:spacing w:line="240" w:lineRule="auto"/>
                    <w:jc w:val="center"/>
                    <w:rPr>
                      <w:rFonts w:hint="eastAsia"/>
                      <w:color w:val="auto"/>
                      <w:spacing w:val="-5"/>
                      <w:sz w:val="18"/>
                      <w:szCs w:val="18"/>
                      <w:highlight w:val="none"/>
                    </w:rPr>
                  </w:pPr>
                  <w:r>
                    <w:rPr>
                      <w:rFonts w:hint="eastAsia"/>
                      <w:color w:val="auto"/>
                      <w:spacing w:val="-5"/>
                      <w:sz w:val="18"/>
                      <w:szCs w:val="18"/>
                      <w:highlight w:val="none"/>
                      <w:lang w:val="en-US" w:eastAsia="zh-CN"/>
                    </w:rPr>
                    <w:t>15</w:t>
                  </w:r>
                </w:p>
              </w:tc>
              <w:tc>
                <w:tcPr>
                  <w:tcW w:w="688" w:type="dxa"/>
                  <w:noWrap w:val="0"/>
                  <w:vAlign w:val="center"/>
                </w:tcPr>
                <w:p w14:paraId="21431C1C">
                  <w:pPr>
                    <w:spacing w:line="240" w:lineRule="auto"/>
                    <w:jc w:val="center"/>
                    <w:rPr>
                      <w:rFonts w:hint="default" w:ascii="Times New Roman" w:hAnsi="Times New Roman" w:eastAsia="宋体" w:cs="Times New Roman"/>
                      <w:color w:val="auto"/>
                      <w:spacing w:val="-5"/>
                      <w:sz w:val="18"/>
                      <w:szCs w:val="18"/>
                      <w:highlight w:val="none"/>
                      <w:lang w:val="en-US" w:eastAsia="zh-CN"/>
                    </w:rPr>
                  </w:pPr>
                  <w:r>
                    <w:rPr>
                      <w:rFonts w:hint="eastAsia" w:ascii="Times New Roman" w:hAnsi="Times New Roman" w:eastAsia="宋体" w:cs="Times New Roman"/>
                      <w:color w:val="auto"/>
                      <w:spacing w:val="-5"/>
                      <w:sz w:val="18"/>
                      <w:szCs w:val="18"/>
                      <w:highlight w:val="none"/>
                      <w:lang w:val="en-US" w:eastAsia="zh-CN"/>
                    </w:rPr>
                    <w:t>59</w:t>
                  </w:r>
                </w:p>
              </w:tc>
              <w:tc>
                <w:tcPr>
                  <w:tcW w:w="599" w:type="dxa"/>
                  <w:noWrap w:val="0"/>
                  <w:vAlign w:val="center"/>
                </w:tcPr>
                <w:p w14:paraId="10C0DD2F">
                  <w:pPr>
                    <w:spacing w:line="240" w:lineRule="auto"/>
                    <w:jc w:val="center"/>
                    <w:rPr>
                      <w:rFonts w:hint="default" w:eastAsia="宋体"/>
                      <w:color w:val="auto"/>
                      <w:spacing w:val="-4"/>
                      <w:sz w:val="18"/>
                      <w:szCs w:val="18"/>
                      <w:highlight w:val="none"/>
                      <w:lang w:val="en-US" w:eastAsia="zh-CN"/>
                    </w:rPr>
                  </w:pPr>
                  <w:r>
                    <w:rPr>
                      <w:rFonts w:hint="eastAsia" w:eastAsia="宋体"/>
                      <w:color w:val="auto"/>
                      <w:spacing w:val="-4"/>
                      <w:sz w:val="18"/>
                      <w:szCs w:val="18"/>
                      <w:highlight w:val="none"/>
                      <w:lang w:val="en-US" w:eastAsia="zh-CN"/>
                    </w:rPr>
                    <w:t>1</w:t>
                  </w:r>
                </w:p>
              </w:tc>
            </w:tr>
            <w:tr w14:paraId="16E25C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17" w:type="dxa"/>
                  <w:noWrap w:val="0"/>
                  <w:vAlign w:val="center"/>
                </w:tcPr>
                <w:p w14:paraId="337FB437">
                  <w:pPr>
                    <w:numPr>
                      <w:ilvl w:val="0"/>
                      <w:numId w:val="23"/>
                    </w:numPr>
                    <w:spacing w:line="240" w:lineRule="auto"/>
                    <w:ind w:left="0" w:leftChars="0" w:firstLine="0" w:firstLineChars="0"/>
                    <w:jc w:val="center"/>
                    <w:rPr>
                      <w:rFonts w:hint="default"/>
                      <w:color w:val="auto"/>
                      <w:sz w:val="18"/>
                      <w:szCs w:val="18"/>
                      <w:highlight w:val="none"/>
                      <w:lang w:val="en-US" w:eastAsia="zh-CN"/>
                    </w:rPr>
                  </w:pPr>
                </w:p>
              </w:tc>
              <w:tc>
                <w:tcPr>
                  <w:tcW w:w="472" w:type="dxa"/>
                  <w:vMerge w:val="continue"/>
                  <w:noWrap w:val="0"/>
                  <w:vAlign w:val="center"/>
                </w:tcPr>
                <w:p w14:paraId="1A9F70A9">
                  <w:pPr>
                    <w:spacing w:line="240" w:lineRule="auto"/>
                    <w:jc w:val="center"/>
                    <w:rPr>
                      <w:rFonts w:hint="eastAsia"/>
                      <w:color w:val="auto"/>
                      <w:spacing w:val="7"/>
                      <w:sz w:val="18"/>
                      <w:szCs w:val="18"/>
                      <w:highlight w:val="none"/>
                      <w:lang w:eastAsia="zh-CN"/>
                    </w:rPr>
                  </w:pPr>
                </w:p>
              </w:tc>
              <w:tc>
                <w:tcPr>
                  <w:tcW w:w="666" w:type="dxa"/>
                  <w:noWrap w:val="0"/>
                  <w:vAlign w:val="center"/>
                </w:tcPr>
                <w:p w14:paraId="7937BA18">
                  <w:pPr>
                    <w:spacing w:line="240" w:lineRule="auto"/>
                    <w:jc w:val="center"/>
                    <w:rPr>
                      <w:rFonts w:hint="eastAsia"/>
                      <w:color w:val="auto"/>
                      <w:kern w:val="0"/>
                      <w:sz w:val="18"/>
                      <w:szCs w:val="18"/>
                      <w:highlight w:val="none"/>
                      <w:lang w:eastAsia="zh-CN"/>
                    </w:rPr>
                  </w:pPr>
                  <w:r>
                    <w:rPr>
                      <w:rFonts w:hint="eastAsia"/>
                      <w:color w:val="auto"/>
                      <w:kern w:val="0"/>
                      <w:sz w:val="18"/>
                      <w:szCs w:val="18"/>
                      <w:highlight w:val="none"/>
                      <w:lang w:eastAsia="zh-CN"/>
                    </w:rPr>
                    <w:t>砂光机</w:t>
                  </w:r>
                </w:p>
              </w:tc>
              <w:tc>
                <w:tcPr>
                  <w:tcW w:w="620" w:type="dxa"/>
                  <w:noWrap w:val="0"/>
                  <w:vAlign w:val="center"/>
                </w:tcPr>
                <w:p w14:paraId="1097CA66">
                  <w:pPr>
                    <w:spacing w:line="240" w:lineRule="auto"/>
                    <w:jc w:val="center"/>
                    <w:rPr>
                      <w:rFonts w:hint="eastAsia" w:eastAsia="宋体"/>
                      <w:color w:val="auto"/>
                      <w:kern w:val="0"/>
                      <w:sz w:val="18"/>
                      <w:szCs w:val="18"/>
                      <w:highlight w:val="none"/>
                      <w:lang w:val="en-US" w:eastAsia="zh-CN"/>
                    </w:rPr>
                  </w:pPr>
                  <w:r>
                    <w:rPr>
                      <w:rFonts w:hint="eastAsia"/>
                      <w:color w:val="auto"/>
                      <w:kern w:val="0"/>
                      <w:sz w:val="18"/>
                      <w:szCs w:val="18"/>
                      <w:highlight w:val="none"/>
                      <w:lang w:val="en-US" w:eastAsia="zh-CN"/>
                    </w:rPr>
                    <w:t>16</w:t>
                  </w:r>
                </w:p>
              </w:tc>
              <w:tc>
                <w:tcPr>
                  <w:tcW w:w="630" w:type="dxa"/>
                  <w:noWrap w:val="0"/>
                  <w:vAlign w:val="center"/>
                </w:tcPr>
                <w:p w14:paraId="1B8C60E7">
                  <w:pPr>
                    <w:spacing w:line="240" w:lineRule="auto"/>
                    <w:jc w:val="center"/>
                    <w:rPr>
                      <w:rFonts w:hint="eastAsia" w:eastAsia="宋体"/>
                      <w:color w:val="auto"/>
                      <w:kern w:val="0"/>
                      <w:sz w:val="18"/>
                      <w:szCs w:val="18"/>
                      <w:highlight w:val="none"/>
                      <w:lang w:val="en-US" w:eastAsia="zh-CN"/>
                    </w:rPr>
                  </w:pPr>
                  <w:r>
                    <w:rPr>
                      <w:color w:val="auto"/>
                      <w:kern w:val="0"/>
                      <w:sz w:val="18"/>
                      <w:szCs w:val="18"/>
                      <w:highlight w:val="none"/>
                    </w:rPr>
                    <w:t>≤</w:t>
                  </w:r>
                  <w:r>
                    <w:rPr>
                      <w:rFonts w:hint="eastAsia"/>
                      <w:color w:val="auto"/>
                      <w:kern w:val="0"/>
                      <w:sz w:val="18"/>
                      <w:szCs w:val="18"/>
                      <w:highlight w:val="none"/>
                    </w:rPr>
                    <w:t>8</w:t>
                  </w:r>
                  <w:r>
                    <w:rPr>
                      <w:rFonts w:hint="eastAsia"/>
                      <w:color w:val="auto"/>
                      <w:kern w:val="0"/>
                      <w:sz w:val="18"/>
                      <w:szCs w:val="18"/>
                      <w:highlight w:val="none"/>
                      <w:lang w:val="en-US" w:eastAsia="zh-CN"/>
                    </w:rPr>
                    <w:t>5</w:t>
                  </w:r>
                </w:p>
              </w:tc>
              <w:tc>
                <w:tcPr>
                  <w:tcW w:w="665" w:type="dxa"/>
                  <w:vMerge w:val="continue"/>
                  <w:noWrap w:val="0"/>
                  <w:vAlign w:val="center"/>
                </w:tcPr>
                <w:p w14:paraId="11142833">
                  <w:pPr>
                    <w:spacing w:line="240" w:lineRule="auto"/>
                    <w:jc w:val="center"/>
                    <w:rPr>
                      <w:color w:val="auto"/>
                      <w:sz w:val="18"/>
                      <w:szCs w:val="18"/>
                      <w:highlight w:val="none"/>
                    </w:rPr>
                  </w:pPr>
                </w:p>
              </w:tc>
              <w:tc>
                <w:tcPr>
                  <w:tcW w:w="656" w:type="dxa"/>
                  <w:noWrap w:val="0"/>
                  <w:vAlign w:val="center"/>
                </w:tcPr>
                <w:p w14:paraId="051499F1">
                  <w:pPr>
                    <w:spacing w:line="240" w:lineRule="auto"/>
                    <w:jc w:val="center"/>
                    <w:rPr>
                      <w:rFonts w:hint="eastAsia" w:ascii="Times New Roman" w:hAnsi="Times New Roman" w:eastAsia="宋体" w:cs="Times New Roman"/>
                      <w:color w:val="auto"/>
                      <w:spacing w:val="-4"/>
                      <w:sz w:val="18"/>
                      <w:szCs w:val="18"/>
                      <w:highlight w:val="none"/>
                      <w:lang w:val="en-US" w:eastAsia="zh-CN"/>
                    </w:rPr>
                  </w:pPr>
                  <w:r>
                    <w:rPr>
                      <w:rFonts w:hint="eastAsia" w:ascii="Times New Roman" w:hAnsi="Times New Roman" w:eastAsia="宋体" w:cs="Times New Roman"/>
                      <w:color w:val="auto"/>
                      <w:spacing w:val="-4"/>
                      <w:sz w:val="18"/>
                      <w:szCs w:val="18"/>
                      <w:highlight w:val="none"/>
                      <w:lang w:val="en-US" w:eastAsia="zh-CN"/>
                    </w:rPr>
                    <w:t>-80.96</w:t>
                  </w:r>
                </w:p>
              </w:tc>
              <w:tc>
                <w:tcPr>
                  <w:tcW w:w="596" w:type="dxa"/>
                  <w:noWrap w:val="0"/>
                  <w:vAlign w:val="center"/>
                </w:tcPr>
                <w:p w14:paraId="54621B40">
                  <w:pPr>
                    <w:spacing w:line="240" w:lineRule="auto"/>
                    <w:jc w:val="center"/>
                    <w:rPr>
                      <w:rFonts w:hint="eastAsia" w:ascii="Times New Roman" w:hAnsi="Times New Roman" w:eastAsia="宋体" w:cs="Times New Roman"/>
                      <w:color w:val="auto"/>
                      <w:spacing w:val="-4"/>
                      <w:sz w:val="18"/>
                      <w:szCs w:val="18"/>
                      <w:highlight w:val="none"/>
                      <w:lang w:val="en-US" w:eastAsia="zh-CN"/>
                    </w:rPr>
                  </w:pPr>
                  <w:r>
                    <w:rPr>
                      <w:rFonts w:hint="eastAsia" w:ascii="Times New Roman" w:hAnsi="Times New Roman" w:eastAsia="宋体" w:cs="Times New Roman"/>
                      <w:color w:val="auto"/>
                      <w:spacing w:val="-4"/>
                      <w:sz w:val="18"/>
                      <w:szCs w:val="18"/>
                      <w:highlight w:val="none"/>
                      <w:lang w:val="en-US" w:eastAsia="zh-CN"/>
                    </w:rPr>
                    <w:t>34.786</w:t>
                  </w:r>
                </w:p>
              </w:tc>
              <w:tc>
                <w:tcPr>
                  <w:tcW w:w="427" w:type="dxa"/>
                  <w:noWrap w:val="0"/>
                  <w:vAlign w:val="center"/>
                </w:tcPr>
                <w:p w14:paraId="2BEB97CA">
                  <w:pPr>
                    <w:spacing w:line="240" w:lineRule="auto"/>
                    <w:jc w:val="center"/>
                    <w:rPr>
                      <w:rFonts w:hint="eastAsia"/>
                      <w:color w:val="auto"/>
                      <w:spacing w:val="-4"/>
                      <w:sz w:val="18"/>
                      <w:szCs w:val="18"/>
                      <w:highlight w:val="none"/>
                    </w:rPr>
                  </w:pPr>
                  <w:r>
                    <w:rPr>
                      <w:rFonts w:hint="eastAsia"/>
                      <w:color w:val="auto"/>
                      <w:spacing w:val="-4"/>
                      <w:sz w:val="18"/>
                      <w:szCs w:val="18"/>
                      <w:highlight w:val="none"/>
                      <w:lang w:val="en-US" w:eastAsia="zh-CN"/>
                    </w:rPr>
                    <w:t>1.2</w:t>
                  </w:r>
                </w:p>
              </w:tc>
              <w:tc>
                <w:tcPr>
                  <w:tcW w:w="510" w:type="dxa"/>
                  <w:noWrap w:val="0"/>
                  <w:vAlign w:val="center"/>
                </w:tcPr>
                <w:p w14:paraId="5178F1AF">
                  <w:pPr>
                    <w:spacing w:line="240" w:lineRule="auto"/>
                    <w:jc w:val="center"/>
                    <w:rPr>
                      <w:rFonts w:hint="default" w:eastAsia="宋体"/>
                      <w:color w:val="auto"/>
                      <w:spacing w:val="-5"/>
                      <w:sz w:val="18"/>
                      <w:szCs w:val="18"/>
                      <w:highlight w:val="none"/>
                      <w:lang w:val="en-US" w:eastAsia="zh-CN"/>
                    </w:rPr>
                  </w:pPr>
                  <w:r>
                    <w:rPr>
                      <w:rFonts w:hint="eastAsia" w:eastAsia="宋体"/>
                      <w:color w:val="auto"/>
                      <w:spacing w:val="-5"/>
                      <w:sz w:val="18"/>
                      <w:szCs w:val="18"/>
                      <w:highlight w:val="none"/>
                      <w:lang w:val="en-US" w:eastAsia="zh-CN"/>
                    </w:rPr>
                    <w:t>9.0</w:t>
                  </w:r>
                </w:p>
              </w:tc>
              <w:tc>
                <w:tcPr>
                  <w:tcW w:w="550" w:type="dxa"/>
                  <w:noWrap w:val="0"/>
                  <w:vAlign w:val="center"/>
                </w:tcPr>
                <w:p w14:paraId="4DDA3091">
                  <w:pPr>
                    <w:spacing w:line="240" w:lineRule="auto"/>
                    <w:jc w:val="center"/>
                    <w:rPr>
                      <w:rFonts w:hint="default" w:eastAsia="宋体"/>
                      <w:color w:val="auto"/>
                      <w:spacing w:val="2"/>
                      <w:sz w:val="18"/>
                      <w:szCs w:val="18"/>
                      <w:highlight w:val="none"/>
                      <w:lang w:val="en-US" w:eastAsia="zh-CN"/>
                    </w:rPr>
                  </w:pPr>
                  <w:r>
                    <w:rPr>
                      <w:rFonts w:hint="eastAsia" w:eastAsia="宋体"/>
                      <w:color w:val="auto"/>
                      <w:spacing w:val="2"/>
                      <w:sz w:val="18"/>
                      <w:szCs w:val="18"/>
                      <w:highlight w:val="none"/>
                      <w:lang w:val="en-US" w:eastAsia="zh-CN"/>
                    </w:rPr>
                    <w:t>78</w:t>
                  </w:r>
                </w:p>
              </w:tc>
              <w:tc>
                <w:tcPr>
                  <w:tcW w:w="464" w:type="dxa"/>
                  <w:vMerge w:val="continue"/>
                  <w:noWrap w:val="0"/>
                  <w:vAlign w:val="center"/>
                </w:tcPr>
                <w:p w14:paraId="3901C4CD">
                  <w:pPr>
                    <w:spacing w:line="240" w:lineRule="auto"/>
                    <w:jc w:val="center"/>
                    <w:rPr>
                      <w:color w:val="auto"/>
                      <w:spacing w:val="8"/>
                      <w:sz w:val="18"/>
                      <w:szCs w:val="18"/>
                      <w:highlight w:val="none"/>
                    </w:rPr>
                  </w:pPr>
                </w:p>
              </w:tc>
              <w:tc>
                <w:tcPr>
                  <w:tcW w:w="604" w:type="dxa"/>
                  <w:noWrap w:val="0"/>
                  <w:vAlign w:val="center"/>
                </w:tcPr>
                <w:p w14:paraId="62DFFC23">
                  <w:pPr>
                    <w:spacing w:line="240" w:lineRule="auto"/>
                    <w:jc w:val="center"/>
                    <w:rPr>
                      <w:rFonts w:hint="eastAsia"/>
                      <w:color w:val="auto"/>
                      <w:spacing w:val="-5"/>
                      <w:sz w:val="18"/>
                      <w:szCs w:val="18"/>
                      <w:highlight w:val="none"/>
                    </w:rPr>
                  </w:pPr>
                  <w:r>
                    <w:rPr>
                      <w:rFonts w:hint="eastAsia"/>
                      <w:color w:val="auto"/>
                      <w:spacing w:val="-5"/>
                      <w:sz w:val="18"/>
                      <w:szCs w:val="18"/>
                      <w:highlight w:val="none"/>
                      <w:lang w:val="en-US" w:eastAsia="zh-CN"/>
                    </w:rPr>
                    <w:t>15</w:t>
                  </w:r>
                </w:p>
              </w:tc>
              <w:tc>
                <w:tcPr>
                  <w:tcW w:w="688" w:type="dxa"/>
                  <w:noWrap w:val="0"/>
                  <w:vAlign w:val="center"/>
                </w:tcPr>
                <w:p w14:paraId="75C96B4D">
                  <w:pPr>
                    <w:spacing w:line="240" w:lineRule="auto"/>
                    <w:jc w:val="center"/>
                    <w:rPr>
                      <w:rFonts w:hint="default" w:ascii="Times New Roman" w:hAnsi="Times New Roman" w:eastAsia="宋体" w:cs="Times New Roman"/>
                      <w:color w:val="auto"/>
                      <w:spacing w:val="-5"/>
                      <w:sz w:val="18"/>
                      <w:szCs w:val="18"/>
                      <w:highlight w:val="none"/>
                      <w:lang w:val="en-US" w:eastAsia="zh-CN"/>
                    </w:rPr>
                  </w:pPr>
                  <w:r>
                    <w:rPr>
                      <w:rFonts w:hint="eastAsia" w:ascii="Times New Roman" w:hAnsi="Times New Roman" w:eastAsia="宋体" w:cs="Times New Roman"/>
                      <w:color w:val="auto"/>
                      <w:spacing w:val="-5"/>
                      <w:sz w:val="18"/>
                      <w:szCs w:val="18"/>
                      <w:highlight w:val="none"/>
                      <w:lang w:val="en-US" w:eastAsia="zh-CN"/>
                    </w:rPr>
                    <w:t>57</w:t>
                  </w:r>
                </w:p>
              </w:tc>
              <w:tc>
                <w:tcPr>
                  <w:tcW w:w="599" w:type="dxa"/>
                  <w:noWrap w:val="0"/>
                  <w:vAlign w:val="center"/>
                </w:tcPr>
                <w:p w14:paraId="6DA88CB6">
                  <w:pPr>
                    <w:spacing w:line="240" w:lineRule="auto"/>
                    <w:jc w:val="center"/>
                    <w:rPr>
                      <w:rFonts w:hint="default" w:eastAsia="宋体"/>
                      <w:color w:val="auto"/>
                      <w:spacing w:val="-4"/>
                      <w:sz w:val="18"/>
                      <w:szCs w:val="18"/>
                      <w:highlight w:val="none"/>
                      <w:lang w:val="en-US" w:eastAsia="zh-CN"/>
                    </w:rPr>
                  </w:pPr>
                  <w:r>
                    <w:rPr>
                      <w:rFonts w:hint="eastAsia" w:eastAsia="宋体"/>
                      <w:color w:val="auto"/>
                      <w:spacing w:val="-4"/>
                      <w:sz w:val="18"/>
                      <w:szCs w:val="18"/>
                      <w:highlight w:val="none"/>
                      <w:lang w:val="en-US" w:eastAsia="zh-CN"/>
                    </w:rPr>
                    <w:t>1</w:t>
                  </w:r>
                </w:p>
              </w:tc>
            </w:tr>
            <w:tr w14:paraId="7C8CF8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17" w:type="dxa"/>
                  <w:noWrap w:val="0"/>
                  <w:vAlign w:val="center"/>
                </w:tcPr>
                <w:p w14:paraId="73420F95">
                  <w:pPr>
                    <w:numPr>
                      <w:ilvl w:val="0"/>
                      <w:numId w:val="23"/>
                    </w:numPr>
                    <w:spacing w:line="240" w:lineRule="auto"/>
                    <w:ind w:left="0" w:leftChars="0" w:firstLine="0" w:firstLineChars="0"/>
                    <w:jc w:val="center"/>
                    <w:rPr>
                      <w:rFonts w:hint="eastAsia"/>
                      <w:color w:val="auto"/>
                      <w:sz w:val="18"/>
                      <w:szCs w:val="18"/>
                      <w:highlight w:val="none"/>
                      <w:lang w:val="en-US" w:eastAsia="zh-CN"/>
                    </w:rPr>
                  </w:pPr>
                </w:p>
              </w:tc>
              <w:tc>
                <w:tcPr>
                  <w:tcW w:w="472" w:type="dxa"/>
                  <w:vMerge w:val="continue"/>
                  <w:noWrap w:val="0"/>
                  <w:vAlign w:val="center"/>
                </w:tcPr>
                <w:p w14:paraId="62E6011F">
                  <w:pPr>
                    <w:spacing w:line="240" w:lineRule="auto"/>
                    <w:jc w:val="center"/>
                    <w:rPr>
                      <w:rFonts w:hint="eastAsia"/>
                      <w:color w:val="auto"/>
                      <w:spacing w:val="7"/>
                      <w:sz w:val="18"/>
                      <w:szCs w:val="18"/>
                      <w:highlight w:val="none"/>
                      <w:lang w:eastAsia="zh-CN"/>
                    </w:rPr>
                  </w:pPr>
                </w:p>
              </w:tc>
              <w:tc>
                <w:tcPr>
                  <w:tcW w:w="666" w:type="dxa"/>
                  <w:noWrap w:val="0"/>
                  <w:vAlign w:val="center"/>
                </w:tcPr>
                <w:p w14:paraId="26D6D7E4">
                  <w:pPr>
                    <w:spacing w:line="240" w:lineRule="auto"/>
                    <w:jc w:val="center"/>
                    <w:rPr>
                      <w:rFonts w:hint="eastAsia"/>
                      <w:color w:val="auto"/>
                      <w:kern w:val="0"/>
                      <w:sz w:val="18"/>
                      <w:szCs w:val="18"/>
                      <w:highlight w:val="none"/>
                      <w:lang w:eastAsia="zh-CN"/>
                    </w:rPr>
                  </w:pPr>
                  <w:r>
                    <w:rPr>
                      <w:rFonts w:hint="eastAsia"/>
                      <w:color w:val="auto"/>
                      <w:kern w:val="0"/>
                      <w:sz w:val="18"/>
                      <w:szCs w:val="18"/>
                      <w:highlight w:val="none"/>
                      <w:lang w:eastAsia="zh-CN"/>
                    </w:rPr>
                    <w:t>刨机类</w:t>
                  </w:r>
                </w:p>
              </w:tc>
              <w:tc>
                <w:tcPr>
                  <w:tcW w:w="620" w:type="dxa"/>
                  <w:noWrap w:val="0"/>
                  <w:vAlign w:val="center"/>
                </w:tcPr>
                <w:p w14:paraId="0D3E33B1">
                  <w:pPr>
                    <w:spacing w:line="240" w:lineRule="auto"/>
                    <w:jc w:val="center"/>
                    <w:rPr>
                      <w:rFonts w:hint="eastAsia" w:eastAsia="宋体"/>
                      <w:color w:val="auto"/>
                      <w:kern w:val="0"/>
                      <w:sz w:val="18"/>
                      <w:szCs w:val="18"/>
                      <w:highlight w:val="none"/>
                      <w:lang w:val="en-US" w:eastAsia="zh-CN"/>
                    </w:rPr>
                  </w:pPr>
                  <w:r>
                    <w:rPr>
                      <w:rFonts w:hint="eastAsia"/>
                      <w:color w:val="auto"/>
                      <w:kern w:val="0"/>
                      <w:sz w:val="18"/>
                      <w:szCs w:val="18"/>
                      <w:highlight w:val="none"/>
                      <w:lang w:val="en-US" w:eastAsia="zh-CN"/>
                    </w:rPr>
                    <w:t>5</w:t>
                  </w:r>
                </w:p>
              </w:tc>
              <w:tc>
                <w:tcPr>
                  <w:tcW w:w="630" w:type="dxa"/>
                  <w:noWrap w:val="0"/>
                  <w:vAlign w:val="center"/>
                </w:tcPr>
                <w:p w14:paraId="52E2B966">
                  <w:pPr>
                    <w:spacing w:line="240" w:lineRule="auto"/>
                    <w:jc w:val="center"/>
                    <w:rPr>
                      <w:rFonts w:hint="default" w:eastAsia="宋体"/>
                      <w:color w:val="auto"/>
                      <w:kern w:val="0"/>
                      <w:sz w:val="18"/>
                      <w:szCs w:val="18"/>
                      <w:highlight w:val="none"/>
                      <w:lang w:val="en-US" w:eastAsia="zh-CN"/>
                    </w:rPr>
                  </w:pPr>
                  <w:r>
                    <w:rPr>
                      <w:color w:val="auto"/>
                      <w:kern w:val="0"/>
                      <w:sz w:val="18"/>
                      <w:szCs w:val="18"/>
                      <w:highlight w:val="none"/>
                    </w:rPr>
                    <w:t>≤</w:t>
                  </w:r>
                  <w:r>
                    <w:rPr>
                      <w:rFonts w:hint="eastAsia"/>
                      <w:color w:val="auto"/>
                      <w:kern w:val="0"/>
                      <w:sz w:val="18"/>
                      <w:szCs w:val="18"/>
                      <w:highlight w:val="none"/>
                      <w:lang w:val="en-US" w:eastAsia="zh-CN"/>
                    </w:rPr>
                    <w:t>90</w:t>
                  </w:r>
                </w:p>
              </w:tc>
              <w:tc>
                <w:tcPr>
                  <w:tcW w:w="665" w:type="dxa"/>
                  <w:vMerge w:val="continue"/>
                  <w:noWrap w:val="0"/>
                  <w:vAlign w:val="center"/>
                </w:tcPr>
                <w:p w14:paraId="1401AA23">
                  <w:pPr>
                    <w:spacing w:line="240" w:lineRule="auto"/>
                    <w:jc w:val="center"/>
                    <w:rPr>
                      <w:color w:val="auto"/>
                      <w:sz w:val="18"/>
                      <w:szCs w:val="18"/>
                      <w:highlight w:val="none"/>
                    </w:rPr>
                  </w:pPr>
                </w:p>
              </w:tc>
              <w:tc>
                <w:tcPr>
                  <w:tcW w:w="656" w:type="dxa"/>
                  <w:noWrap w:val="0"/>
                  <w:vAlign w:val="center"/>
                </w:tcPr>
                <w:p w14:paraId="6F2DFBD5">
                  <w:pPr>
                    <w:spacing w:line="240" w:lineRule="auto"/>
                    <w:jc w:val="center"/>
                    <w:rPr>
                      <w:rFonts w:hint="eastAsia" w:ascii="Times New Roman" w:hAnsi="Times New Roman" w:eastAsia="宋体" w:cs="Times New Roman"/>
                      <w:color w:val="auto"/>
                      <w:spacing w:val="-4"/>
                      <w:sz w:val="18"/>
                      <w:szCs w:val="18"/>
                      <w:highlight w:val="none"/>
                      <w:lang w:val="en-US" w:eastAsia="zh-CN"/>
                    </w:rPr>
                  </w:pPr>
                  <w:r>
                    <w:rPr>
                      <w:rFonts w:hint="eastAsia" w:ascii="Times New Roman" w:hAnsi="Times New Roman" w:eastAsia="宋体" w:cs="Times New Roman"/>
                      <w:color w:val="auto"/>
                      <w:spacing w:val="-4"/>
                      <w:sz w:val="18"/>
                      <w:szCs w:val="18"/>
                      <w:highlight w:val="none"/>
                      <w:lang w:val="en-US" w:eastAsia="zh-CN"/>
                    </w:rPr>
                    <w:t>-104.199</w:t>
                  </w:r>
                </w:p>
              </w:tc>
              <w:tc>
                <w:tcPr>
                  <w:tcW w:w="596" w:type="dxa"/>
                  <w:noWrap w:val="0"/>
                  <w:vAlign w:val="center"/>
                </w:tcPr>
                <w:p w14:paraId="4DC5D7C7">
                  <w:pPr>
                    <w:spacing w:line="240" w:lineRule="auto"/>
                    <w:jc w:val="center"/>
                    <w:rPr>
                      <w:rFonts w:hint="eastAsia" w:ascii="Times New Roman" w:hAnsi="Times New Roman" w:eastAsia="宋体" w:cs="Times New Roman"/>
                      <w:color w:val="auto"/>
                      <w:spacing w:val="-4"/>
                      <w:sz w:val="18"/>
                      <w:szCs w:val="18"/>
                      <w:highlight w:val="none"/>
                      <w:lang w:val="en-US" w:eastAsia="zh-CN"/>
                    </w:rPr>
                  </w:pPr>
                  <w:r>
                    <w:rPr>
                      <w:rFonts w:hint="eastAsia" w:ascii="Times New Roman" w:hAnsi="Times New Roman" w:eastAsia="宋体" w:cs="Times New Roman"/>
                      <w:color w:val="auto"/>
                      <w:spacing w:val="-4"/>
                      <w:sz w:val="18"/>
                      <w:szCs w:val="18"/>
                      <w:highlight w:val="none"/>
                      <w:lang w:val="en-US" w:eastAsia="zh-CN"/>
                    </w:rPr>
                    <w:t>18.727</w:t>
                  </w:r>
                </w:p>
              </w:tc>
              <w:tc>
                <w:tcPr>
                  <w:tcW w:w="427" w:type="dxa"/>
                  <w:noWrap w:val="0"/>
                  <w:vAlign w:val="center"/>
                </w:tcPr>
                <w:p w14:paraId="77ADA514">
                  <w:pPr>
                    <w:spacing w:line="240" w:lineRule="auto"/>
                    <w:jc w:val="center"/>
                    <w:rPr>
                      <w:rFonts w:hint="eastAsia"/>
                      <w:color w:val="auto"/>
                      <w:spacing w:val="-4"/>
                      <w:sz w:val="18"/>
                      <w:szCs w:val="18"/>
                      <w:highlight w:val="none"/>
                    </w:rPr>
                  </w:pPr>
                  <w:r>
                    <w:rPr>
                      <w:rFonts w:hint="eastAsia"/>
                      <w:color w:val="auto"/>
                      <w:spacing w:val="-4"/>
                      <w:sz w:val="18"/>
                      <w:szCs w:val="18"/>
                      <w:highlight w:val="none"/>
                      <w:lang w:val="en-US" w:eastAsia="zh-CN"/>
                    </w:rPr>
                    <w:t>1.2</w:t>
                  </w:r>
                </w:p>
              </w:tc>
              <w:tc>
                <w:tcPr>
                  <w:tcW w:w="510" w:type="dxa"/>
                  <w:noWrap w:val="0"/>
                  <w:vAlign w:val="center"/>
                </w:tcPr>
                <w:p w14:paraId="2346B477">
                  <w:pPr>
                    <w:spacing w:line="240" w:lineRule="auto"/>
                    <w:jc w:val="center"/>
                    <w:rPr>
                      <w:rFonts w:hint="default" w:eastAsia="宋体"/>
                      <w:color w:val="auto"/>
                      <w:spacing w:val="-5"/>
                      <w:sz w:val="18"/>
                      <w:szCs w:val="18"/>
                      <w:highlight w:val="none"/>
                      <w:lang w:val="en-US" w:eastAsia="zh-CN"/>
                    </w:rPr>
                  </w:pPr>
                  <w:r>
                    <w:rPr>
                      <w:rFonts w:hint="eastAsia" w:eastAsia="宋体"/>
                      <w:color w:val="auto"/>
                      <w:spacing w:val="-5"/>
                      <w:sz w:val="18"/>
                      <w:szCs w:val="18"/>
                      <w:highlight w:val="none"/>
                      <w:lang w:val="en-US" w:eastAsia="zh-CN"/>
                    </w:rPr>
                    <w:t>3.0</w:t>
                  </w:r>
                </w:p>
              </w:tc>
              <w:tc>
                <w:tcPr>
                  <w:tcW w:w="550" w:type="dxa"/>
                  <w:noWrap w:val="0"/>
                  <w:vAlign w:val="center"/>
                </w:tcPr>
                <w:p w14:paraId="09E3A8E1">
                  <w:pPr>
                    <w:spacing w:line="240" w:lineRule="auto"/>
                    <w:jc w:val="center"/>
                    <w:rPr>
                      <w:rFonts w:hint="default" w:eastAsia="宋体"/>
                      <w:color w:val="auto"/>
                      <w:spacing w:val="2"/>
                      <w:sz w:val="18"/>
                      <w:szCs w:val="18"/>
                      <w:highlight w:val="none"/>
                      <w:lang w:val="en-US" w:eastAsia="zh-CN"/>
                    </w:rPr>
                  </w:pPr>
                  <w:r>
                    <w:rPr>
                      <w:rFonts w:hint="eastAsia" w:eastAsia="宋体"/>
                      <w:color w:val="auto"/>
                      <w:spacing w:val="2"/>
                      <w:sz w:val="18"/>
                      <w:szCs w:val="18"/>
                      <w:highlight w:val="none"/>
                      <w:lang w:val="en-US" w:eastAsia="zh-CN"/>
                    </w:rPr>
                    <w:t>87</w:t>
                  </w:r>
                </w:p>
              </w:tc>
              <w:tc>
                <w:tcPr>
                  <w:tcW w:w="464" w:type="dxa"/>
                  <w:vMerge w:val="continue"/>
                  <w:noWrap w:val="0"/>
                  <w:vAlign w:val="center"/>
                </w:tcPr>
                <w:p w14:paraId="0D7DA789">
                  <w:pPr>
                    <w:spacing w:line="240" w:lineRule="auto"/>
                    <w:jc w:val="center"/>
                    <w:rPr>
                      <w:color w:val="auto"/>
                      <w:spacing w:val="8"/>
                      <w:sz w:val="18"/>
                      <w:szCs w:val="18"/>
                      <w:highlight w:val="none"/>
                    </w:rPr>
                  </w:pPr>
                </w:p>
              </w:tc>
              <w:tc>
                <w:tcPr>
                  <w:tcW w:w="604" w:type="dxa"/>
                  <w:noWrap w:val="0"/>
                  <w:vAlign w:val="center"/>
                </w:tcPr>
                <w:p w14:paraId="7DBFACBE">
                  <w:pPr>
                    <w:spacing w:line="240" w:lineRule="auto"/>
                    <w:jc w:val="center"/>
                    <w:rPr>
                      <w:rFonts w:hint="eastAsia"/>
                      <w:color w:val="auto"/>
                      <w:spacing w:val="-5"/>
                      <w:sz w:val="18"/>
                      <w:szCs w:val="18"/>
                      <w:highlight w:val="none"/>
                    </w:rPr>
                  </w:pPr>
                  <w:r>
                    <w:rPr>
                      <w:rFonts w:hint="eastAsia"/>
                      <w:color w:val="auto"/>
                      <w:spacing w:val="-5"/>
                      <w:sz w:val="18"/>
                      <w:szCs w:val="18"/>
                      <w:highlight w:val="none"/>
                      <w:lang w:val="en-US" w:eastAsia="zh-CN"/>
                    </w:rPr>
                    <w:t>15</w:t>
                  </w:r>
                </w:p>
              </w:tc>
              <w:tc>
                <w:tcPr>
                  <w:tcW w:w="688" w:type="dxa"/>
                  <w:noWrap w:val="0"/>
                  <w:vAlign w:val="center"/>
                </w:tcPr>
                <w:p w14:paraId="76D869DB">
                  <w:pPr>
                    <w:spacing w:line="240" w:lineRule="auto"/>
                    <w:jc w:val="center"/>
                    <w:rPr>
                      <w:rFonts w:hint="default" w:ascii="Times New Roman" w:hAnsi="Times New Roman" w:eastAsia="宋体" w:cs="Times New Roman"/>
                      <w:color w:val="auto"/>
                      <w:spacing w:val="-5"/>
                      <w:sz w:val="18"/>
                      <w:szCs w:val="18"/>
                      <w:highlight w:val="none"/>
                      <w:lang w:val="en-US" w:eastAsia="zh-CN"/>
                    </w:rPr>
                  </w:pPr>
                  <w:r>
                    <w:rPr>
                      <w:rFonts w:hint="eastAsia" w:ascii="Times New Roman" w:hAnsi="Times New Roman" w:eastAsia="宋体" w:cs="Times New Roman"/>
                      <w:color w:val="auto"/>
                      <w:spacing w:val="-5"/>
                      <w:sz w:val="18"/>
                      <w:szCs w:val="18"/>
                      <w:highlight w:val="none"/>
                      <w:lang w:val="en-US" w:eastAsia="zh-CN"/>
                    </w:rPr>
                    <w:t>66</w:t>
                  </w:r>
                </w:p>
              </w:tc>
              <w:tc>
                <w:tcPr>
                  <w:tcW w:w="599" w:type="dxa"/>
                  <w:noWrap w:val="0"/>
                  <w:vAlign w:val="center"/>
                </w:tcPr>
                <w:p w14:paraId="50CF1583">
                  <w:pPr>
                    <w:spacing w:line="240" w:lineRule="auto"/>
                    <w:jc w:val="center"/>
                    <w:rPr>
                      <w:color w:val="auto"/>
                      <w:spacing w:val="-4"/>
                      <w:sz w:val="18"/>
                      <w:szCs w:val="18"/>
                      <w:highlight w:val="none"/>
                    </w:rPr>
                  </w:pPr>
                  <w:r>
                    <w:rPr>
                      <w:rFonts w:hint="eastAsia" w:eastAsia="宋体"/>
                      <w:color w:val="auto"/>
                      <w:spacing w:val="-4"/>
                      <w:sz w:val="18"/>
                      <w:szCs w:val="18"/>
                      <w:highlight w:val="none"/>
                      <w:lang w:val="en-US" w:eastAsia="zh-CN"/>
                    </w:rPr>
                    <w:t>1</w:t>
                  </w:r>
                </w:p>
              </w:tc>
            </w:tr>
            <w:tr w14:paraId="642090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17" w:type="dxa"/>
                  <w:noWrap w:val="0"/>
                  <w:vAlign w:val="center"/>
                </w:tcPr>
                <w:p w14:paraId="259E4AB2">
                  <w:pPr>
                    <w:numPr>
                      <w:ilvl w:val="0"/>
                      <w:numId w:val="23"/>
                    </w:numPr>
                    <w:spacing w:line="240" w:lineRule="auto"/>
                    <w:ind w:left="0" w:leftChars="0" w:firstLine="0" w:firstLineChars="0"/>
                    <w:jc w:val="center"/>
                    <w:rPr>
                      <w:rFonts w:hint="eastAsia"/>
                      <w:color w:val="auto"/>
                      <w:sz w:val="18"/>
                      <w:szCs w:val="18"/>
                      <w:highlight w:val="none"/>
                      <w:lang w:val="en-US" w:eastAsia="zh-CN"/>
                    </w:rPr>
                  </w:pPr>
                </w:p>
              </w:tc>
              <w:tc>
                <w:tcPr>
                  <w:tcW w:w="472" w:type="dxa"/>
                  <w:vMerge w:val="continue"/>
                  <w:noWrap w:val="0"/>
                  <w:vAlign w:val="center"/>
                </w:tcPr>
                <w:p w14:paraId="0B2795B8">
                  <w:pPr>
                    <w:spacing w:line="240" w:lineRule="auto"/>
                    <w:jc w:val="center"/>
                    <w:rPr>
                      <w:rFonts w:hint="eastAsia"/>
                      <w:color w:val="auto"/>
                      <w:spacing w:val="7"/>
                      <w:sz w:val="18"/>
                      <w:szCs w:val="18"/>
                      <w:highlight w:val="none"/>
                      <w:lang w:eastAsia="zh-CN"/>
                    </w:rPr>
                  </w:pPr>
                </w:p>
              </w:tc>
              <w:tc>
                <w:tcPr>
                  <w:tcW w:w="666" w:type="dxa"/>
                  <w:noWrap w:val="0"/>
                  <w:vAlign w:val="center"/>
                </w:tcPr>
                <w:p w14:paraId="39B2469B">
                  <w:pPr>
                    <w:spacing w:line="240" w:lineRule="auto"/>
                    <w:jc w:val="center"/>
                    <w:rPr>
                      <w:rFonts w:hint="eastAsia"/>
                      <w:color w:val="auto"/>
                      <w:kern w:val="0"/>
                      <w:sz w:val="18"/>
                      <w:szCs w:val="18"/>
                      <w:highlight w:val="none"/>
                      <w:lang w:eastAsia="zh-CN"/>
                    </w:rPr>
                  </w:pPr>
                  <w:r>
                    <w:rPr>
                      <w:rFonts w:hint="eastAsia"/>
                      <w:color w:val="auto"/>
                      <w:kern w:val="0"/>
                      <w:sz w:val="18"/>
                      <w:szCs w:val="18"/>
                      <w:highlight w:val="none"/>
                      <w:lang w:eastAsia="zh-CN"/>
                    </w:rPr>
                    <w:t>包装机</w:t>
                  </w:r>
                </w:p>
              </w:tc>
              <w:tc>
                <w:tcPr>
                  <w:tcW w:w="620" w:type="dxa"/>
                  <w:noWrap w:val="0"/>
                  <w:vAlign w:val="center"/>
                </w:tcPr>
                <w:p w14:paraId="33CE89A0">
                  <w:pPr>
                    <w:spacing w:line="240" w:lineRule="auto"/>
                    <w:jc w:val="center"/>
                    <w:rPr>
                      <w:rFonts w:hint="default"/>
                      <w:color w:val="auto"/>
                      <w:kern w:val="0"/>
                      <w:sz w:val="18"/>
                      <w:szCs w:val="18"/>
                      <w:highlight w:val="none"/>
                      <w:lang w:val="en-US" w:eastAsia="zh-CN"/>
                    </w:rPr>
                  </w:pPr>
                  <w:r>
                    <w:rPr>
                      <w:rFonts w:hint="eastAsia"/>
                      <w:color w:val="auto"/>
                      <w:kern w:val="0"/>
                      <w:sz w:val="18"/>
                      <w:szCs w:val="18"/>
                      <w:highlight w:val="none"/>
                      <w:lang w:val="en-US" w:eastAsia="zh-CN"/>
                    </w:rPr>
                    <w:t>1</w:t>
                  </w:r>
                </w:p>
              </w:tc>
              <w:tc>
                <w:tcPr>
                  <w:tcW w:w="630" w:type="dxa"/>
                  <w:noWrap w:val="0"/>
                  <w:vAlign w:val="center"/>
                </w:tcPr>
                <w:p w14:paraId="09081C25">
                  <w:pPr>
                    <w:spacing w:line="240" w:lineRule="auto"/>
                    <w:jc w:val="center"/>
                    <w:rPr>
                      <w:rFonts w:hint="default" w:eastAsia="宋体"/>
                      <w:color w:val="auto"/>
                      <w:kern w:val="0"/>
                      <w:sz w:val="18"/>
                      <w:szCs w:val="18"/>
                      <w:highlight w:val="none"/>
                      <w:lang w:val="en-US" w:eastAsia="zh-CN"/>
                    </w:rPr>
                  </w:pPr>
                  <w:r>
                    <w:rPr>
                      <w:color w:val="auto"/>
                      <w:kern w:val="0"/>
                      <w:sz w:val="18"/>
                      <w:szCs w:val="18"/>
                      <w:highlight w:val="none"/>
                    </w:rPr>
                    <w:t>≤</w:t>
                  </w:r>
                  <w:r>
                    <w:rPr>
                      <w:rFonts w:hint="eastAsia"/>
                      <w:color w:val="auto"/>
                      <w:kern w:val="0"/>
                      <w:sz w:val="18"/>
                      <w:szCs w:val="18"/>
                      <w:highlight w:val="none"/>
                      <w:lang w:val="en-US" w:eastAsia="zh-CN"/>
                    </w:rPr>
                    <w:t>80</w:t>
                  </w:r>
                </w:p>
              </w:tc>
              <w:tc>
                <w:tcPr>
                  <w:tcW w:w="665" w:type="dxa"/>
                  <w:vMerge w:val="continue"/>
                  <w:noWrap w:val="0"/>
                  <w:vAlign w:val="center"/>
                </w:tcPr>
                <w:p w14:paraId="09059254">
                  <w:pPr>
                    <w:spacing w:line="240" w:lineRule="auto"/>
                    <w:jc w:val="center"/>
                    <w:rPr>
                      <w:color w:val="auto"/>
                      <w:sz w:val="18"/>
                      <w:szCs w:val="18"/>
                      <w:highlight w:val="none"/>
                    </w:rPr>
                  </w:pPr>
                </w:p>
              </w:tc>
              <w:tc>
                <w:tcPr>
                  <w:tcW w:w="656" w:type="dxa"/>
                  <w:noWrap w:val="0"/>
                  <w:vAlign w:val="center"/>
                </w:tcPr>
                <w:p w14:paraId="7E96F9E2">
                  <w:pPr>
                    <w:spacing w:line="240" w:lineRule="auto"/>
                    <w:jc w:val="center"/>
                    <w:rPr>
                      <w:rFonts w:hint="eastAsia" w:ascii="Times New Roman" w:hAnsi="Times New Roman" w:eastAsia="宋体" w:cs="Times New Roman"/>
                      <w:color w:val="auto"/>
                      <w:spacing w:val="-4"/>
                      <w:sz w:val="18"/>
                      <w:szCs w:val="18"/>
                      <w:highlight w:val="none"/>
                      <w:lang w:val="en-US" w:eastAsia="zh-CN"/>
                    </w:rPr>
                  </w:pPr>
                  <w:r>
                    <w:rPr>
                      <w:rFonts w:hint="eastAsia" w:ascii="Times New Roman" w:hAnsi="Times New Roman" w:eastAsia="宋体" w:cs="Times New Roman"/>
                      <w:color w:val="auto"/>
                      <w:spacing w:val="-4"/>
                      <w:sz w:val="18"/>
                      <w:szCs w:val="18"/>
                      <w:highlight w:val="none"/>
                      <w:lang w:val="en-US" w:eastAsia="zh-CN"/>
                    </w:rPr>
                    <w:t>-44.51</w:t>
                  </w:r>
                </w:p>
              </w:tc>
              <w:tc>
                <w:tcPr>
                  <w:tcW w:w="596" w:type="dxa"/>
                  <w:noWrap w:val="0"/>
                  <w:vAlign w:val="center"/>
                </w:tcPr>
                <w:p w14:paraId="3A75B130">
                  <w:pPr>
                    <w:spacing w:line="240" w:lineRule="auto"/>
                    <w:jc w:val="center"/>
                    <w:rPr>
                      <w:rFonts w:hint="eastAsia" w:ascii="Times New Roman" w:hAnsi="Times New Roman" w:eastAsia="宋体" w:cs="Times New Roman"/>
                      <w:color w:val="auto"/>
                      <w:spacing w:val="-4"/>
                      <w:sz w:val="18"/>
                      <w:szCs w:val="18"/>
                      <w:highlight w:val="none"/>
                      <w:lang w:val="en-US" w:eastAsia="zh-CN"/>
                    </w:rPr>
                  </w:pPr>
                  <w:r>
                    <w:rPr>
                      <w:rFonts w:hint="eastAsia" w:ascii="Times New Roman" w:hAnsi="Times New Roman" w:eastAsia="宋体" w:cs="Times New Roman"/>
                      <w:color w:val="auto"/>
                      <w:spacing w:val="-4"/>
                      <w:sz w:val="18"/>
                      <w:szCs w:val="18"/>
                      <w:highlight w:val="none"/>
                      <w:lang w:val="en-US" w:eastAsia="zh-CN"/>
                    </w:rPr>
                    <w:t>103.717</w:t>
                  </w:r>
                </w:p>
              </w:tc>
              <w:tc>
                <w:tcPr>
                  <w:tcW w:w="427" w:type="dxa"/>
                  <w:noWrap w:val="0"/>
                  <w:vAlign w:val="center"/>
                </w:tcPr>
                <w:p w14:paraId="040A2E19">
                  <w:pPr>
                    <w:spacing w:line="240" w:lineRule="auto"/>
                    <w:jc w:val="center"/>
                    <w:rPr>
                      <w:rFonts w:hint="eastAsia"/>
                      <w:color w:val="auto"/>
                      <w:spacing w:val="-4"/>
                      <w:sz w:val="18"/>
                      <w:szCs w:val="18"/>
                      <w:highlight w:val="none"/>
                      <w:lang w:val="en-US" w:eastAsia="zh-CN"/>
                    </w:rPr>
                  </w:pPr>
                  <w:r>
                    <w:rPr>
                      <w:rFonts w:hint="eastAsia"/>
                      <w:color w:val="auto"/>
                      <w:spacing w:val="-4"/>
                      <w:sz w:val="18"/>
                      <w:szCs w:val="18"/>
                      <w:highlight w:val="none"/>
                      <w:lang w:val="en-US" w:eastAsia="zh-CN"/>
                    </w:rPr>
                    <w:t>1.2</w:t>
                  </w:r>
                </w:p>
              </w:tc>
              <w:tc>
                <w:tcPr>
                  <w:tcW w:w="510" w:type="dxa"/>
                  <w:noWrap w:val="0"/>
                  <w:vAlign w:val="center"/>
                </w:tcPr>
                <w:p w14:paraId="1A488162">
                  <w:pPr>
                    <w:spacing w:line="240" w:lineRule="auto"/>
                    <w:jc w:val="center"/>
                    <w:rPr>
                      <w:rFonts w:hint="default"/>
                      <w:color w:val="auto"/>
                      <w:spacing w:val="-5"/>
                      <w:sz w:val="18"/>
                      <w:szCs w:val="18"/>
                      <w:highlight w:val="none"/>
                      <w:lang w:val="en-US" w:eastAsia="zh-CN"/>
                    </w:rPr>
                  </w:pPr>
                  <w:r>
                    <w:rPr>
                      <w:rFonts w:hint="eastAsia"/>
                      <w:color w:val="auto"/>
                      <w:spacing w:val="-5"/>
                      <w:sz w:val="18"/>
                      <w:szCs w:val="18"/>
                      <w:highlight w:val="none"/>
                      <w:lang w:val="en-US" w:eastAsia="zh-CN"/>
                    </w:rPr>
                    <w:t>5.0</w:t>
                  </w:r>
                </w:p>
              </w:tc>
              <w:tc>
                <w:tcPr>
                  <w:tcW w:w="550" w:type="dxa"/>
                  <w:noWrap w:val="0"/>
                  <w:vAlign w:val="center"/>
                </w:tcPr>
                <w:p w14:paraId="36E4630F">
                  <w:pPr>
                    <w:spacing w:line="240" w:lineRule="auto"/>
                    <w:jc w:val="center"/>
                    <w:rPr>
                      <w:rFonts w:hint="default"/>
                      <w:color w:val="auto"/>
                      <w:spacing w:val="2"/>
                      <w:sz w:val="18"/>
                      <w:szCs w:val="18"/>
                      <w:highlight w:val="none"/>
                      <w:lang w:val="en-US" w:eastAsia="zh-CN"/>
                    </w:rPr>
                  </w:pPr>
                  <w:r>
                    <w:rPr>
                      <w:rFonts w:hint="eastAsia"/>
                      <w:color w:val="auto"/>
                      <w:spacing w:val="2"/>
                      <w:sz w:val="18"/>
                      <w:szCs w:val="18"/>
                      <w:highlight w:val="none"/>
                      <w:lang w:val="en-US" w:eastAsia="zh-CN"/>
                    </w:rPr>
                    <w:t>66</w:t>
                  </w:r>
                </w:p>
              </w:tc>
              <w:tc>
                <w:tcPr>
                  <w:tcW w:w="464" w:type="dxa"/>
                  <w:vMerge w:val="continue"/>
                  <w:noWrap w:val="0"/>
                  <w:vAlign w:val="center"/>
                </w:tcPr>
                <w:p w14:paraId="42E581F9">
                  <w:pPr>
                    <w:spacing w:line="240" w:lineRule="auto"/>
                    <w:jc w:val="center"/>
                    <w:rPr>
                      <w:color w:val="auto"/>
                      <w:spacing w:val="8"/>
                      <w:sz w:val="18"/>
                      <w:szCs w:val="18"/>
                      <w:highlight w:val="none"/>
                    </w:rPr>
                  </w:pPr>
                </w:p>
              </w:tc>
              <w:tc>
                <w:tcPr>
                  <w:tcW w:w="604" w:type="dxa"/>
                  <w:noWrap w:val="0"/>
                  <w:vAlign w:val="center"/>
                </w:tcPr>
                <w:p w14:paraId="3324E593">
                  <w:pPr>
                    <w:spacing w:line="240" w:lineRule="auto"/>
                    <w:jc w:val="center"/>
                    <w:rPr>
                      <w:rFonts w:hint="eastAsia"/>
                      <w:color w:val="auto"/>
                      <w:spacing w:val="-5"/>
                      <w:sz w:val="18"/>
                      <w:szCs w:val="18"/>
                      <w:highlight w:val="none"/>
                      <w:lang w:val="en-US" w:eastAsia="zh-CN"/>
                    </w:rPr>
                  </w:pPr>
                  <w:r>
                    <w:rPr>
                      <w:rFonts w:hint="eastAsia"/>
                      <w:color w:val="auto"/>
                      <w:spacing w:val="-5"/>
                      <w:sz w:val="18"/>
                      <w:szCs w:val="18"/>
                      <w:highlight w:val="none"/>
                      <w:lang w:val="en-US" w:eastAsia="zh-CN"/>
                    </w:rPr>
                    <w:t>15</w:t>
                  </w:r>
                </w:p>
              </w:tc>
              <w:tc>
                <w:tcPr>
                  <w:tcW w:w="688" w:type="dxa"/>
                  <w:noWrap w:val="0"/>
                  <w:vAlign w:val="center"/>
                </w:tcPr>
                <w:p w14:paraId="4981108A">
                  <w:pPr>
                    <w:spacing w:line="240" w:lineRule="auto"/>
                    <w:jc w:val="center"/>
                    <w:rPr>
                      <w:rFonts w:hint="eastAsia" w:ascii="Times New Roman" w:hAnsi="Times New Roman" w:eastAsia="宋体" w:cs="Times New Roman"/>
                      <w:color w:val="auto"/>
                      <w:spacing w:val="-5"/>
                      <w:sz w:val="18"/>
                      <w:szCs w:val="18"/>
                      <w:highlight w:val="none"/>
                      <w:lang w:val="en-US" w:eastAsia="zh-CN"/>
                    </w:rPr>
                  </w:pPr>
                  <w:r>
                    <w:rPr>
                      <w:rFonts w:hint="eastAsia" w:ascii="Times New Roman" w:hAnsi="Times New Roman" w:eastAsia="宋体" w:cs="Times New Roman"/>
                      <w:color w:val="auto"/>
                      <w:spacing w:val="-5"/>
                      <w:sz w:val="18"/>
                      <w:szCs w:val="18"/>
                      <w:highlight w:val="none"/>
                      <w:lang w:val="en-US" w:eastAsia="zh-CN"/>
                    </w:rPr>
                    <w:t>45</w:t>
                  </w:r>
                </w:p>
              </w:tc>
              <w:tc>
                <w:tcPr>
                  <w:tcW w:w="599" w:type="dxa"/>
                  <w:noWrap w:val="0"/>
                  <w:vAlign w:val="center"/>
                </w:tcPr>
                <w:p w14:paraId="55D9C4F1">
                  <w:pPr>
                    <w:spacing w:line="240" w:lineRule="auto"/>
                    <w:jc w:val="center"/>
                    <w:rPr>
                      <w:rFonts w:hint="eastAsia"/>
                      <w:color w:val="auto"/>
                      <w:spacing w:val="-4"/>
                      <w:sz w:val="18"/>
                      <w:szCs w:val="18"/>
                      <w:highlight w:val="none"/>
                      <w:lang w:val="en-US" w:eastAsia="zh-CN"/>
                    </w:rPr>
                  </w:pPr>
                  <w:r>
                    <w:rPr>
                      <w:rFonts w:hint="eastAsia" w:eastAsia="宋体"/>
                      <w:color w:val="auto"/>
                      <w:spacing w:val="-4"/>
                      <w:sz w:val="18"/>
                      <w:szCs w:val="18"/>
                      <w:highlight w:val="none"/>
                      <w:lang w:val="en-US" w:eastAsia="zh-CN"/>
                    </w:rPr>
                    <w:t>1</w:t>
                  </w:r>
                </w:p>
              </w:tc>
            </w:tr>
            <w:tr w14:paraId="36FE37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17" w:type="dxa"/>
                  <w:noWrap w:val="0"/>
                  <w:vAlign w:val="center"/>
                </w:tcPr>
                <w:p w14:paraId="68B925BD">
                  <w:pPr>
                    <w:numPr>
                      <w:ilvl w:val="0"/>
                      <w:numId w:val="23"/>
                    </w:numPr>
                    <w:spacing w:line="240" w:lineRule="auto"/>
                    <w:ind w:left="0" w:leftChars="0" w:firstLine="0" w:firstLineChars="0"/>
                    <w:jc w:val="center"/>
                    <w:rPr>
                      <w:rFonts w:hint="eastAsia"/>
                      <w:color w:val="auto"/>
                      <w:sz w:val="18"/>
                      <w:szCs w:val="18"/>
                      <w:highlight w:val="none"/>
                      <w:lang w:val="en-US" w:eastAsia="zh-CN"/>
                    </w:rPr>
                  </w:pPr>
                </w:p>
              </w:tc>
              <w:tc>
                <w:tcPr>
                  <w:tcW w:w="472" w:type="dxa"/>
                  <w:vMerge w:val="continue"/>
                  <w:noWrap w:val="0"/>
                  <w:vAlign w:val="center"/>
                </w:tcPr>
                <w:p w14:paraId="2F7DDCDD">
                  <w:pPr>
                    <w:spacing w:line="240" w:lineRule="auto"/>
                    <w:jc w:val="center"/>
                    <w:rPr>
                      <w:rFonts w:hint="eastAsia"/>
                      <w:color w:val="auto"/>
                      <w:spacing w:val="7"/>
                      <w:sz w:val="18"/>
                      <w:szCs w:val="18"/>
                      <w:highlight w:val="none"/>
                      <w:lang w:eastAsia="zh-CN"/>
                    </w:rPr>
                  </w:pPr>
                </w:p>
              </w:tc>
              <w:tc>
                <w:tcPr>
                  <w:tcW w:w="666" w:type="dxa"/>
                  <w:noWrap w:val="0"/>
                  <w:vAlign w:val="center"/>
                </w:tcPr>
                <w:p w14:paraId="3F0F63D5">
                  <w:pPr>
                    <w:spacing w:line="240" w:lineRule="auto"/>
                    <w:jc w:val="center"/>
                    <w:rPr>
                      <w:rFonts w:hint="eastAsia" w:ascii="Times New Roman" w:hAnsi="Times New Roman" w:eastAsia="宋体" w:cs="Times New Roman"/>
                      <w:color w:val="auto"/>
                      <w:kern w:val="0"/>
                      <w:sz w:val="18"/>
                      <w:szCs w:val="18"/>
                      <w:highlight w:val="none"/>
                      <w:lang w:eastAsia="zh-CN"/>
                    </w:rPr>
                  </w:pPr>
                  <w:r>
                    <w:rPr>
                      <w:rFonts w:hint="default" w:ascii="Times New Roman" w:hAnsi="Times New Roman" w:eastAsia="宋体" w:cs="Times New Roman"/>
                      <w:color w:val="auto"/>
                      <w:kern w:val="0"/>
                      <w:sz w:val="18"/>
                      <w:szCs w:val="18"/>
                      <w:highlight w:val="none"/>
                      <w:lang w:eastAsia="zh-CN"/>
                    </w:rPr>
                    <w:t>履带式双端铣</w:t>
                  </w:r>
                </w:p>
              </w:tc>
              <w:tc>
                <w:tcPr>
                  <w:tcW w:w="620" w:type="dxa"/>
                  <w:noWrap w:val="0"/>
                  <w:vAlign w:val="center"/>
                </w:tcPr>
                <w:p w14:paraId="27C669A1">
                  <w:pPr>
                    <w:spacing w:line="240" w:lineRule="auto"/>
                    <w:jc w:val="center"/>
                    <w:rPr>
                      <w:rFonts w:hint="default"/>
                      <w:color w:val="auto"/>
                      <w:kern w:val="0"/>
                      <w:sz w:val="18"/>
                      <w:szCs w:val="18"/>
                      <w:highlight w:val="none"/>
                      <w:lang w:val="en-US" w:eastAsia="zh-CN"/>
                    </w:rPr>
                  </w:pPr>
                  <w:r>
                    <w:rPr>
                      <w:rFonts w:hint="eastAsia"/>
                      <w:color w:val="auto"/>
                      <w:kern w:val="0"/>
                      <w:sz w:val="18"/>
                      <w:szCs w:val="18"/>
                      <w:highlight w:val="none"/>
                      <w:lang w:val="en-US" w:eastAsia="zh-CN"/>
                    </w:rPr>
                    <w:t>2</w:t>
                  </w:r>
                </w:p>
              </w:tc>
              <w:tc>
                <w:tcPr>
                  <w:tcW w:w="630" w:type="dxa"/>
                  <w:noWrap w:val="0"/>
                  <w:vAlign w:val="center"/>
                </w:tcPr>
                <w:p w14:paraId="26A28866">
                  <w:pPr>
                    <w:spacing w:line="240" w:lineRule="auto"/>
                    <w:jc w:val="center"/>
                    <w:rPr>
                      <w:color w:val="auto"/>
                      <w:kern w:val="0"/>
                      <w:sz w:val="18"/>
                      <w:szCs w:val="18"/>
                      <w:highlight w:val="none"/>
                    </w:rPr>
                  </w:pPr>
                  <w:r>
                    <w:rPr>
                      <w:color w:val="auto"/>
                      <w:kern w:val="0"/>
                      <w:sz w:val="18"/>
                      <w:szCs w:val="18"/>
                      <w:highlight w:val="none"/>
                    </w:rPr>
                    <w:t>≤</w:t>
                  </w:r>
                  <w:r>
                    <w:rPr>
                      <w:rFonts w:hint="eastAsia"/>
                      <w:color w:val="auto"/>
                      <w:kern w:val="0"/>
                      <w:sz w:val="18"/>
                      <w:szCs w:val="18"/>
                      <w:highlight w:val="none"/>
                      <w:lang w:val="en-US" w:eastAsia="zh-CN"/>
                    </w:rPr>
                    <w:t>85</w:t>
                  </w:r>
                </w:p>
              </w:tc>
              <w:tc>
                <w:tcPr>
                  <w:tcW w:w="665" w:type="dxa"/>
                  <w:vMerge w:val="continue"/>
                  <w:noWrap w:val="0"/>
                  <w:vAlign w:val="center"/>
                </w:tcPr>
                <w:p w14:paraId="6331A3BB">
                  <w:pPr>
                    <w:spacing w:line="240" w:lineRule="auto"/>
                    <w:jc w:val="center"/>
                    <w:rPr>
                      <w:color w:val="auto"/>
                      <w:sz w:val="18"/>
                      <w:szCs w:val="18"/>
                      <w:highlight w:val="none"/>
                    </w:rPr>
                  </w:pPr>
                </w:p>
              </w:tc>
              <w:tc>
                <w:tcPr>
                  <w:tcW w:w="656" w:type="dxa"/>
                  <w:noWrap w:val="0"/>
                  <w:vAlign w:val="center"/>
                </w:tcPr>
                <w:p w14:paraId="1AB3E008">
                  <w:pPr>
                    <w:spacing w:line="240" w:lineRule="auto"/>
                    <w:jc w:val="center"/>
                    <w:rPr>
                      <w:rFonts w:hint="eastAsia" w:ascii="Times New Roman" w:hAnsi="Times New Roman" w:eastAsia="宋体" w:cs="Times New Roman"/>
                      <w:color w:val="auto"/>
                      <w:spacing w:val="-4"/>
                      <w:sz w:val="18"/>
                      <w:szCs w:val="18"/>
                      <w:highlight w:val="none"/>
                      <w:lang w:val="en-US" w:eastAsia="zh-CN"/>
                    </w:rPr>
                  </w:pPr>
                  <w:r>
                    <w:rPr>
                      <w:rFonts w:hint="eastAsia" w:ascii="Times New Roman" w:hAnsi="Times New Roman" w:eastAsia="宋体" w:cs="Times New Roman"/>
                      <w:color w:val="auto"/>
                      <w:spacing w:val="-4"/>
                      <w:sz w:val="18"/>
                      <w:szCs w:val="18"/>
                      <w:highlight w:val="none"/>
                      <w:lang w:val="en-US" w:eastAsia="zh-CN"/>
                    </w:rPr>
                    <w:t>-109.97</w:t>
                  </w:r>
                </w:p>
              </w:tc>
              <w:tc>
                <w:tcPr>
                  <w:tcW w:w="596" w:type="dxa"/>
                  <w:noWrap w:val="0"/>
                  <w:vAlign w:val="center"/>
                </w:tcPr>
                <w:p w14:paraId="117E9A07">
                  <w:pPr>
                    <w:spacing w:line="240" w:lineRule="auto"/>
                    <w:jc w:val="center"/>
                    <w:rPr>
                      <w:rFonts w:hint="eastAsia" w:ascii="Times New Roman" w:hAnsi="Times New Roman" w:eastAsia="宋体" w:cs="Times New Roman"/>
                      <w:color w:val="auto"/>
                      <w:spacing w:val="-4"/>
                      <w:sz w:val="18"/>
                      <w:szCs w:val="18"/>
                      <w:highlight w:val="none"/>
                      <w:lang w:val="en-US" w:eastAsia="zh-CN"/>
                    </w:rPr>
                  </w:pPr>
                  <w:r>
                    <w:rPr>
                      <w:rFonts w:hint="eastAsia" w:ascii="Times New Roman" w:hAnsi="Times New Roman" w:eastAsia="宋体" w:cs="Times New Roman"/>
                      <w:color w:val="auto"/>
                      <w:spacing w:val="-4"/>
                      <w:sz w:val="18"/>
                      <w:szCs w:val="18"/>
                      <w:highlight w:val="none"/>
                      <w:lang w:val="en-US" w:eastAsia="zh-CN"/>
                    </w:rPr>
                    <w:t>25.05</w:t>
                  </w:r>
                </w:p>
              </w:tc>
              <w:tc>
                <w:tcPr>
                  <w:tcW w:w="427" w:type="dxa"/>
                  <w:noWrap w:val="0"/>
                  <w:vAlign w:val="center"/>
                </w:tcPr>
                <w:p w14:paraId="48069864">
                  <w:pPr>
                    <w:spacing w:line="240" w:lineRule="auto"/>
                    <w:jc w:val="center"/>
                    <w:rPr>
                      <w:rFonts w:hint="eastAsia"/>
                      <w:color w:val="auto"/>
                      <w:spacing w:val="-4"/>
                      <w:sz w:val="18"/>
                      <w:szCs w:val="18"/>
                      <w:highlight w:val="none"/>
                      <w:lang w:val="en-US" w:eastAsia="zh-CN"/>
                    </w:rPr>
                  </w:pPr>
                  <w:r>
                    <w:rPr>
                      <w:rFonts w:hint="eastAsia"/>
                      <w:color w:val="auto"/>
                      <w:spacing w:val="-4"/>
                      <w:sz w:val="18"/>
                      <w:szCs w:val="18"/>
                      <w:highlight w:val="none"/>
                      <w:lang w:val="en-US" w:eastAsia="zh-CN"/>
                    </w:rPr>
                    <w:t>1.2</w:t>
                  </w:r>
                </w:p>
              </w:tc>
              <w:tc>
                <w:tcPr>
                  <w:tcW w:w="510" w:type="dxa"/>
                  <w:noWrap w:val="0"/>
                  <w:vAlign w:val="center"/>
                </w:tcPr>
                <w:p w14:paraId="1EC434E0">
                  <w:pPr>
                    <w:spacing w:line="240" w:lineRule="auto"/>
                    <w:jc w:val="center"/>
                    <w:rPr>
                      <w:rFonts w:hint="default"/>
                      <w:color w:val="auto"/>
                      <w:spacing w:val="-5"/>
                      <w:sz w:val="18"/>
                      <w:szCs w:val="18"/>
                      <w:highlight w:val="none"/>
                      <w:lang w:val="en-US" w:eastAsia="zh-CN"/>
                    </w:rPr>
                  </w:pPr>
                  <w:r>
                    <w:rPr>
                      <w:rFonts w:hint="eastAsia"/>
                      <w:color w:val="auto"/>
                      <w:spacing w:val="-5"/>
                      <w:sz w:val="18"/>
                      <w:szCs w:val="18"/>
                      <w:highlight w:val="none"/>
                      <w:lang w:val="en-US" w:eastAsia="zh-CN"/>
                    </w:rPr>
                    <w:t>3.0</w:t>
                  </w:r>
                </w:p>
              </w:tc>
              <w:tc>
                <w:tcPr>
                  <w:tcW w:w="550" w:type="dxa"/>
                  <w:noWrap w:val="0"/>
                  <w:vAlign w:val="center"/>
                </w:tcPr>
                <w:p w14:paraId="4F178934">
                  <w:pPr>
                    <w:spacing w:line="240" w:lineRule="auto"/>
                    <w:jc w:val="center"/>
                    <w:rPr>
                      <w:rFonts w:hint="eastAsia"/>
                      <w:color w:val="auto"/>
                      <w:spacing w:val="2"/>
                      <w:sz w:val="18"/>
                      <w:szCs w:val="18"/>
                      <w:highlight w:val="none"/>
                      <w:lang w:val="en-US" w:eastAsia="zh-CN"/>
                    </w:rPr>
                  </w:pPr>
                  <w:r>
                    <w:rPr>
                      <w:rFonts w:hint="eastAsia"/>
                      <w:color w:val="auto"/>
                      <w:spacing w:val="2"/>
                      <w:sz w:val="18"/>
                      <w:szCs w:val="18"/>
                      <w:highlight w:val="none"/>
                      <w:lang w:val="en-US" w:eastAsia="zh-CN"/>
                    </w:rPr>
                    <w:t>78</w:t>
                  </w:r>
                </w:p>
              </w:tc>
              <w:tc>
                <w:tcPr>
                  <w:tcW w:w="464" w:type="dxa"/>
                  <w:vMerge w:val="continue"/>
                  <w:noWrap w:val="0"/>
                  <w:vAlign w:val="center"/>
                </w:tcPr>
                <w:p w14:paraId="66A91486">
                  <w:pPr>
                    <w:spacing w:line="240" w:lineRule="auto"/>
                    <w:jc w:val="center"/>
                    <w:rPr>
                      <w:color w:val="auto"/>
                      <w:spacing w:val="8"/>
                      <w:sz w:val="18"/>
                      <w:szCs w:val="18"/>
                      <w:highlight w:val="none"/>
                    </w:rPr>
                  </w:pPr>
                </w:p>
              </w:tc>
              <w:tc>
                <w:tcPr>
                  <w:tcW w:w="604" w:type="dxa"/>
                  <w:noWrap w:val="0"/>
                  <w:vAlign w:val="center"/>
                </w:tcPr>
                <w:p w14:paraId="418EE18B">
                  <w:pPr>
                    <w:spacing w:line="240" w:lineRule="auto"/>
                    <w:jc w:val="center"/>
                    <w:rPr>
                      <w:rFonts w:hint="eastAsia"/>
                      <w:color w:val="auto"/>
                      <w:spacing w:val="-5"/>
                      <w:sz w:val="18"/>
                      <w:szCs w:val="18"/>
                      <w:highlight w:val="none"/>
                      <w:lang w:val="en-US" w:eastAsia="zh-CN"/>
                    </w:rPr>
                  </w:pPr>
                  <w:r>
                    <w:rPr>
                      <w:rFonts w:hint="eastAsia"/>
                      <w:color w:val="auto"/>
                      <w:spacing w:val="-5"/>
                      <w:sz w:val="18"/>
                      <w:szCs w:val="18"/>
                      <w:highlight w:val="none"/>
                      <w:lang w:val="en-US" w:eastAsia="zh-CN"/>
                    </w:rPr>
                    <w:t>15</w:t>
                  </w:r>
                </w:p>
              </w:tc>
              <w:tc>
                <w:tcPr>
                  <w:tcW w:w="688" w:type="dxa"/>
                  <w:noWrap w:val="0"/>
                  <w:vAlign w:val="center"/>
                </w:tcPr>
                <w:p w14:paraId="38E06563">
                  <w:pPr>
                    <w:spacing w:line="240" w:lineRule="auto"/>
                    <w:jc w:val="center"/>
                    <w:rPr>
                      <w:rFonts w:hint="default" w:ascii="Times New Roman" w:hAnsi="Times New Roman" w:eastAsia="宋体" w:cs="Times New Roman"/>
                      <w:color w:val="auto"/>
                      <w:spacing w:val="-5"/>
                      <w:sz w:val="18"/>
                      <w:szCs w:val="18"/>
                      <w:highlight w:val="none"/>
                      <w:lang w:val="en-US" w:eastAsia="zh-CN"/>
                    </w:rPr>
                  </w:pPr>
                  <w:r>
                    <w:rPr>
                      <w:rFonts w:hint="eastAsia" w:ascii="Times New Roman" w:hAnsi="Times New Roman" w:eastAsia="宋体" w:cs="Times New Roman"/>
                      <w:color w:val="auto"/>
                      <w:spacing w:val="-5"/>
                      <w:sz w:val="18"/>
                      <w:szCs w:val="18"/>
                      <w:highlight w:val="none"/>
                      <w:lang w:val="en-US" w:eastAsia="zh-CN"/>
                    </w:rPr>
                    <w:t>57</w:t>
                  </w:r>
                </w:p>
              </w:tc>
              <w:tc>
                <w:tcPr>
                  <w:tcW w:w="599" w:type="dxa"/>
                  <w:noWrap w:val="0"/>
                  <w:vAlign w:val="center"/>
                </w:tcPr>
                <w:p w14:paraId="1D4E0E3A">
                  <w:pPr>
                    <w:spacing w:line="240" w:lineRule="auto"/>
                    <w:jc w:val="center"/>
                    <w:rPr>
                      <w:rFonts w:hint="default" w:eastAsia="宋体"/>
                      <w:color w:val="auto"/>
                      <w:spacing w:val="-4"/>
                      <w:sz w:val="18"/>
                      <w:szCs w:val="18"/>
                      <w:highlight w:val="none"/>
                      <w:lang w:val="en-US" w:eastAsia="zh-CN"/>
                    </w:rPr>
                  </w:pPr>
                  <w:r>
                    <w:rPr>
                      <w:rFonts w:hint="eastAsia" w:eastAsia="宋体"/>
                      <w:color w:val="auto"/>
                      <w:spacing w:val="-4"/>
                      <w:sz w:val="18"/>
                      <w:szCs w:val="18"/>
                      <w:highlight w:val="none"/>
                      <w:lang w:val="en-US" w:eastAsia="zh-CN"/>
                    </w:rPr>
                    <w:t>1</w:t>
                  </w:r>
                </w:p>
              </w:tc>
            </w:tr>
            <w:tr w14:paraId="3E7EE9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17" w:type="dxa"/>
                  <w:noWrap w:val="0"/>
                  <w:vAlign w:val="center"/>
                </w:tcPr>
                <w:p w14:paraId="302B8BD8">
                  <w:pPr>
                    <w:numPr>
                      <w:ilvl w:val="0"/>
                      <w:numId w:val="23"/>
                    </w:numPr>
                    <w:spacing w:line="240" w:lineRule="auto"/>
                    <w:ind w:left="0" w:leftChars="0" w:firstLine="0" w:firstLineChars="0"/>
                    <w:jc w:val="center"/>
                    <w:rPr>
                      <w:rFonts w:hint="eastAsia"/>
                      <w:color w:val="auto"/>
                      <w:sz w:val="18"/>
                      <w:szCs w:val="18"/>
                      <w:highlight w:val="none"/>
                      <w:lang w:val="en-US" w:eastAsia="zh-CN"/>
                    </w:rPr>
                  </w:pPr>
                </w:p>
              </w:tc>
              <w:tc>
                <w:tcPr>
                  <w:tcW w:w="472" w:type="dxa"/>
                  <w:vMerge w:val="continue"/>
                  <w:noWrap w:val="0"/>
                  <w:vAlign w:val="center"/>
                </w:tcPr>
                <w:p w14:paraId="18FA66E5">
                  <w:pPr>
                    <w:spacing w:line="240" w:lineRule="auto"/>
                    <w:jc w:val="center"/>
                    <w:rPr>
                      <w:rFonts w:hint="eastAsia"/>
                      <w:color w:val="auto"/>
                      <w:spacing w:val="7"/>
                      <w:sz w:val="18"/>
                      <w:szCs w:val="18"/>
                      <w:highlight w:val="none"/>
                      <w:lang w:eastAsia="zh-CN"/>
                    </w:rPr>
                  </w:pPr>
                </w:p>
              </w:tc>
              <w:tc>
                <w:tcPr>
                  <w:tcW w:w="666" w:type="dxa"/>
                  <w:noWrap w:val="0"/>
                  <w:vAlign w:val="center"/>
                </w:tcPr>
                <w:p w14:paraId="563F049F">
                  <w:pPr>
                    <w:spacing w:line="240" w:lineRule="auto"/>
                    <w:jc w:val="center"/>
                    <w:rPr>
                      <w:rFonts w:hint="eastAsia" w:ascii="Times New Roman" w:hAnsi="Times New Roman" w:eastAsia="宋体" w:cs="Times New Roman"/>
                      <w:color w:val="auto"/>
                      <w:kern w:val="0"/>
                      <w:sz w:val="18"/>
                      <w:szCs w:val="18"/>
                      <w:highlight w:val="none"/>
                      <w:lang w:eastAsia="zh-CN"/>
                    </w:rPr>
                  </w:pPr>
                  <w:r>
                    <w:rPr>
                      <w:rFonts w:hint="default" w:ascii="Times New Roman" w:hAnsi="Times New Roman" w:eastAsia="宋体" w:cs="Times New Roman"/>
                      <w:color w:val="auto"/>
                      <w:kern w:val="0"/>
                      <w:sz w:val="18"/>
                      <w:szCs w:val="18"/>
                      <w:highlight w:val="none"/>
                      <w:lang w:eastAsia="zh-CN"/>
                    </w:rPr>
                    <w:t>螺杆式空气压缩机</w:t>
                  </w:r>
                </w:p>
              </w:tc>
              <w:tc>
                <w:tcPr>
                  <w:tcW w:w="620" w:type="dxa"/>
                  <w:noWrap w:val="0"/>
                  <w:vAlign w:val="center"/>
                </w:tcPr>
                <w:p w14:paraId="692308FE">
                  <w:pPr>
                    <w:spacing w:line="240" w:lineRule="auto"/>
                    <w:jc w:val="center"/>
                    <w:rPr>
                      <w:rFonts w:hint="default"/>
                      <w:color w:val="auto"/>
                      <w:kern w:val="0"/>
                      <w:sz w:val="18"/>
                      <w:szCs w:val="18"/>
                      <w:highlight w:val="none"/>
                      <w:lang w:val="en-US" w:eastAsia="zh-CN"/>
                    </w:rPr>
                  </w:pPr>
                  <w:r>
                    <w:rPr>
                      <w:rFonts w:hint="eastAsia"/>
                      <w:color w:val="auto"/>
                      <w:kern w:val="0"/>
                      <w:sz w:val="18"/>
                      <w:szCs w:val="18"/>
                      <w:highlight w:val="none"/>
                      <w:lang w:val="en-US" w:eastAsia="zh-CN"/>
                    </w:rPr>
                    <w:t>2</w:t>
                  </w:r>
                </w:p>
              </w:tc>
              <w:tc>
                <w:tcPr>
                  <w:tcW w:w="630" w:type="dxa"/>
                  <w:noWrap w:val="0"/>
                  <w:vAlign w:val="center"/>
                </w:tcPr>
                <w:p w14:paraId="020EE48B">
                  <w:pPr>
                    <w:spacing w:line="240" w:lineRule="auto"/>
                    <w:jc w:val="center"/>
                    <w:rPr>
                      <w:rFonts w:hint="default" w:eastAsia="宋体"/>
                      <w:color w:val="auto"/>
                      <w:kern w:val="0"/>
                      <w:sz w:val="18"/>
                      <w:szCs w:val="18"/>
                      <w:highlight w:val="none"/>
                      <w:lang w:val="en-US" w:eastAsia="zh-CN"/>
                    </w:rPr>
                  </w:pPr>
                  <w:r>
                    <w:rPr>
                      <w:color w:val="auto"/>
                      <w:kern w:val="0"/>
                      <w:sz w:val="18"/>
                      <w:szCs w:val="18"/>
                      <w:highlight w:val="none"/>
                    </w:rPr>
                    <w:t>≤</w:t>
                  </w:r>
                  <w:r>
                    <w:rPr>
                      <w:rFonts w:hint="eastAsia"/>
                      <w:color w:val="auto"/>
                      <w:kern w:val="0"/>
                      <w:sz w:val="18"/>
                      <w:szCs w:val="18"/>
                      <w:highlight w:val="none"/>
                      <w:lang w:val="en-US" w:eastAsia="zh-CN"/>
                    </w:rPr>
                    <w:t>105</w:t>
                  </w:r>
                </w:p>
              </w:tc>
              <w:tc>
                <w:tcPr>
                  <w:tcW w:w="665" w:type="dxa"/>
                  <w:vMerge w:val="continue"/>
                  <w:noWrap w:val="0"/>
                  <w:vAlign w:val="center"/>
                </w:tcPr>
                <w:p w14:paraId="18C0D11F">
                  <w:pPr>
                    <w:spacing w:line="240" w:lineRule="auto"/>
                    <w:jc w:val="center"/>
                    <w:rPr>
                      <w:color w:val="auto"/>
                      <w:sz w:val="18"/>
                      <w:szCs w:val="18"/>
                      <w:highlight w:val="none"/>
                    </w:rPr>
                  </w:pPr>
                </w:p>
              </w:tc>
              <w:tc>
                <w:tcPr>
                  <w:tcW w:w="656" w:type="dxa"/>
                  <w:noWrap w:val="0"/>
                  <w:vAlign w:val="center"/>
                </w:tcPr>
                <w:p w14:paraId="14083C9E">
                  <w:pPr>
                    <w:spacing w:line="240" w:lineRule="auto"/>
                    <w:jc w:val="center"/>
                    <w:rPr>
                      <w:rFonts w:hint="eastAsia" w:ascii="Times New Roman" w:hAnsi="Times New Roman" w:eastAsia="宋体" w:cs="Times New Roman"/>
                      <w:color w:val="auto"/>
                      <w:spacing w:val="-4"/>
                      <w:sz w:val="18"/>
                      <w:szCs w:val="18"/>
                      <w:highlight w:val="none"/>
                      <w:lang w:val="en-US" w:eastAsia="zh-CN"/>
                    </w:rPr>
                  </w:pPr>
                  <w:r>
                    <w:rPr>
                      <w:rFonts w:hint="eastAsia" w:ascii="Times New Roman" w:hAnsi="Times New Roman" w:eastAsia="宋体" w:cs="Times New Roman"/>
                      <w:color w:val="auto"/>
                      <w:spacing w:val="-4"/>
                      <w:sz w:val="18"/>
                      <w:szCs w:val="18"/>
                      <w:highlight w:val="none"/>
                      <w:lang w:val="en-US" w:eastAsia="zh-CN"/>
                    </w:rPr>
                    <w:t>-89.21</w:t>
                  </w:r>
                </w:p>
              </w:tc>
              <w:tc>
                <w:tcPr>
                  <w:tcW w:w="596" w:type="dxa"/>
                  <w:noWrap w:val="0"/>
                  <w:vAlign w:val="center"/>
                </w:tcPr>
                <w:p w14:paraId="514E0FBE">
                  <w:pPr>
                    <w:spacing w:line="240" w:lineRule="auto"/>
                    <w:jc w:val="center"/>
                    <w:rPr>
                      <w:rFonts w:hint="eastAsia" w:ascii="Times New Roman" w:hAnsi="Times New Roman" w:eastAsia="宋体" w:cs="Times New Roman"/>
                      <w:color w:val="auto"/>
                      <w:spacing w:val="-4"/>
                      <w:sz w:val="18"/>
                      <w:szCs w:val="18"/>
                      <w:highlight w:val="none"/>
                      <w:lang w:val="en-US" w:eastAsia="zh-CN"/>
                    </w:rPr>
                  </w:pPr>
                  <w:r>
                    <w:rPr>
                      <w:rFonts w:hint="eastAsia" w:ascii="Times New Roman" w:hAnsi="Times New Roman" w:eastAsia="宋体" w:cs="Times New Roman"/>
                      <w:color w:val="auto"/>
                      <w:spacing w:val="-4"/>
                      <w:sz w:val="18"/>
                      <w:szCs w:val="18"/>
                      <w:highlight w:val="none"/>
                      <w:lang w:val="en-US" w:eastAsia="zh-CN"/>
                    </w:rPr>
                    <w:t>5.64</w:t>
                  </w:r>
                </w:p>
              </w:tc>
              <w:tc>
                <w:tcPr>
                  <w:tcW w:w="427" w:type="dxa"/>
                  <w:noWrap w:val="0"/>
                  <w:vAlign w:val="center"/>
                </w:tcPr>
                <w:p w14:paraId="1C064990">
                  <w:pPr>
                    <w:spacing w:line="240" w:lineRule="auto"/>
                    <w:jc w:val="center"/>
                    <w:rPr>
                      <w:rFonts w:hint="eastAsia"/>
                      <w:color w:val="auto"/>
                      <w:spacing w:val="-4"/>
                      <w:sz w:val="18"/>
                      <w:szCs w:val="18"/>
                      <w:highlight w:val="none"/>
                      <w:lang w:val="en-US" w:eastAsia="zh-CN"/>
                    </w:rPr>
                  </w:pPr>
                  <w:r>
                    <w:rPr>
                      <w:rFonts w:hint="eastAsia"/>
                      <w:color w:val="auto"/>
                      <w:spacing w:val="-4"/>
                      <w:sz w:val="18"/>
                      <w:szCs w:val="18"/>
                      <w:highlight w:val="none"/>
                      <w:lang w:val="en-US" w:eastAsia="zh-CN"/>
                    </w:rPr>
                    <w:t>1.2</w:t>
                  </w:r>
                </w:p>
              </w:tc>
              <w:tc>
                <w:tcPr>
                  <w:tcW w:w="510" w:type="dxa"/>
                  <w:noWrap w:val="0"/>
                  <w:vAlign w:val="center"/>
                </w:tcPr>
                <w:p w14:paraId="4EAC3878">
                  <w:pPr>
                    <w:spacing w:line="240" w:lineRule="auto"/>
                    <w:jc w:val="center"/>
                    <w:rPr>
                      <w:rFonts w:hint="default"/>
                      <w:color w:val="auto"/>
                      <w:spacing w:val="-5"/>
                      <w:sz w:val="18"/>
                      <w:szCs w:val="18"/>
                      <w:highlight w:val="none"/>
                      <w:lang w:val="en-US" w:eastAsia="zh-CN"/>
                    </w:rPr>
                  </w:pPr>
                  <w:r>
                    <w:rPr>
                      <w:rFonts w:hint="eastAsia"/>
                      <w:color w:val="auto"/>
                      <w:spacing w:val="-5"/>
                      <w:sz w:val="18"/>
                      <w:szCs w:val="18"/>
                      <w:highlight w:val="none"/>
                      <w:lang w:val="en-US" w:eastAsia="zh-CN"/>
                    </w:rPr>
                    <w:t>2.0</w:t>
                  </w:r>
                </w:p>
              </w:tc>
              <w:tc>
                <w:tcPr>
                  <w:tcW w:w="550" w:type="dxa"/>
                  <w:noWrap w:val="0"/>
                  <w:vAlign w:val="center"/>
                </w:tcPr>
                <w:p w14:paraId="6D9F2397">
                  <w:pPr>
                    <w:spacing w:line="240" w:lineRule="auto"/>
                    <w:jc w:val="center"/>
                    <w:rPr>
                      <w:rFonts w:hint="default"/>
                      <w:color w:val="auto"/>
                      <w:spacing w:val="2"/>
                      <w:sz w:val="18"/>
                      <w:szCs w:val="18"/>
                      <w:highlight w:val="none"/>
                      <w:lang w:val="en-US" w:eastAsia="zh-CN"/>
                    </w:rPr>
                  </w:pPr>
                  <w:r>
                    <w:rPr>
                      <w:rFonts w:hint="eastAsia"/>
                      <w:color w:val="auto"/>
                      <w:spacing w:val="2"/>
                      <w:sz w:val="18"/>
                      <w:szCs w:val="18"/>
                      <w:highlight w:val="none"/>
                      <w:lang w:val="en-US" w:eastAsia="zh-CN"/>
                    </w:rPr>
                    <w:t>102</w:t>
                  </w:r>
                </w:p>
              </w:tc>
              <w:tc>
                <w:tcPr>
                  <w:tcW w:w="464" w:type="dxa"/>
                  <w:vMerge w:val="continue"/>
                  <w:noWrap w:val="0"/>
                  <w:vAlign w:val="center"/>
                </w:tcPr>
                <w:p w14:paraId="6DD75D4B">
                  <w:pPr>
                    <w:spacing w:line="240" w:lineRule="auto"/>
                    <w:jc w:val="center"/>
                    <w:rPr>
                      <w:color w:val="auto"/>
                      <w:spacing w:val="8"/>
                      <w:sz w:val="18"/>
                      <w:szCs w:val="18"/>
                      <w:highlight w:val="none"/>
                    </w:rPr>
                  </w:pPr>
                </w:p>
              </w:tc>
              <w:tc>
                <w:tcPr>
                  <w:tcW w:w="604" w:type="dxa"/>
                  <w:noWrap w:val="0"/>
                  <w:vAlign w:val="center"/>
                </w:tcPr>
                <w:p w14:paraId="6DFB4F71">
                  <w:pPr>
                    <w:spacing w:line="240" w:lineRule="auto"/>
                    <w:jc w:val="center"/>
                    <w:rPr>
                      <w:rFonts w:hint="eastAsia"/>
                      <w:color w:val="auto"/>
                      <w:spacing w:val="-5"/>
                      <w:sz w:val="18"/>
                      <w:szCs w:val="18"/>
                      <w:highlight w:val="none"/>
                      <w:lang w:val="en-US" w:eastAsia="zh-CN"/>
                    </w:rPr>
                  </w:pPr>
                  <w:r>
                    <w:rPr>
                      <w:rFonts w:hint="eastAsia"/>
                      <w:color w:val="auto"/>
                      <w:spacing w:val="-5"/>
                      <w:sz w:val="18"/>
                      <w:szCs w:val="18"/>
                      <w:highlight w:val="none"/>
                      <w:lang w:val="en-US" w:eastAsia="zh-CN"/>
                    </w:rPr>
                    <w:t>15</w:t>
                  </w:r>
                </w:p>
              </w:tc>
              <w:tc>
                <w:tcPr>
                  <w:tcW w:w="688" w:type="dxa"/>
                  <w:noWrap w:val="0"/>
                  <w:vAlign w:val="center"/>
                </w:tcPr>
                <w:p w14:paraId="214039D3">
                  <w:pPr>
                    <w:spacing w:line="240" w:lineRule="auto"/>
                    <w:jc w:val="center"/>
                    <w:rPr>
                      <w:rFonts w:hint="default" w:ascii="Times New Roman" w:hAnsi="Times New Roman" w:eastAsia="宋体" w:cs="Times New Roman"/>
                      <w:color w:val="auto"/>
                      <w:spacing w:val="-5"/>
                      <w:sz w:val="18"/>
                      <w:szCs w:val="18"/>
                      <w:highlight w:val="none"/>
                      <w:lang w:val="en-US" w:eastAsia="zh-CN"/>
                    </w:rPr>
                  </w:pPr>
                  <w:r>
                    <w:rPr>
                      <w:rFonts w:hint="eastAsia" w:ascii="Times New Roman" w:hAnsi="Times New Roman" w:eastAsia="宋体" w:cs="Times New Roman"/>
                      <w:color w:val="auto"/>
                      <w:spacing w:val="-5"/>
                      <w:sz w:val="18"/>
                      <w:szCs w:val="18"/>
                      <w:highlight w:val="none"/>
                      <w:lang w:val="en-US" w:eastAsia="zh-CN"/>
                    </w:rPr>
                    <w:t>81</w:t>
                  </w:r>
                </w:p>
              </w:tc>
              <w:tc>
                <w:tcPr>
                  <w:tcW w:w="599" w:type="dxa"/>
                  <w:noWrap w:val="0"/>
                  <w:vAlign w:val="center"/>
                </w:tcPr>
                <w:p w14:paraId="213C45A0">
                  <w:pPr>
                    <w:spacing w:line="240" w:lineRule="auto"/>
                    <w:jc w:val="center"/>
                    <w:rPr>
                      <w:rFonts w:hint="default" w:eastAsia="宋体"/>
                      <w:color w:val="auto"/>
                      <w:spacing w:val="-4"/>
                      <w:sz w:val="18"/>
                      <w:szCs w:val="18"/>
                      <w:highlight w:val="none"/>
                      <w:lang w:val="en-US" w:eastAsia="zh-CN"/>
                    </w:rPr>
                  </w:pPr>
                  <w:r>
                    <w:rPr>
                      <w:rFonts w:hint="eastAsia" w:eastAsia="宋体"/>
                      <w:color w:val="auto"/>
                      <w:spacing w:val="-4"/>
                      <w:sz w:val="18"/>
                      <w:szCs w:val="18"/>
                      <w:highlight w:val="none"/>
                      <w:lang w:val="en-US" w:eastAsia="zh-CN"/>
                    </w:rPr>
                    <w:t>1</w:t>
                  </w:r>
                </w:p>
              </w:tc>
            </w:tr>
          </w:tbl>
          <w:p w14:paraId="5B2C46A2">
            <w:pPr>
              <w:tabs>
                <w:tab w:val="left" w:pos="0"/>
              </w:tabs>
              <w:spacing w:line="240" w:lineRule="auto"/>
              <w:jc w:val="both"/>
              <w:rPr>
                <w:rFonts w:ascii="Times New Roman" w:hAnsi="Times New Roman" w:cs="Times New Roman"/>
                <w:color w:val="auto"/>
                <w:sz w:val="18"/>
                <w:szCs w:val="18"/>
              </w:rPr>
            </w:pPr>
            <w:r>
              <w:rPr>
                <w:rFonts w:hint="eastAsia"/>
                <w:color w:val="auto"/>
                <w:sz w:val="18"/>
                <w:szCs w:val="18"/>
                <w:highlight w:val="none"/>
              </w:rPr>
              <w:t>（注：</w:t>
            </w:r>
            <w:r>
              <w:rPr>
                <w:rFonts w:ascii="Times New Roman" w:hAnsi="Times New Roman" w:cs="Times New Roman"/>
                <w:color w:val="auto"/>
                <w:sz w:val="18"/>
                <w:szCs w:val="18"/>
              </w:rPr>
              <w:t>以厂</w:t>
            </w:r>
            <w:r>
              <w:rPr>
                <w:rFonts w:ascii="Times New Roman" w:hAnsi="Times New Roman" w:cs="Times New Roman"/>
                <w:color w:val="auto"/>
                <w:sz w:val="18"/>
                <w:szCs w:val="18"/>
                <w:lang w:eastAsia="zh-CN"/>
              </w:rPr>
              <w:t>区</w:t>
            </w:r>
            <w:r>
              <w:rPr>
                <w:rFonts w:hint="eastAsia" w:ascii="Times New Roman" w:hAnsi="Times New Roman" w:cs="Times New Roman"/>
                <w:color w:val="auto"/>
                <w:sz w:val="18"/>
                <w:szCs w:val="18"/>
                <w:lang w:eastAsia="zh-CN"/>
              </w:rPr>
              <w:t>正门位置</w:t>
            </w:r>
            <w:r>
              <w:rPr>
                <w:rFonts w:hint="eastAsia"/>
                <w:color w:val="auto"/>
                <w:sz w:val="18"/>
                <w:szCs w:val="18"/>
              </w:rPr>
              <w:t>为</w:t>
            </w:r>
            <w:r>
              <w:rPr>
                <w:color w:val="auto"/>
                <w:sz w:val="18"/>
                <w:szCs w:val="18"/>
              </w:rPr>
              <w:t>（0，0）</w:t>
            </w:r>
            <w:r>
              <w:rPr>
                <w:rFonts w:hint="eastAsia"/>
                <w:color w:val="auto"/>
                <w:sz w:val="18"/>
                <w:szCs w:val="18"/>
              </w:rPr>
              <w:t>点，UTM零点坐标为（</w:t>
            </w:r>
            <w:r>
              <w:rPr>
                <w:rFonts w:hint="eastAsia"/>
                <w:color w:val="auto"/>
                <w:sz w:val="18"/>
                <w:szCs w:val="18"/>
                <w:lang w:val="en-US" w:eastAsia="zh-CN"/>
              </w:rPr>
              <w:t>584417.342</w:t>
            </w:r>
            <w:r>
              <w:rPr>
                <w:color w:val="auto"/>
                <w:sz w:val="18"/>
                <w:szCs w:val="18"/>
              </w:rPr>
              <w:t>，</w:t>
            </w:r>
            <w:r>
              <w:rPr>
                <w:rFonts w:hint="eastAsia"/>
                <w:color w:val="auto"/>
                <w:sz w:val="18"/>
                <w:szCs w:val="18"/>
                <w:lang w:val="en-US" w:eastAsia="zh-CN"/>
              </w:rPr>
              <w:t>4619547.872</w:t>
            </w:r>
            <w:r>
              <w:rPr>
                <w:rFonts w:hint="eastAsia"/>
                <w:color w:val="auto"/>
                <w:sz w:val="18"/>
                <w:szCs w:val="18"/>
              </w:rPr>
              <w:t>）</w:t>
            </w:r>
            <w:r>
              <w:rPr>
                <w:rFonts w:hint="eastAsia"/>
                <w:color w:val="auto"/>
                <w:sz w:val="18"/>
                <w:szCs w:val="18"/>
                <w:lang w:eastAsia="zh-CN"/>
              </w:rPr>
              <w:t>，</w:t>
            </w:r>
            <w:r>
              <w:rPr>
                <w:rFonts w:ascii="Times New Roman" w:hAnsi="Times New Roman" w:cs="Times New Roman"/>
                <w:color w:val="auto"/>
                <w:sz w:val="18"/>
                <w:szCs w:val="18"/>
              </w:rPr>
              <w:t>正东向为X轴正方向，正北向为Y轴正方向，企业仅昼间生产，夜间不生产</w:t>
            </w:r>
          </w:p>
          <w:p w14:paraId="1852CC71">
            <w:pPr>
              <w:autoSpaceDE w:val="0"/>
              <w:autoSpaceDN w:val="0"/>
              <w:adjustRightInd w:val="0"/>
              <w:spacing w:line="240" w:lineRule="auto"/>
              <w:rPr>
                <w:color w:val="auto"/>
                <w:kern w:val="0"/>
                <w:szCs w:val="21"/>
                <w:highlight w:val="none"/>
              </w:rPr>
            </w:pPr>
          </w:p>
          <w:p w14:paraId="0F674D69">
            <w:pPr>
              <w:pStyle w:val="68"/>
              <w:numPr>
                <w:ilvl w:val="0"/>
                <w:numId w:val="19"/>
              </w:numPr>
              <w:spacing w:line="360" w:lineRule="auto"/>
              <w:ind w:left="0" w:leftChars="0" w:firstLine="0" w:firstLineChars="0"/>
              <w:jc w:val="center"/>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  项目噪声源强</w:t>
            </w:r>
            <w:r>
              <w:rPr>
                <w:rFonts w:hint="default" w:ascii="Times New Roman" w:hAnsi="Times New Roman" w:eastAsia="宋体" w:cs="Times New Roman"/>
                <w:color w:val="auto"/>
                <w:highlight w:val="none"/>
                <w:lang w:val="en-US" w:eastAsia="zh-CN"/>
              </w:rPr>
              <w:t>一览表</w:t>
            </w:r>
            <w:r>
              <w:rPr>
                <w:rFonts w:hint="eastAsia" w:ascii="Times New Roman" w:hAnsi="Times New Roman" w:eastAsia="宋体" w:cs="Times New Roman"/>
                <w:color w:val="auto"/>
                <w:highlight w:val="none"/>
                <w:lang w:val="en-US" w:eastAsia="zh-CN"/>
              </w:rPr>
              <w:t>（室外声源）  单位：</w:t>
            </w:r>
            <w:r>
              <w:rPr>
                <w:rFonts w:hint="default" w:ascii="Times New Roman" w:hAnsi="Times New Roman" w:eastAsia="宋体" w:cs="Times New Roman"/>
                <w:color w:val="auto"/>
                <w:highlight w:val="none"/>
                <w:lang w:val="en-US" w:eastAsia="zh-CN"/>
              </w:rPr>
              <w:t>dB(A)</w:t>
            </w:r>
          </w:p>
          <w:tbl>
            <w:tblPr>
              <w:tblStyle w:val="26"/>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2"/>
              <w:gridCol w:w="1331"/>
              <w:gridCol w:w="775"/>
              <w:gridCol w:w="847"/>
              <w:gridCol w:w="845"/>
              <w:gridCol w:w="886"/>
              <w:gridCol w:w="682"/>
              <w:gridCol w:w="1681"/>
              <w:gridCol w:w="940"/>
            </w:tblGrid>
            <w:tr w14:paraId="674240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6" w:hRule="atLeast"/>
                <w:jc w:val="center"/>
              </w:trPr>
              <w:tc>
                <w:tcPr>
                  <w:tcW w:w="279" w:type="pct"/>
                  <w:vMerge w:val="restart"/>
                  <w:noWrap w:val="0"/>
                  <w:vAlign w:val="center"/>
                </w:tcPr>
                <w:p w14:paraId="5B76D12B">
                  <w:pPr>
                    <w:pStyle w:val="84"/>
                    <w:widowControl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序号</w:t>
                  </w:r>
                </w:p>
              </w:tc>
              <w:tc>
                <w:tcPr>
                  <w:tcW w:w="786" w:type="pct"/>
                  <w:vMerge w:val="restart"/>
                  <w:noWrap w:val="0"/>
                  <w:vAlign w:val="center"/>
                </w:tcPr>
                <w:p w14:paraId="1F06A7D8">
                  <w:pPr>
                    <w:pStyle w:val="84"/>
                    <w:widowControl w:val="0"/>
                    <w:jc w:val="center"/>
                    <w:rPr>
                      <w:rFonts w:hint="default" w:ascii="Times New Roman" w:hAnsi="Times New Roman" w:cs="Times New Roman"/>
                      <w:color w:val="auto"/>
                      <w:sz w:val="21"/>
                      <w:szCs w:val="21"/>
                    </w:rPr>
                  </w:pPr>
                  <w:r>
                    <w:rPr>
                      <w:rFonts w:hint="eastAsia" w:cs="Times New Roman"/>
                      <w:color w:val="auto"/>
                      <w:sz w:val="21"/>
                      <w:szCs w:val="21"/>
                      <w:lang w:eastAsia="zh-CN"/>
                    </w:rPr>
                    <w:t>声源</w:t>
                  </w:r>
                  <w:r>
                    <w:rPr>
                      <w:rFonts w:hint="default" w:ascii="Times New Roman" w:hAnsi="Times New Roman" w:cs="Times New Roman"/>
                      <w:color w:val="auto"/>
                      <w:sz w:val="21"/>
                      <w:szCs w:val="21"/>
                    </w:rPr>
                    <w:t>名称</w:t>
                  </w:r>
                </w:p>
              </w:tc>
              <w:tc>
                <w:tcPr>
                  <w:tcW w:w="458" w:type="pct"/>
                  <w:vMerge w:val="restart"/>
                  <w:noWrap w:val="0"/>
                  <w:vAlign w:val="center"/>
                </w:tcPr>
                <w:p w14:paraId="36376CEF">
                  <w:pPr>
                    <w:pStyle w:val="84"/>
                    <w:widowControl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数量</w:t>
                  </w:r>
                </w:p>
              </w:tc>
              <w:tc>
                <w:tcPr>
                  <w:tcW w:w="1522" w:type="pct"/>
                  <w:gridSpan w:val="3"/>
                  <w:noWrap w:val="0"/>
                  <w:vAlign w:val="center"/>
                </w:tcPr>
                <w:p w14:paraId="36FAC048">
                  <w:pPr>
                    <w:pStyle w:val="84"/>
                    <w:widowControl w:val="0"/>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空间相对位置（</w:t>
                  </w:r>
                  <w:r>
                    <w:rPr>
                      <w:rFonts w:hint="eastAsia" w:cs="Times New Roman"/>
                      <w:color w:val="auto"/>
                      <w:sz w:val="21"/>
                      <w:szCs w:val="21"/>
                      <w:lang w:val="en-US" w:eastAsia="zh-CN"/>
                    </w:rPr>
                    <w:t>m</w:t>
                  </w:r>
                  <w:r>
                    <w:rPr>
                      <w:rFonts w:hint="eastAsia" w:cs="Times New Roman"/>
                      <w:color w:val="auto"/>
                      <w:sz w:val="21"/>
                      <w:szCs w:val="21"/>
                      <w:lang w:eastAsia="zh-CN"/>
                    </w:rPr>
                    <w:t>）</w:t>
                  </w:r>
                </w:p>
              </w:tc>
              <w:tc>
                <w:tcPr>
                  <w:tcW w:w="403" w:type="pct"/>
                  <w:vMerge w:val="restart"/>
                  <w:noWrap w:val="0"/>
                  <w:vAlign w:val="center"/>
                </w:tcPr>
                <w:p w14:paraId="68284725">
                  <w:pPr>
                    <w:pStyle w:val="84"/>
                    <w:widowControl w:val="0"/>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声源源强</w:t>
                  </w:r>
                </w:p>
              </w:tc>
              <w:tc>
                <w:tcPr>
                  <w:tcW w:w="993" w:type="pct"/>
                  <w:vMerge w:val="restart"/>
                  <w:noWrap w:val="0"/>
                  <w:vAlign w:val="center"/>
                </w:tcPr>
                <w:p w14:paraId="08B478C9">
                  <w:pPr>
                    <w:pStyle w:val="84"/>
                    <w:widowControl w:val="0"/>
                    <w:jc w:val="center"/>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声源控制措施</w:t>
                  </w:r>
                </w:p>
              </w:tc>
              <w:tc>
                <w:tcPr>
                  <w:tcW w:w="555" w:type="pct"/>
                  <w:vMerge w:val="restart"/>
                  <w:noWrap w:val="0"/>
                  <w:vAlign w:val="center"/>
                </w:tcPr>
                <w:p w14:paraId="72AA6133">
                  <w:pPr>
                    <w:pStyle w:val="84"/>
                    <w:widowControl w:val="0"/>
                    <w:jc w:val="center"/>
                    <w:rPr>
                      <w:rFonts w:hint="eastAsia" w:cs="Times New Roman"/>
                      <w:color w:val="auto"/>
                      <w:sz w:val="21"/>
                      <w:szCs w:val="21"/>
                      <w:lang w:eastAsia="zh-CN"/>
                    </w:rPr>
                  </w:pPr>
                  <w:r>
                    <w:rPr>
                      <w:rFonts w:hint="eastAsia" w:cs="Times New Roman"/>
                      <w:color w:val="auto"/>
                      <w:sz w:val="21"/>
                      <w:szCs w:val="21"/>
                      <w:lang w:eastAsia="zh-CN"/>
                    </w:rPr>
                    <w:t>运行时段</w:t>
                  </w:r>
                </w:p>
              </w:tc>
            </w:tr>
            <w:tr w14:paraId="79040F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1" w:hRule="atLeast"/>
                <w:jc w:val="center"/>
              </w:trPr>
              <w:tc>
                <w:tcPr>
                  <w:tcW w:w="279" w:type="pct"/>
                  <w:vMerge w:val="continue"/>
                  <w:noWrap w:val="0"/>
                  <w:vAlign w:val="center"/>
                </w:tcPr>
                <w:p w14:paraId="495E7262">
                  <w:pPr>
                    <w:pStyle w:val="84"/>
                    <w:widowControl w:val="0"/>
                    <w:jc w:val="center"/>
                    <w:rPr>
                      <w:color w:val="auto"/>
                      <w:sz w:val="21"/>
                      <w:szCs w:val="21"/>
                    </w:rPr>
                  </w:pPr>
                </w:p>
              </w:tc>
              <w:tc>
                <w:tcPr>
                  <w:tcW w:w="786" w:type="pct"/>
                  <w:vMerge w:val="continue"/>
                  <w:noWrap w:val="0"/>
                  <w:vAlign w:val="center"/>
                </w:tcPr>
                <w:p w14:paraId="54DD96CF">
                  <w:pPr>
                    <w:pStyle w:val="84"/>
                    <w:widowControl w:val="0"/>
                    <w:jc w:val="center"/>
                    <w:rPr>
                      <w:color w:val="auto"/>
                      <w:sz w:val="21"/>
                      <w:szCs w:val="21"/>
                    </w:rPr>
                  </w:pPr>
                </w:p>
              </w:tc>
              <w:tc>
                <w:tcPr>
                  <w:tcW w:w="458" w:type="pct"/>
                  <w:vMerge w:val="continue"/>
                  <w:noWrap w:val="0"/>
                  <w:vAlign w:val="center"/>
                </w:tcPr>
                <w:p w14:paraId="6507C94C">
                  <w:pPr>
                    <w:pStyle w:val="84"/>
                    <w:widowControl w:val="0"/>
                    <w:jc w:val="center"/>
                    <w:rPr>
                      <w:color w:val="auto"/>
                      <w:sz w:val="21"/>
                      <w:szCs w:val="21"/>
                    </w:rPr>
                  </w:pPr>
                </w:p>
              </w:tc>
              <w:tc>
                <w:tcPr>
                  <w:tcW w:w="500" w:type="pct"/>
                  <w:noWrap w:val="0"/>
                  <w:vAlign w:val="center"/>
                </w:tcPr>
                <w:p w14:paraId="4EE88FFF">
                  <w:pPr>
                    <w:pStyle w:val="84"/>
                    <w:widowControl w:val="0"/>
                    <w:jc w:val="center"/>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X</w:t>
                  </w:r>
                </w:p>
              </w:tc>
              <w:tc>
                <w:tcPr>
                  <w:tcW w:w="499" w:type="pct"/>
                  <w:noWrap w:val="0"/>
                  <w:vAlign w:val="center"/>
                </w:tcPr>
                <w:p w14:paraId="062890E7">
                  <w:pPr>
                    <w:pStyle w:val="84"/>
                    <w:widowControl w:val="0"/>
                    <w:jc w:val="center"/>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Y</w:t>
                  </w:r>
                </w:p>
              </w:tc>
              <w:tc>
                <w:tcPr>
                  <w:tcW w:w="522" w:type="pct"/>
                  <w:noWrap w:val="0"/>
                  <w:vAlign w:val="center"/>
                </w:tcPr>
                <w:p w14:paraId="6DBE4469">
                  <w:pPr>
                    <w:pStyle w:val="84"/>
                    <w:widowControl w:val="0"/>
                    <w:jc w:val="center"/>
                    <w:rPr>
                      <w:rFonts w:hint="default" w:cs="Times New Roman"/>
                      <w:color w:val="auto"/>
                      <w:sz w:val="21"/>
                      <w:szCs w:val="21"/>
                      <w:lang w:val="en-US" w:eastAsia="zh-CN"/>
                    </w:rPr>
                  </w:pPr>
                  <w:r>
                    <w:rPr>
                      <w:rFonts w:hint="eastAsia" w:cs="Times New Roman"/>
                      <w:color w:val="auto"/>
                      <w:sz w:val="21"/>
                      <w:szCs w:val="21"/>
                      <w:lang w:val="en-US" w:eastAsia="zh-CN"/>
                    </w:rPr>
                    <w:t>Z</w:t>
                  </w:r>
                </w:p>
              </w:tc>
              <w:tc>
                <w:tcPr>
                  <w:tcW w:w="403" w:type="pct"/>
                  <w:vMerge w:val="continue"/>
                  <w:noWrap w:val="0"/>
                  <w:vAlign w:val="center"/>
                </w:tcPr>
                <w:p w14:paraId="37B22B01">
                  <w:pPr>
                    <w:pStyle w:val="84"/>
                    <w:widowControl w:val="0"/>
                    <w:jc w:val="center"/>
                    <w:rPr>
                      <w:rFonts w:hint="default" w:ascii="Times New Roman" w:hAnsi="Times New Roman" w:cs="Times New Roman"/>
                      <w:color w:val="auto"/>
                      <w:sz w:val="21"/>
                      <w:szCs w:val="21"/>
                    </w:rPr>
                  </w:pPr>
                </w:p>
              </w:tc>
              <w:tc>
                <w:tcPr>
                  <w:tcW w:w="993" w:type="pct"/>
                  <w:vMerge w:val="continue"/>
                  <w:noWrap w:val="0"/>
                  <w:vAlign w:val="center"/>
                </w:tcPr>
                <w:p w14:paraId="7131BA57">
                  <w:pPr>
                    <w:pStyle w:val="84"/>
                    <w:widowControl w:val="0"/>
                    <w:jc w:val="center"/>
                    <w:rPr>
                      <w:rFonts w:hint="default" w:ascii="Times New Roman" w:hAnsi="Times New Roman" w:cs="Times New Roman"/>
                      <w:color w:val="auto"/>
                      <w:sz w:val="21"/>
                      <w:szCs w:val="21"/>
                    </w:rPr>
                  </w:pPr>
                </w:p>
              </w:tc>
              <w:tc>
                <w:tcPr>
                  <w:tcW w:w="555" w:type="pct"/>
                  <w:vMerge w:val="continue"/>
                  <w:noWrap w:val="0"/>
                  <w:vAlign w:val="center"/>
                </w:tcPr>
                <w:p w14:paraId="16BDF7A6">
                  <w:pPr>
                    <w:pStyle w:val="84"/>
                    <w:widowControl w:val="0"/>
                    <w:jc w:val="center"/>
                    <w:rPr>
                      <w:rFonts w:hint="default" w:ascii="Times New Roman" w:hAnsi="Times New Roman" w:cs="Times New Roman"/>
                      <w:color w:val="auto"/>
                      <w:sz w:val="21"/>
                      <w:szCs w:val="21"/>
                    </w:rPr>
                  </w:pPr>
                </w:p>
              </w:tc>
            </w:tr>
            <w:tr w14:paraId="06EA23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4" w:hRule="atLeast"/>
                <w:jc w:val="center"/>
              </w:trPr>
              <w:tc>
                <w:tcPr>
                  <w:tcW w:w="279" w:type="pct"/>
                  <w:noWrap w:val="0"/>
                  <w:vAlign w:val="center"/>
                </w:tcPr>
                <w:p w14:paraId="52AFC6E9">
                  <w:pPr>
                    <w:pStyle w:val="84"/>
                    <w:widowControl w:val="0"/>
                    <w:numPr>
                      <w:ilvl w:val="0"/>
                      <w:numId w:val="0"/>
                    </w:numPr>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1</w:t>
                  </w:r>
                </w:p>
              </w:tc>
              <w:tc>
                <w:tcPr>
                  <w:tcW w:w="786" w:type="pct"/>
                  <w:noWrap w:val="0"/>
                  <w:vAlign w:val="center"/>
                </w:tcPr>
                <w:p w14:paraId="23BCC146">
                  <w:pPr>
                    <w:pStyle w:val="84"/>
                    <w:widowControl w:val="0"/>
                    <w:jc w:val="both"/>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除尘器风机</w:t>
                  </w:r>
                </w:p>
              </w:tc>
              <w:tc>
                <w:tcPr>
                  <w:tcW w:w="458" w:type="pct"/>
                  <w:noWrap w:val="0"/>
                  <w:vAlign w:val="center"/>
                </w:tcPr>
                <w:p w14:paraId="282359D2">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4</w:t>
                  </w:r>
                  <w:r>
                    <w:rPr>
                      <w:rFonts w:hint="default" w:ascii="Times New Roman" w:hAnsi="Times New Roman" w:cs="Times New Roman"/>
                      <w:color w:val="auto"/>
                      <w:sz w:val="21"/>
                      <w:szCs w:val="21"/>
                    </w:rPr>
                    <w:t>台</w:t>
                  </w:r>
                </w:p>
              </w:tc>
              <w:tc>
                <w:tcPr>
                  <w:tcW w:w="500" w:type="pct"/>
                  <w:noWrap w:val="0"/>
                  <w:vAlign w:val="center"/>
                </w:tcPr>
                <w:p w14:paraId="2ED85D1D">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center"/>
                    <w:textAlignment w:val="auto"/>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288.41</w:t>
                  </w:r>
                </w:p>
              </w:tc>
              <w:tc>
                <w:tcPr>
                  <w:tcW w:w="499" w:type="pct"/>
                  <w:noWrap w:val="0"/>
                  <w:vAlign w:val="center"/>
                </w:tcPr>
                <w:p w14:paraId="1B2CD3F9">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center"/>
                    <w:textAlignment w:val="auto"/>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45.71</w:t>
                  </w:r>
                </w:p>
              </w:tc>
              <w:tc>
                <w:tcPr>
                  <w:tcW w:w="522" w:type="pct"/>
                  <w:noWrap w:val="0"/>
                  <w:vAlign w:val="center"/>
                </w:tcPr>
                <w:p w14:paraId="6A2657A8">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center"/>
                    <w:textAlignment w:val="auto"/>
                    <w:rPr>
                      <w:rFonts w:hint="eastAsia"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1.2</w:t>
                  </w:r>
                </w:p>
              </w:tc>
              <w:tc>
                <w:tcPr>
                  <w:tcW w:w="403" w:type="pct"/>
                  <w:noWrap w:val="0"/>
                  <w:vAlign w:val="center"/>
                </w:tcPr>
                <w:p w14:paraId="1D17D7F6">
                  <w:pPr>
                    <w:pStyle w:val="84"/>
                    <w:keepNext w:val="0"/>
                    <w:keepLines w:val="0"/>
                    <w:pageBreakBefore w:val="0"/>
                    <w:widowControl w:val="0"/>
                    <w:kinsoku/>
                    <w:wordWrap/>
                    <w:overflowPunct/>
                    <w:topLinePunct w:val="0"/>
                    <w:autoSpaceDE/>
                    <w:autoSpaceDN/>
                    <w:bidi w:val="0"/>
                    <w:ind w:firstLine="0" w:firstLineChars="0"/>
                    <w:jc w:val="center"/>
                    <w:textAlignment w:val="auto"/>
                    <w:rPr>
                      <w:rFonts w:hint="default" w:ascii="Times New Roman" w:hAnsi="Times New Roman" w:cs="Times New Roman"/>
                      <w:color w:val="auto"/>
                      <w:sz w:val="21"/>
                      <w:szCs w:val="21"/>
                      <w:lang w:val="en-US"/>
                    </w:rPr>
                  </w:pPr>
                  <w:r>
                    <w:rPr>
                      <w:rFonts w:hint="eastAsia" w:cs="Times New Roman"/>
                      <w:color w:val="auto"/>
                      <w:sz w:val="21"/>
                      <w:szCs w:val="21"/>
                      <w:lang w:val="en-US" w:eastAsia="zh-CN"/>
                    </w:rPr>
                    <w:t>85</w:t>
                  </w:r>
                </w:p>
              </w:tc>
              <w:tc>
                <w:tcPr>
                  <w:tcW w:w="993" w:type="pct"/>
                  <w:vMerge w:val="restart"/>
                  <w:noWrap w:val="0"/>
                  <w:vAlign w:val="center"/>
                </w:tcPr>
                <w:p w14:paraId="529C9C61">
                  <w:pPr>
                    <w:pStyle w:val="84"/>
                    <w:widowControl w:val="0"/>
                    <w:jc w:val="center"/>
                    <w:rPr>
                      <w:rFonts w:hint="default" w:ascii="Times New Roman" w:hAnsi="Times New Roman" w:eastAsia="宋体" w:cs="Times New Roman"/>
                      <w:color w:val="auto"/>
                      <w:sz w:val="21"/>
                      <w:szCs w:val="21"/>
                      <w:lang w:eastAsia="zh-CN"/>
                    </w:rPr>
                  </w:pPr>
                  <w:r>
                    <w:rPr>
                      <w:color w:val="auto"/>
                      <w:spacing w:val="8"/>
                      <w:sz w:val="21"/>
                      <w:szCs w:val="21"/>
                    </w:rPr>
                    <w:t>采用低</w:t>
                  </w:r>
                  <w:r>
                    <w:rPr>
                      <w:color w:val="auto"/>
                      <w:spacing w:val="7"/>
                      <w:sz w:val="21"/>
                      <w:szCs w:val="21"/>
                    </w:rPr>
                    <w:t>噪声设备，</w:t>
                  </w:r>
                  <w:r>
                    <w:rPr>
                      <w:rFonts w:hint="eastAsia"/>
                      <w:color w:val="auto"/>
                      <w:spacing w:val="7"/>
                      <w:sz w:val="21"/>
                      <w:szCs w:val="21"/>
                      <w:lang w:eastAsia="zh-CN"/>
                    </w:rPr>
                    <w:t>基础减振</w:t>
                  </w:r>
                </w:p>
              </w:tc>
              <w:tc>
                <w:tcPr>
                  <w:tcW w:w="555" w:type="pct"/>
                  <w:vMerge w:val="restart"/>
                  <w:noWrap w:val="0"/>
                  <w:vAlign w:val="center"/>
                </w:tcPr>
                <w:p w14:paraId="1B96D349">
                  <w:pPr>
                    <w:pStyle w:val="84"/>
                    <w:widowControl w:val="0"/>
                    <w:jc w:val="center"/>
                    <w:rPr>
                      <w:rFonts w:hint="eastAsia" w:cs="Times New Roman"/>
                      <w:color w:val="auto"/>
                      <w:sz w:val="21"/>
                      <w:szCs w:val="21"/>
                      <w:lang w:eastAsia="zh-CN"/>
                    </w:rPr>
                  </w:pPr>
                  <w:r>
                    <w:rPr>
                      <w:rFonts w:hint="eastAsia" w:cs="Times New Roman"/>
                      <w:color w:val="auto"/>
                      <w:sz w:val="21"/>
                      <w:szCs w:val="21"/>
                      <w:lang w:eastAsia="zh-CN"/>
                    </w:rPr>
                    <w:t>昼间</w:t>
                  </w:r>
                </w:p>
              </w:tc>
            </w:tr>
            <w:tr w14:paraId="04EE7F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9" w:type="pct"/>
                  <w:noWrap w:val="0"/>
                  <w:vAlign w:val="center"/>
                </w:tcPr>
                <w:p w14:paraId="43C64FCC">
                  <w:pPr>
                    <w:pStyle w:val="84"/>
                    <w:widowControl w:val="0"/>
                    <w:numPr>
                      <w:ilvl w:val="0"/>
                      <w:numId w:val="0"/>
                    </w:numPr>
                    <w:ind w:left="0" w:lef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2</w:t>
                  </w:r>
                </w:p>
              </w:tc>
              <w:tc>
                <w:tcPr>
                  <w:tcW w:w="786" w:type="pct"/>
                  <w:noWrap w:val="0"/>
                  <w:vAlign w:val="center"/>
                </w:tcPr>
                <w:p w14:paraId="542217DD">
                  <w:pPr>
                    <w:pStyle w:val="84"/>
                    <w:widowControl w:val="0"/>
                    <w:jc w:val="center"/>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活性炭吸附装置风机</w:t>
                  </w:r>
                </w:p>
              </w:tc>
              <w:tc>
                <w:tcPr>
                  <w:tcW w:w="458" w:type="pct"/>
                  <w:noWrap w:val="0"/>
                  <w:vAlign w:val="center"/>
                </w:tcPr>
                <w:p w14:paraId="1A7E8531">
                  <w:pPr>
                    <w:pStyle w:val="84"/>
                    <w:keepNext w:val="0"/>
                    <w:keepLines w:val="0"/>
                    <w:pageBreakBefore w:val="0"/>
                    <w:widowControl w:val="0"/>
                    <w:kinsoku/>
                    <w:wordWrap/>
                    <w:overflowPunct/>
                    <w:topLinePunct w:val="0"/>
                    <w:autoSpaceDE/>
                    <w:autoSpaceDN/>
                    <w:bidi w:val="0"/>
                    <w:ind w:firstLine="0" w:firstLineChars="0"/>
                    <w:jc w:val="center"/>
                    <w:textAlignment w:val="auto"/>
                    <w:rPr>
                      <w:rFonts w:hint="default" w:ascii="Times New Roman" w:hAnsi="Times New Roman" w:cs="Times New Roman"/>
                      <w:color w:val="auto"/>
                      <w:sz w:val="21"/>
                      <w:szCs w:val="21"/>
                    </w:rPr>
                  </w:pPr>
                  <w:r>
                    <w:rPr>
                      <w:rFonts w:hint="eastAsia" w:cs="Times New Roman"/>
                      <w:color w:val="auto"/>
                      <w:sz w:val="21"/>
                      <w:szCs w:val="21"/>
                      <w:lang w:val="en-US" w:eastAsia="zh-CN"/>
                    </w:rPr>
                    <w:t>1</w:t>
                  </w:r>
                  <w:r>
                    <w:rPr>
                      <w:rFonts w:hint="default" w:ascii="Times New Roman" w:hAnsi="Times New Roman" w:cs="Times New Roman"/>
                      <w:color w:val="auto"/>
                      <w:sz w:val="21"/>
                      <w:szCs w:val="21"/>
                    </w:rPr>
                    <w:t>台</w:t>
                  </w:r>
                </w:p>
              </w:tc>
              <w:tc>
                <w:tcPr>
                  <w:tcW w:w="500" w:type="pct"/>
                  <w:noWrap w:val="0"/>
                  <w:vAlign w:val="center"/>
                </w:tcPr>
                <w:p w14:paraId="23DB019C">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259.96</w:t>
                  </w:r>
                </w:p>
              </w:tc>
              <w:tc>
                <w:tcPr>
                  <w:tcW w:w="499" w:type="pct"/>
                  <w:noWrap w:val="0"/>
                  <w:vAlign w:val="center"/>
                </w:tcPr>
                <w:p w14:paraId="5E85D1BD">
                  <w:pPr>
                    <w:keepNext w:val="0"/>
                    <w:keepLines w:val="0"/>
                    <w:pageBreakBefore w:val="0"/>
                    <w:widowControl w:val="0"/>
                    <w:kinsoku/>
                    <w:wordWrap/>
                    <w:overflowPunct/>
                    <w:topLinePunct w:val="0"/>
                    <w:autoSpaceDE/>
                    <w:autoSpaceDN/>
                    <w:bidi w:val="0"/>
                    <w:adjustRightInd/>
                    <w:snapToGrid/>
                    <w:spacing w:before="0" w:beforeLines="0" w:line="240" w:lineRule="auto"/>
                    <w:ind w:firstLine="0" w:firstLineChars="0"/>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40.86</w:t>
                  </w:r>
                </w:p>
              </w:tc>
              <w:tc>
                <w:tcPr>
                  <w:tcW w:w="522" w:type="pct"/>
                  <w:noWrap w:val="0"/>
                  <w:vAlign w:val="center"/>
                </w:tcPr>
                <w:p w14:paraId="41ABFAC8">
                  <w:pPr>
                    <w:pStyle w:val="96"/>
                    <w:spacing w:before="0" w:beforeLines="0" w:line="240" w:lineRule="auto"/>
                    <w:ind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1.2</w:t>
                  </w:r>
                </w:p>
              </w:tc>
              <w:tc>
                <w:tcPr>
                  <w:tcW w:w="403" w:type="pct"/>
                  <w:noWrap w:val="0"/>
                  <w:vAlign w:val="center"/>
                </w:tcPr>
                <w:p w14:paraId="20792142">
                  <w:pPr>
                    <w:pStyle w:val="84"/>
                    <w:keepNext w:val="0"/>
                    <w:keepLines w:val="0"/>
                    <w:pageBreakBefore w:val="0"/>
                    <w:widowControl w:val="0"/>
                    <w:kinsoku/>
                    <w:wordWrap/>
                    <w:overflowPunct/>
                    <w:topLinePunct w:val="0"/>
                    <w:autoSpaceDE/>
                    <w:autoSpaceDN/>
                    <w:bidi w:val="0"/>
                    <w:ind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85</w:t>
                  </w:r>
                </w:p>
              </w:tc>
              <w:tc>
                <w:tcPr>
                  <w:tcW w:w="993" w:type="pct"/>
                  <w:vMerge w:val="continue"/>
                  <w:noWrap w:val="0"/>
                  <w:vAlign w:val="center"/>
                </w:tcPr>
                <w:p w14:paraId="19D17750">
                  <w:pPr>
                    <w:pStyle w:val="84"/>
                    <w:widowControl w:val="0"/>
                    <w:jc w:val="center"/>
                    <w:rPr>
                      <w:rFonts w:hint="default" w:ascii="Times New Roman" w:hAnsi="Times New Roman" w:eastAsia="宋体" w:cs="Times New Roman"/>
                      <w:color w:val="auto"/>
                      <w:sz w:val="21"/>
                      <w:szCs w:val="21"/>
                      <w:lang w:eastAsia="zh-CN"/>
                    </w:rPr>
                  </w:pPr>
                </w:p>
              </w:tc>
              <w:tc>
                <w:tcPr>
                  <w:tcW w:w="555" w:type="pct"/>
                  <w:vMerge w:val="continue"/>
                  <w:noWrap w:val="0"/>
                  <w:vAlign w:val="center"/>
                </w:tcPr>
                <w:p w14:paraId="0677DD19">
                  <w:pPr>
                    <w:pStyle w:val="84"/>
                    <w:widowControl w:val="0"/>
                    <w:jc w:val="center"/>
                    <w:rPr>
                      <w:rFonts w:hint="default" w:ascii="Times New Roman" w:hAnsi="Times New Roman" w:cs="Times New Roman"/>
                      <w:color w:val="auto"/>
                      <w:sz w:val="21"/>
                      <w:szCs w:val="21"/>
                      <w:lang w:eastAsia="zh-CN"/>
                    </w:rPr>
                  </w:pPr>
                </w:p>
              </w:tc>
            </w:tr>
          </w:tbl>
          <w:p w14:paraId="35E13981">
            <w:pPr>
              <w:autoSpaceDE w:val="0"/>
              <w:autoSpaceDN w:val="0"/>
              <w:adjustRightInd w:val="0"/>
              <w:spacing w:line="240" w:lineRule="auto"/>
              <w:rPr>
                <w:color w:val="auto"/>
                <w:kern w:val="0"/>
                <w:szCs w:val="21"/>
                <w:highlight w:val="none"/>
              </w:rPr>
            </w:pPr>
          </w:p>
          <w:p w14:paraId="1F7C0828">
            <w:pPr>
              <w:widowControl/>
              <w:tabs>
                <w:tab w:val="left" w:pos="518"/>
              </w:tabs>
              <w:ind w:firstLine="482" w:firstLineChars="200"/>
              <w:rPr>
                <w:color w:val="auto"/>
                <w:kern w:val="0"/>
                <w:sz w:val="24"/>
                <w:highlight w:val="none"/>
              </w:rPr>
            </w:pPr>
            <w:r>
              <w:rPr>
                <w:rFonts w:hint="eastAsia"/>
                <w:b/>
                <w:color w:val="auto"/>
                <w:sz w:val="24"/>
                <w:highlight w:val="none"/>
              </w:rPr>
              <w:t>（1）噪声预测方法</w:t>
            </w:r>
          </w:p>
          <w:p w14:paraId="5D16BC5B">
            <w:pPr>
              <w:autoSpaceDE w:val="0"/>
              <w:autoSpaceDN w:val="0"/>
              <w:adjustRightInd w:val="0"/>
              <w:ind w:firstLine="480" w:firstLineChars="200"/>
              <w:rPr>
                <w:color w:val="auto"/>
                <w:kern w:val="0"/>
                <w:sz w:val="24"/>
                <w:highlight w:val="none"/>
              </w:rPr>
            </w:pPr>
            <w:r>
              <w:rPr>
                <w:color w:val="auto"/>
                <w:kern w:val="0"/>
                <w:sz w:val="24"/>
                <w:highlight w:val="none"/>
              </w:rPr>
              <w:t>根据《环境影响评价技术导则声环境》（HJ2.4-20</w:t>
            </w:r>
            <w:r>
              <w:rPr>
                <w:rFonts w:hint="eastAsia"/>
                <w:color w:val="auto"/>
                <w:kern w:val="0"/>
                <w:sz w:val="24"/>
                <w:highlight w:val="none"/>
              </w:rPr>
              <w:t>21</w:t>
            </w:r>
            <w:r>
              <w:rPr>
                <w:color w:val="auto"/>
                <w:kern w:val="0"/>
                <w:sz w:val="24"/>
                <w:highlight w:val="none"/>
              </w:rPr>
              <w:t>）推荐的方法，把产生噪声的声源当作点声源处理，等效点声源位置在声源本身的中心。对项目产生的噪声环境影响进行预测：</w:t>
            </w:r>
          </w:p>
          <w:p w14:paraId="10BBA8A4">
            <w:pPr>
              <w:ind w:firstLine="480" w:firstLineChars="200"/>
              <w:rPr>
                <w:color w:val="auto"/>
                <w:sz w:val="24"/>
                <w:highlight w:val="none"/>
              </w:rPr>
            </w:pPr>
            <w:r>
              <w:rPr>
                <w:color w:val="auto"/>
                <w:sz w:val="24"/>
                <w:highlight w:val="none"/>
              </w:rPr>
              <w:t>①室外声源在预测点的声压级</w:t>
            </w:r>
          </w:p>
          <w:p w14:paraId="10644FA4">
            <w:pPr>
              <w:pStyle w:val="6"/>
              <w:adjustRightInd w:val="0"/>
              <w:snapToGrid w:val="0"/>
              <w:ind w:firstLine="480"/>
              <w:rPr>
                <w:rFonts w:ascii="Times New Roman" w:hAnsi="Times New Roman"/>
                <w:color w:val="auto"/>
                <w:sz w:val="24"/>
                <w:highlight w:val="none"/>
              </w:rPr>
            </w:pPr>
            <w:r>
              <w:rPr>
                <w:rFonts w:ascii="Times New Roman" w:hAnsi="Times New Roman"/>
                <w:color w:val="auto"/>
                <w:sz w:val="24"/>
                <w:highlight w:val="none"/>
              </w:rPr>
              <w:t>Loct®= Loct(r0)-20lg(r/r0)+△Loct</w:t>
            </w:r>
          </w:p>
          <w:p w14:paraId="3F11C597">
            <w:pPr>
              <w:ind w:firstLine="480" w:firstLineChars="200"/>
              <w:rPr>
                <w:color w:val="auto"/>
                <w:sz w:val="24"/>
                <w:highlight w:val="none"/>
              </w:rPr>
            </w:pPr>
            <w:r>
              <w:rPr>
                <w:color w:val="auto"/>
                <w:sz w:val="24"/>
                <w:highlight w:val="none"/>
              </w:rPr>
              <w:t>式中：L</w:t>
            </w:r>
            <w:r>
              <w:rPr>
                <w:color w:val="auto"/>
                <w:sz w:val="24"/>
                <w:highlight w:val="none"/>
                <w:vertAlign w:val="subscript"/>
              </w:rPr>
              <w:t>oct</w:t>
            </w:r>
            <w:r>
              <w:rPr>
                <w:color w:val="auto"/>
                <w:sz w:val="24"/>
                <w:highlight w:val="none"/>
              </w:rPr>
              <w:t>®、L</w:t>
            </w:r>
            <w:r>
              <w:rPr>
                <w:color w:val="auto"/>
                <w:sz w:val="24"/>
                <w:highlight w:val="none"/>
                <w:vertAlign w:val="subscript"/>
              </w:rPr>
              <w:t>oct</w:t>
            </w:r>
            <w:r>
              <w:rPr>
                <w:color w:val="auto"/>
                <w:sz w:val="24"/>
                <w:highlight w:val="none"/>
              </w:rPr>
              <w:t>(r</w:t>
            </w:r>
            <w:r>
              <w:rPr>
                <w:color w:val="auto"/>
                <w:sz w:val="24"/>
                <w:highlight w:val="none"/>
                <w:vertAlign w:val="subscript"/>
              </w:rPr>
              <w:t>0</w:t>
            </w:r>
            <w:r>
              <w:rPr>
                <w:color w:val="auto"/>
                <w:sz w:val="24"/>
                <w:highlight w:val="none"/>
              </w:rPr>
              <w:t>) —距声源r、r</w:t>
            </w:r>
            <w:r>
              <w:rPr>
                <w:color w:val="auto"/>
                <w:sz w:val="24"/>
                <w:highlight w:val="none"/>
                <w:vertAlign w:val="subscript"/>
              </w:rPr>
              <w:t>0</w:t>
            </w:r>
            <w:r>
              <w:rPr>
                <w:color w:val="auto"/>
                <w:sz w:val="24"/>
                <w:highlight w:val="none"/>
              </w:rPr>
              <w:t>处的声压级，dB；</w:t>
            </w:r>
          </w:p>
          <w:p w14:paraId="6144AF7B">
            <w:pPr>
              <w:ind w:firstLine="1262" w:firstLineChars="526"/>
              <w:rPr>
                <w:color w:val="auto"/>
                <w:sz w:val="24"/>
                <w:highlight w:val="none"/>
              </w:rPr>
            </w:pPr>
            <w:r>
              <w:rPr>
                <w:color w:val="auto"/>
                <w:sz w:val="24"/>
                <w:highlight w:val="none"/>
              </w:rPr>
              <w:t>r、r</w:t>
            </w:r>
            <w:r>
              <w:rPr>
                <w:color w:val="auto"/>
                <w:sz w:val="24"/>
                <w:highlight w:val="none"/>
                <w:vertAlign w:val="subscript"/>
              </w:rPr>
              <w:t xml:space="preserve">0 </w:t>
            </w:r>
            <w:r>
              <w:rPr>
                <w:color w:val="auto"/>
                <w:sz w:val="24"/>
                <w:highlight w:val="none"/>
              </w:rPr>
              <w:t>—预测点到声源的距离，m；</w:t>
            </w:r>
          </w:p>
          <w:p w14:paraId="0E1C4004">
            <w:pPr>
              <w:ind w:firstLine="1200" w:firstLineChars="500"/>
              <w:rPr>
                <w:color w:val="auto"/>
                <w:sz w:val="24"/>
                <w:highlight w:val="none"/>
              </w:rPr>
            </w:pPr>
            <w:r>
              <w:rPr>
                <w:color w:val="auto"/>
                <w:sz w:val="24"/>
                <w:highlight w:val="none"/>
                <w:lang w:val="en-GB"/>
              </w:rPr>
              <w:t>△</w:t>
            </w:r>
            <w:r>
              <w:rPr>
                <w:color w:val="auto"/>
                <w:sz w:val="24"/>
                <w:highlight w:val="none"/>
              </w:rPr>
              <w:t>L</w:t>
            </w:r>
            <w:r>
              <w:rPr>
                <w:color w:val="auto"/>
                <w:sz w:val="24"/>
                <w:highlight w:val="none"/>
                <w:vertAlign w:val="subscript"/>
              </w:rPr>
              <w:t xml:space="preserve">oct </w:t>
            </w:r>
            <w:r>
              <w:rPr>
                <w:color w:val="auto"/>
                <w:sz w:val="24"/>
                <w:highlight w:val="none"/>
              </w:rPr>
              <w:t>—各种衰减量，dB。</w:t>
            </w:r>
          </w:p>
          <w:p w14:paraId="0C5F61F6">
            <w:pPr>
              <w:ind w:firstLine="480" w:firstLineChars="200"/>
              <w:rPr>
                <w:color w:val="auto"/>
                <w:sz w:val="24"/>
                <w:highlight w:val="none"/>
              </w:rPr>
            </w:pPr>
            <w:r>
              <w:rPr>
                <w:color w:val="auto"/>
                <w:sz w:val="24"/>
                <w:highlight w:val="none"/>
              </w:rPr>
              <w:t>②室内某一声源在靠近围护结构处的声压级</w:t>
            </w:r>
          </w:p>
          <w:p w14:paraId="108AB74D">
            <w:pPr>
              <w:pStyle w:val="6"/>
              <w:adjustRightInd w:val="0"/>
              <w:snapToGrid w:val="0"/>
              <w:ind w:firstLine="480"/>
              <w:jc w:val="center"/>
              <w:rPr>
                <w:rFonts w:ascii="Times New Roman" w:hAnsi="Times New Roman"/>
                <w:color w:val="auto"/>
                <w:sz w:val="24"/>
                <w:highlight w:val="none"/>
              </w:rPr>
            </w:pPr>
            <w:r>
              <w:rPr>
                <w:rFonts w:ascii="Times New Roman" w:hAnsi="Times New Roman"/>
                <w:color w:val="auto"/>
                <w:sz w:val="24"/>
                <w:highlight w:val="none"/>
              </w:rPr>
              <w:t>L</w:t>
            </w:r>
            <w:r>
              <w:rPr>
                <w:rFonts w:ascii="Times New Roman" w:hAnsi="Times New Roman"/>
                <w:color w:val="auto"/>
                <w:sz w:val="24"/>
                <w:highlight w:val="none"/>
                <w:vertAlign w:val="subscript"/>
              </w:rPr>
              <w:t>oct，1</w:t>
            </w:r>
            <w:r>
              <w:rPr>
                <w:rFonts w:ascii="Times New Roman" w:hAnsi="Times New Roman"/>
                <w:color w:val="auto"/>
                <w:sz w:val="24"/>
                <w:highlight w:val="none"/>
              </w:rPr>
              <w:t>=L</w:t>
            </w:r>
            <w:r>
              <w:rPr>
                <w:rFonts w:ascii="Times New Roman" w:hAnsi="Times New Roman"/>
                <w:color w:val="auto"/>
                <w:sz w:val="24"/>
                <w:highlight w:val="none"/>
                <w:vertAlign w:val="subscript"/>
              </w:rPr>
              <w:t>woct</w:t>
            </w:r>
            <w:r>
              <w:rPr>
                <w:rFonts w:ascii="Times New Roman" w:hAnsi="Times New Roman"/>
                <w:color w:val="auto"/>
                <w:sz w:val="24"/>
                <w:highlight w:val="none"/>
              </w:rPr>
              <w:t>+10 lg（</w:t>
            </w:r>
            <w:r>
              <w:rPr>
                <w:rFonts w:ascii="Times New Roman" w:hAnsi="Times New Roman"/>
                <w:color w:val="auto"/>
                <w:sz w:val="24"/>
                <w:highlight w:val="none"/>
              </w:rPr>
              <w:object>
                <v:shape id="_x0000_i1040" o:spt="75" type="#_x0000_t75" style="height:31.5pt;width:27.75pt;" o:ole="t" filled="f" o:preferrelative="t" stroked="f" coordsize="21600,21600">
                  <v:path/>
                  <v:fill on="f" focussize="0,0"/>
                  <v:stroke on="f"/>
                  <v:imagedata r:id="rId20" o:title=""/>
                  <o:lock v:ext="edit" aspectratio="t"/>
                  <w10:wrap type="none"/>
                  <w10:anchorlock/>
                </v:shape>
                <o:OLEObject Type="Embed" ProgID="Equation.3" ShapeID="_x0000_i1040" DrawAspect="Content" ObjectID="_1468075727" r:id="rId19">
                  <o:LockedField>false</o:LockedField>
                </o:OLEObject>
              </w:object>
            </w:r>
            <w:r>
              <w:rPr>
                <w:rFonts w:ascii="Times New Roman" w:hAnsi="Times New Roman"/>
                <w:color w:val="auto"/>
                <w:sz w:val="24"/>
                <w:highlight w:val="none"/>
              </w:rPr>
              <w:t>+</w:t>
            </w:r>
            <w:r>
              <w:rPr>
                <w:rFonts w:ascii="Times New Roman" w:hAnsi="Times New Roman"/>
                <w:color w:val="auto"/>
                <w:sz w:val="24"/>
                <w:highlight w:val="none"/>
              </w:rPr>
              <w:object>
                <v:shape id="_x0000_i1041" o:spt="75" type="#_x0000_t75" style="height:31.5pt;width:14.25pt;" o:ole="t" filled="f" o:preferrelative="t" stroked="f" coordsize="21600,21600">
                  <v:path/>
                  <v:fill on="f" focussize="0,0"/>
                  <v:stroke on="f"/>
                  <v:imagedata r:id="rId22" o:title=""/>
                  <o:lock v:ext="edit" aspectratio="t"/>
                  <w10:wrap type="none"/>
                  <w10:anchorlock/>
                </v:shape>
                <o:OLEObject Type="Embed" ProgID="Equation.3" ShapeID="_x0000_i1041" DrawAspect="Content" ObjectID="_1468075728" r:id="rId21">
                  <o:LockedField>false</o:LockedField>
                </o:OLEObject>
              </w:object>
            </w:r>
            <w:r>
              <w:rPr>
                <w:rFonts w:ascii="Times New Roman" w:hAnsi="Times New Roman"/>
                <w:color w:val="auto"/>
                <w:sz w:val="24"/>
                <w:highlight w:val="none"/>
              </w:rPr>
              <w:t>）</w:t>
            </w:r>
          </w:p>
          <w:p w14:paraId="3A1A9610">
            <w:pPr>
              <w:ind w:firstLine="480"/>
              <w:rPr>
                <w:color w:val="auto"/>
                <w:sz w:val="24"/>
                <w:highlight w:val="none"/>
              </w:rPr>
            </w:pPr>
            <w:r>
              <w:rPr>
                <w:color w:val="auto"/>
                <w:sz w:val="24"/>
                <w:highlight w:val="none"/>
              </w:rPr>
              <w:t>式中：L</w:t>
            </w:r>
            <w:r>
              <w:rPr>
                <w:color w:val="auto"/>
                <w:sz w:val="24"/>
                <w:highlight w:val="none"/>
                <w:vertAlign w:val="subscript"/>
              </w:rPr>
              <w:t xml:space="preserve">oct，1 </w:t>
            </w:r>
            <w:r>
              <w:rPr>
                <w:color w:val="auto"/>
                <w:sz w:val="24"/>
                <w:highlight w:val="none"/>
              </w:rPr>
              <w:t>— 某室内声源在靠近围护结构处产生的声压级，dB；</w:t>
            </w:r>
          </w:p>
          <w:p w14:paraId="263E8441">
            <w:pPr>
              <w:pStyle w:val="6"/>
              <w:adjustRightInd w:val="0"/>
              <w:snapToGrid w:val="0"/>
              <w:ind w:firstLine="1200" w:firstLineChars="500"/>
              <w:rPr>
                <w:rFonts w:ascii="Times New Roman" w:hAnsi="Times New Roman"/>
                <w:color w:val="auto"/>
                <w:sz w:val="24"/>
                <w:highlight w:val="none"/>
              </w:rPr>
            </w:pPr>
            <w:r>
              <w:rPr>
                <w:rFonts w:ascii="Times New Roman" w:hAnsi="Times New Roman"/>
                <w:color w:val="auto"/>
                <w:sz w:val="24"/>
                <w:highlight w:val="none"/>
              </w:rPr>
              <w:t>Lwoct — 为某声源的声功率级，dB；</w:t>
            </w:r>
          </w:p>
          <w:p w14:paraId="1DA6AB19">
            <w:pPr>
              <w:ind w:firstLine="1262" w:firstLineChars="526"/>
              <w:rPr>
                <w:color w:val="auto"/>
                <w:sz w:val="24"/>
                <w:highlight w:val="none"/>
              </w:rPr>
            </w:pPr>
            <w:r>
              <w:rPr>
                <w:color w:val="auto"/>
                <w:sz w:val="24"/>
                <w:highlight w:val="none"/>
              </w:rPr>
              <w:t>r</w:t>
            </w:r>
            <w:r>
              <w:rPr>
                <w:color w:val="auto"/>
                <w:sz w:val="24"/>
                <w:highlight w:val="none"/>
                <w:vertAlign w:val="subscript"/>
              </w:rPr>
              <w:t xml:space="preserve">1 </w:t>
            </w:r>
            <w:r>
              <w:rPr>
                <w:color w:val="auto"/>
                <w:sz w:val="24"/>
                <w:highlight w:val="none"/>
              </w:rPr>
              <w:t>— 为室内某个声源与靠近围护结构处的距离，m；</w:t>
            </w:r>
          </w:p>
          <w:p w14:paraId="4FAF1203">
            <w:pPr>
              <w:ind w:firstLine="1262" w:firstLineChars="526"/>
              <w:rPr>
                <w:color w:val="auto"/>
                <w:sz w:val="24"/>
                <w:highlight w:val="none"/>
              </w:rPr>
            </w:pPr>
            <w:r>
              <w:rPr>
                <w:color w:val="auto"/>
                <w:sz w:val="24"/>
                <w:highlight w:val="none"/>
              </w:rPr>
              <w:t>R — 房间常数，R=</w:t>
            </w:r>
            <w:r>
              <w:rPr>
                <w:color w:val="auto"/>
                <w:position w:val="-24"/>
                <w:sz w:val="24"/>
                <w:highlight w:val="none"/>
              </w:rPr>
              <w:object>
                <v:shape id="_x0000_i1042" o:spt="75" type="#_x0000_t75" style="height:31.5pt;width:27.75pt;" o:ole="t" filled="f" o:preferrelative="t" stroked="f" coordsize="21600,21600">
                  <v:path/>
                  <v:fill on="f" focussize="0,0"/>
                  <v:stroke on="f"/>
                  <v:imagedata r:id="rId24" o:title=""/>
                  <o:lock v:ext="edit" aspectratio="t"/>
                  <w10:wrap type="none"/>
                  <w10:anchorlock/>
                </v:shape>
                <o:OLEObject Type="Embed" ProgID="Equation.3" ShapeID="_x0000_i1042" DrawAspect="Content" ObjectID="_1468075729" r:id="rId23">
                  <o:LockedField>false</o:LockedField>
                </o:OLEObject>
              </w:object>
            </w:r>
            <w:r>
              <w:rPr>
                <w:color w:val="auto"/>
                <w:sz w:val="24"/>
                <w:highlight w:val="none"/>
              </w:rPr>
              <w:t>；</w:t>
            </w:r>
          </w:p>
          <w:p w14:paraId="4E181DBC">
            <w:pPr>
              <w:ind w:firstLine="1262" w:firstLineChars="526"/>
              <w:rPr>
                <w:color w:val="auto"/>
                <w:sz w:val="24"/>
                <w:highlight w:val="none"/>
              </w:rPr>
            </w:pPr>
            <w:r>
              <w:rPr>
                <w:color w:val="auto"/>
                <w:sz w:val="24"/>
                <w:highlight w:val="none"/>
              </w:rPr>
              <w:t>S — 室内总表面积，m</w:t>
            </w:r>
            <w:r>
              <w:rPr>
                <w:color w:val="auto"/>
                <w:sz w:val="24"/>
                <w:highlight w:val="none"/>
                <w:vertAlign w:val="superscript"/>
              </w:rPr>
              <w:t>2</w:t>
            </w:r>
            <w:r>
              <w:rPr>
                <w:color w:val="auto"/>
                <w:sz w:val="24"/>
                <w:highlight w:val="none"/>
              </w:rPr>
              <w:t>；</w:t>
            </w:r>
          </w:p>
          <w:p w14:paraId="4D1FB8CB">
            <w:pPr>
              <w:tabs>
                <w:tab w:val="left" w:pos="720"/>
              </w:tabs>
              <w:ind w:firstLine="1200" w:firstLineChars="500"/>
              <w:rPr>
                <w:color w:val="auto"/>
                <w:sz w:val="24"/>
                <w:highlight w:val="none"/>
              </w:rPr>
            </w:pPr>
            <w:r>
              <w:rPr>
                <w:color w:val="auto"/>
                <w:position w:val="-6"/>
                <w:sz w:val="24"/>
                <w:highlight w:val="none"/>
              </w:rPr>
              <w:object>
                <v:shape id="_x0000_i1043" o:spt="75" type="#_x0000_t75" style="height:9.75pt;width:9.75pt;" o:ole="t" filled="f" o:preferrelative="t" stroked="f" coordsize="21600,21600">
                  <v:path/>
                  <v:fill on="f" focussize="0,0"/>
                  <v:stroke on="f"/>
                  <v:imagedata r:id="rId26" o:title=""/>
                  <o:lock v:ext="edit" aspectratio="t"/>
                  <w10:wrap type="none"/>
                  <w10:anchorlock/>
                </v:shape>
                <o:OLEObject Type="Embed" ProgID="Equation.3" ShapeID="_x0000_i1043" DrawAspect="Content" ObjectID="_1468075730" r:id="rId25">
                  <o:LockedField>false</o:LockedField>
                </o:OLEObject>
              </w:object>
            </w:r>
            <w:r>
              <w:rPr>
                <w:color w:val="auto"/>
                <w:sz w:val="24"/>
                <w:highlight w:val="none"/>
              </w:rPr>
              <w:t xml:space="preserve"> — 平均吸声系数，</w:t>
            </w:r>
            <w:r>
              <w:rPr>
                <w:color w:val="auto"/>
                <w:position w:val="-6"/>
                <w:sz w:val="24"/>
                <w:highlight w:val="none"/>
              </w:rPr>
              <w:object>
                <v:shape id="_x0000_i1044" o:spt="75" type="#_x0000_t75" style="height:9.75pt;width:9.75pt;" o:ole="t" filled="f" o:preferrelative="t" stroked="f" coordsize="21600,21600">
                  <v:path/>
                  <v:fill on="f" focussize="0,0"/>
                  <v:stroke on="f"/>
                  <v:imagedata r:id="rId26" o:title=""/>
                  <o:lock v:ext="edit" aspectratio="t"/>
                  <w10:wrap type="none"/>
                  <w10:anchorlock/>
                </v:shape>
                <o:OLEObject Type="Embed" ProgID="Equation.3" ShapeID="_x0000_i1044" DrawAspect="Content" ObjectID="_1468075731" r:id="rId27">
                  <o:LockedField>false</o:LockedField>
                </o:OLEObject>
              </w:object>
            </w:r>
            <w:r>
              <w:rPr>
                <w:color w:val="auto"/>
                <w:sz w:val="24"/>
                <w:highlight w:val="none"/>
              </w:rPr>
              <w:t>=</w:t>
            </w:r>
            <w:r>
              <w:rPr>
                <w:color w:val="auto"/>
                <w:position w:val="-24"/>
                <w:sz w:val="24"/>
                <w:highlight w:val="none"/>
              </w:rPr>
              <w:object>
                <v:shape id="_x0000_i1045" o:spt="75" type="#_x0000_t75" style="height:32.25pt;width:36.75pt;" o:ole="t" filled="f" o:preferrelative="t" stroked="f" coordsize="21600,21600">
                  <v:path/>
                  <v:fill on="f" focussize="0,0"/>
                  <v:stroke on="f"/>
                  <v:imagedata r:id="rId29" o:title=""/>
                  <o:lock v:ext="edit" aspectratio="t"/>
                  <w10:wrap type="none"/>
                  <w10:anchorlock/>
                </v:shape>
                <o:OLEObject Type="Embed" ProgID="Equation.3" ShapeID="_x0000_i1045" DrawAspect="Content" ObjectID="_1468075732" r:id="rId28">
                  <o:LockedField>false</o:LockedField>
                </o:OLEObject>
              </w:object>
            </w:r>
            <w:r>
              <w:rPr>
                <w:color w:val="auto"/>
                <w:sz w:val="24"/>
                <w:highlight w:val="none"/>
              </w:rPr>
              <w:t>；</w:t>
            </w:r>
          </w:p>
          <w:p w14:paraId="3CA7D0C8">
            <w:pPr>
              <w:tabs>
                <w:tab w:val="left" w:pos="720"/>
              </w:tabs>
              <w:ind w:firstLine="1200" w:firstLineChars="500"/>
              <w:rPr>
                <w:color w:val="auto"/>
                <w:sz w:val="24"/>
                <w:highlight w:val="none"/>
              </w:rPr>
            </w:pPr>
            <w:r>
              <w:rPr>
                <w:color w:val="auto"/>
                <w:sz w:val="24"/>
                <w:highlight w:val="none"/>
              </w:rPr>
              <w:t>Q — 方向性因子。</w:t>
            </w:r>
          </w:p>
          <w:p w14:paraId="63F4AEAE">
            <w:pPr>
              <w:ind w:firstLine="480" w:firstLineChars="200"/>
              <w:rPr>
                <w:color w:val="auto"/>
                <w:sz w:val="24"/>
                <w:highlight w:val="none"/>
              </w:rPr>
            </w:pPr>
            <w:r>
              <w:rPr>
                <w:color w:val="auto"/>
                <w:sz w:val="24"/>
                <w:highlight w:val="none"/>
              </w:rPr>
              <w:t>③所有室内声源在靠近围护结构处产生的总声压级</w:t>
            </w:r>
          </w:p>
          <w:p w14:paraId="6AAC8015">
            <w:pPr>
              <w:pStyle w:val="6"/>
              <w:adjustRightInd w:val="0"/>
              <w:snapToGrid w:val="0"/>
              <w:ind w:firstLine="480"/>
              <w:jc w:val="center"/>
              <w:rPr>
                <w:rFonts w:ascii="Times New Roman" w:hAnsi="Times New Roman"/>
                <w:color w:val="auto"/>
                <w:sz w:val="24"/>
                <w:highlight w:val="none"/>
              </w:rPr>
            </w:pPr>
            <w:r>
              <w:rPr>
                <w:rFonts w:ascii="Times New Roman" w:hAnsi="Times New Roman"/>
                <w:color w:val="auto"/>
                <w:sz w:val="24"/>
                <w:highlight w:val="none"/>
              </w:rPr>
              <w:t>L</w:t>
            </w:r>
            <w:r>
              <w:rPr>
                <w:rFonts w:ascii="Times New Roman" w:hAnsi="Times New Roman"/>
                <w:color w:val="auto"/>
                <w:sz w:val="24"/>
                <w:highlight w:val="none"/>
                <w:vertAlign w:val="subscript"/>
              </w:rPr>
              <w:t>oct，1</w:t>
            </w:r>
            <w:r>
              <w:rPr>
                <w:rFonts w:ascii="Times New Roman" w:hAnsi="Times New Roman"/>
                <w:color w:val="auto"/>
                <w:sz w:val="24"/>
                <w:highlight w:val="none"/>
              </w:rPr>
              <w:t>（T）=10 lg（</w:t>
            </w:r>
            <w:r>
              <w:rPr>
                <w:rFonts w:ascii="Times New Roman" w:hAnsi="Times New Roman"/>
                <w:color w:val="auto"/>
                <w:sz w:val="24"/>
                <w:highlight w:val="none"/>
              </w:rPr>
              <w:object>
                <v:shape id="_x0000_i1046" o:spt="75" type="#_x0000_t75" style="height:32.25pt;width:62.25pt;" o:ole="t" filled="f" o:preferrelative="t" stroked="f" coordsize="21600,21600">
                  <v:path/>
                  <v:fill on="f" focussize="0,0"/>
                  <v:stroke on="f"/>
                  <v:imagedata r:id="rId31" o:title=""/>
                  <o:lock v:ext="edit" aspectratio="t"/>
                  <w10:wrap type="none"/>
                  <w10:anchorlock/>
                </v:shape>
                <o:OLEObject Type="Embed" ProgID="Equation.3" ShapeID="_x0000_i1046" DrawAspect="Content" ObjectID="_1468075733" r:id="rId30">
                  <o:LockedField>false</o:LockedField>
                </o:OLEObject>
              </w:object>
            </w:r>
            <w:r>
              <w:rPr>
                <w:rFonts w:ascii="Times New Roman" w:hAnsi="Times New Roman"/>
                <w:color w:val="auto"/>
                <w:sz w:val="24"/>
                <w:highlight w:val="none"/>
              </w:rPr>
              <w:t>）</w:t>
            </w:r>
          </w:p>
          <w:p w14:paraId="5FAA6183">
            <w:pPr>
              <w:ind w:firstLine="480" w:firstLineChars="200"/>
              <w:rPr>
                <w:color w:val="auto"/>
                <w:sz w:val="24"/>
                <w:highlight w:val="none"/>
              </w:rPr>
            </w:pPr>
            <w:r>
              <w:rPr>
                <w:color w:val="auto"/>
                <w:sz w:val="24"/>
                <w:highlight w:val="none"/>
              </w:rPr>
              <w:t>④在室外靠近围护结构处产生的声压级</w:t>
            </w:r>
          </w:p>
          <w:p w14:paraId="27B2526F">
            <w:pPr>
              <w:pStyle w:val="6"/>
              <w:adjustRightInd w:val="0"/>
              <w:snapToGrid w:val="0"/>
              <w:ind w:firstLine="480"/>
              <w:jc w:val="center"/>
              <w:rPr>
                <w:rFonts w:ascii="Times New Roman" w:hAnsi="Times New Roman"/>
                <w:color w:val="auto"/>
                <w:sz w:val="24"/>
                <w:highlight w:val="none"/>
              </w:rPr>
            </w:pPr>
            <w:r>
              <w:rPr>
                <w:rFonts w:ascii="Times New Roman" w:hAnsi="Times New Roman"/>
                <w:color w:val="auto"/>
                <w:sz w:val="24"/>
                <w:highlight w:val="none"/>
              </w:rPr>
              <w:t>L</w:t>
            </w:r>
            <w:r>
              <w:rPr>
                <w:rFonts w:ascii="Times New Roman" w:hAnsi="Times New Roman"/>
                <w:color w:val="auto"/>
                <w:sz w:val="24"/>
                <w:highlight w:val="none"/>
                <w:vertAlign w:val="subscript"/>
              </w:rPr>
              <w:t>oct，2</w:t>
            </w:r>
            <w:r>
              <w:rPr>
                <w:rFonts w:ascii="Times New Roman" w:hAnsi="Times New Roman"/>
                <w:color w:val="auto"/>
                <w:sz w:val="24"/>
                <w:highlight w:val="none"/>
              </w:rPr>
              <w:t>（T）= L</w:t>
            </w:r>
            <w:r>
              <w:rPr>
                <w:rFonts w:ascii="Times New Roman" w:hAnsi="Times New Roman"/>
                <w:color w:val="auto"/>
                <w:sz w:val="24"/>
                <w:highlight w:val="none"/>
                <w:vertAlign w:val="subscript"/>
              </w:rPr>
              <w:t>oct，1</w:t>
            </w:r>
            <w:r>
              <w:rPr>
                <w:rFonts w:ascii="Times New Roman" w:hAnsi="Times New Roman"/>
                <w:color w:val="auto"/>
                <w:sz w:val="24"/>
                <w:highlight w:val="none"/>
              </w:rPr>
              <w:t>（T）-（TL</w:t>
            </w:r>
            <w:r>
              <w:rPr>
                <w:rFonts w:ascii="Times New Roman" w:hAnsi="Times New Roman"/>
                <w:color w:val="auto"/>
                <w:sz w:val="24"/>
                <w:highlight w:val="none"/>
                <w:vertAlign w:val="subscript"/>
              </w:rPr>
              <w:t>oct</w:t>
            </w:r>
            <w:r>
              <w:rPr>
                <w:rFonts w:ascii="Times New Roman" w:hAnsi="Times New Roman"/>
                <w:color w:val="auto"/>
                <w:sz w:val="24"/>
                <w:highlight w:val="none"/>
              </w:rPr>
              <w:t>+6）</w:t>
            </w:r>
          </w:p>
          <w:p w14:paraId="69D7A472">
            <w:pPr>
              <w:ind w:firstLine="480" w:firstLineChars="200"/>
              <w:rPr>
                <w:color w:val="auto"/>
                <w:sz w:val="24"/>
                <w:highlight w:val="none"/>
              </w:rPr>
            </w:pPr>
            <w:r>
              <w:rPr>
                <w:color w:val="auto"/>
                <w:sz w:val="24"/>
                <w:highlight w:val="none"/>
              </w:rPr>
              <w:t>式中：TL</w:t>
            </w:r>
            <w:r>
              <w:rPr>
                <w:color w:val="auto"/>
                <w:sz w:val="24"/>
                <w:highlight w:val="none"/>
                <w:vertAlign w:val="subscript"/>
              </w:rPr>
              <w:t xml:space="preserve">oct </w:t>
            </w:r>
            <w:r>
              <w:rPr>
                <w:color w:val="auto"/>
                <w:sz w:val="24"/>
                <w:highlight w:val="none"/>
              </w:rPr>
              <w:t>— 墙体（等围护结构）的隔声量，dB。</w:t>
            </w:r>
          </w:p>
          <w:p w14:paraId="46BB9008">
            <w:pPr>
              <w:ind w:firstLine="480" w:firstLineChars="200"/>
              <w:rPr>
                <w:color w:val="auto"/>
                <w:sz w:val="24"/>
                <w:highlight w:val="none"/>
              </w:rPr>
            </w:pPr>
            <w:r>
              <w:rPr>
                <w:color w:val="auto"/>
                <w:sz w:val="24"/>
                <w:highlight w:val="none"/>
              </w:rPr>
              <w:t>⑤等效室外声级</w:t>
            </w:r>
          </w:p>
          <w:p w14:paraId="79289B5D">
            <w:pPr>
              <w:ind w:firstLine="480" w:firstLineChars="200"/>
              <w:rPr>
                <w:color w:val="auto"/>
                <w:sz w:val="24"/>
                <w:highlight w:val="none"/>
              </w:rPr>
            </w:pPr>
            <w:r>
              <w:rPr>
                <w:color w:val="auto"/>
                <w:sz w:val="24"/>
                <w:highlight w:val="none"/>
              </w:rPr>
              <w:t>将室外声级L</w:t>
            </w:r>
            <w:r>
              <w:rPr>
                <w:color w:val="auto"/>
                <w:sz w:val="24"/>
                <w:highlight w:val="none"/>
                <w:vertAlign w:val="subscript"/>
              </w:rPr>
              <w:t>oct，2</w:t>
            </w:r>
            <w:r>
              <w:rPr>
                <w:color w:val="auto"/>
                <w:sz w:val="24"/>
                <w:highlight w:val="none"/>
              </w:rPr>
              <w:t>（T）和透声面积换算成等效的室外声源，计算出等效声源的声功率级L</w:t>
            </w:r>
            <w:r>
              <w:rPr>
                <w:color w:val="auto"/>
                <w:sz w:val="24"/>
                <w:highlight w:val="none"/>
                <w:vertAlign w:val="subscript"/>
              </w:rPr>
              <w:t>woct</w:t>
            </w:r>
            <w:r>
              <w:rPr>
                <w:color w:val="auto"/>
                <w:sz w:val="24"/>
                <w:highlight w:val="none"/>
              </w:rPr>
              <w:t>。</w:t>
            </w:r>
          </w:p>
          <w:p w14:paraId="4A5B18B8">
            <w:pPr>
              <w:pStyle w:val="6"/>
              <w:adjustRightInd w:val="0"/>
              <w:snapToGrid w:val="0"/>
              <w:ind w:firstLine="480"/>
              <w:jc w:val="center"/>
              <w:rPr>
                <w:rFonts w:ascii="Times New Roman" w:hAnsi="Times New Roman"/>
                <w:color w:val="auto"/>
                <w:sz w:val="24"/>
                <w:highlight w:val="none"/>
              </w:rPr>
            </w:pPr>
            <w:r>
              <w:rPr>
                <w:rFonts w:ascii="Times New Roman" w:hAnsi="Times New Roman"/>
                <w:color w:val="auto"/>
                <w:sz w:val="24"/>
                <w:highlight w:val="none"/>
              </w:rPr>
              <w:t>L</w:t>
            </w:r>
            <w:r>
              <w:rPr>
                <w:rFonts w:ascii="Times New Roman" w:hAnsi="Times New Roman"/>
                <w:color w:val="auto"/>
                <w:sz w:val="24"/>
                <w:highlight w:val="none"/>
                <w:vertAlign w:val="subscript"/>
              </w:rPr>
              <w:t>woct</w:t>
            </w:r>
            <w:r>
              <w:rPr>
                <w:rFonts w:ascii="Times New Roman" w:hAnsi="Times New Roman"/>
                <w:color w:val="auto"/>
                <w:sz w:val="24"/>
                <w:highlight w:val="none"/>
              </w:rPr>
              <w:t>=L</w:t>
            </w:r>
            <w:r>
              <w:rPr>
                <w:rFonts w:ascii="Times New Roman" w:hAnsi="Times New Roman"/>
                <w:color w:val="auto"/>
                <w:sz w:val="24"/>
                <w:highlight w:val="none"/>
                <w:vertAlign w:val="subscript"/>
              </w:rPr>
              <w:t>oct，2</w:t>
            </w:r>
            <w:r>
              <w:rPr>
                <w:rFonts w:ascii="Times New Roman" w:hAnsi="Times New Roman"/>
                <w:color w:val="auto"/>
                <w:sz w:val="24"/>
                <w:highlight w:val="none"/>
              </w:rPr>
              <w:t>（T）+10lg（S）</w:t>
            </w:r>
          </w:p>
          <w:p w14:paraId="1CCE3ACF">
            <w:pPr>
              <w:ind w:firstLine="480" w:firstLineChars="200"/>
              <w:rPr>
                <w:color w:val="auto"/>
                <w:sz w:val="24"/>
                <w:highlight w:val="none"/>
              </w:rPr>
            </w:pPr>
            <w:r>
              <w:rPr>
                <w:color w:val="auto"/>
                <w:sz w:val="24"/>
                <w:highlight w:val="none"/>
              </w:rPr>
              <w:t>式中：S—透声面积，m</w:t>
            </w:r>
            <w:r>
              <w:rPr>
                <w:color w:val="auto"/>
                <w:sz w:val="24"/>
                <w:highlight w:val="none"/>
                <w:vertAlign w:val="superscript"/>
              </w:rPr>
              <w:t>2</w:t>
            </w:r>
            <w:r>
              <w:rPr>
                <w:color w:val="auto"/>
                <w:sz w:val="24"/>
                <w:highlight w:val="none"/>
              </w:rPr>
              <w:t>。</w:t>
            </w:r>
          </w:p>
          <w:p w14:paraId="132AD25D">
            <w:pPr>
              <w:pStyle w:val="79"/>
              <w:ind w:firstLine="480" w:firstLineChars="200"/>
              <w:rPr>
                <w:rFonts w:ascii="Times New Roman" w:hAnsi="Times New Roman"/>
                <w:color w:val="auto"/>
                <w:szCs w:val="24"/>
                <w:highlight w:val="none"/>
              </w:rPr>
            </w:pPr>
            <w:r>
              <w:rPr>
                <w:rFonts w:ascii="Times New Roman" w:hAnsi="Times New Roman"/>
                <w:color w:val="auto"/>
                <w:szCs w:val="24"/>
                <w:highlight w:val="none"/>
              </w:rPr>
              <w:t>⑥等效室外声源在预测点产生的声级</w:t>
            </w:r>
          </w:p>
          <w:p w14:paraId="5D450670">
            <w:pPr>
              <w:jc w:val="center"/>
              <w:rPr>
                <w:color w:val="auto"/>
                <w:sz w:val="24"/>
                <w:highlight w:val="none"/>
              </w:rPr>
            </w:pPr>
            <w:r>
              <w:rPr>
                <w:color w:val="auto"/>
                <w:sz w:val="24"/>
                <w:highlight w:val="none"/>
              </w:rPr>
              <w:t>L</w:t>
            </w:r>
            <w:r>
              <w:rPr>
                <w:color w:val="auto"/>
                <w:sz w:val="24"/>
                <w:highlight w:val="none"/>
                <w:vertAlign w:val="subscript"/>
              </w:rPr>
              <w:t>oct</w:t>
            </w:r>
            <w:r>
              <w:rPr>
                <w:color w:val="auto"/>
                <w:sz w:val="24"/>
                <w:highlight w:val="none"/>
              </w:rPr>
              <w:t>（r）= L</w:t>
            </w:r>
            <w:r>
              <w:rPr>
                <w:color w:val="auto"/>
                <w:sz w:val="24"/>
                <w:highlight w:val="none"/>
                <w:vertAlign w:val="subscript"/>
              </w:rPr>
              <w:t>woct</w:t>
            </w:r>
            <w:r>
              <w:rPr>
                <w:color w:val="auto"/>
                <w:sz w:val="24"/>
                <w:highlight w:val="none"/>
              </w:rPr>
              <w:t xml:space="preserve"> –20 lg（r）-△L</w:t>
            </w:r>
            <w:r>
              <w:rPr>
                <w:color w:val="auto"/>
                <w:sz w:val="24"/>
                <w:highlight w:val="none"/>
                <w:vertAlign w:val="subscript"/>
              </w:rPr>
              <w:t>oc</w:t>
            </w:r>
          </w:p>
          <w:p w14:paraId="490C692F">
            <w:pPr>
              <w:ind w:firstLine="480" w:firstLineChars="200"/>
              <w:rPr>
                <w:color w:val="auto"/>
                <w:sz w:val="24"/>
                <w:highlight w:val="none"/>
              </w:rPr>
            </w:pPr>
            <w:r>
              <w:rPr>
                <w:color w:val="auto"/>
                <w:sz w:val="24"/>
                <w:highlight w:val="none"/>
              </w:rPr>
              <w:t>式中：L</w:t>
            </w:r>
            <w:r>
              <w:rPr>
                <w:color w:val="auto"/>
                <w:sz w:val="24"/>
                <w:highlight w:val="none"/>
                <w:vertAlign w:val="subscript"/>
              </w:rPr>
              <w:t>oct</w:t>
            </w:r>
            <w:r>
              <w:rPr>
                <w:color w:val="auto"/>
                <w:sz w:val="24"/>
                <w:highlight w:val="none"/>
              </w:rPr>
              <w:t>（r）— 等效室外声源在预测点产生的声级，dB；</w:t>
            </w:r>
          </w:p>
          <w:p w14:paraId="780D98D4">
            <w:pPr>
              <w:ind w:firstLine="1200" w:firstLineChars="500"/>
              <w:rPr>
                <w:color w:val="auto"/>
                <w:sz w:val="24"/>
                <w:highlight w:val="none"/>
              </w:rPr>
            </w:pPr>
            <w:r>
              <w:rPr>
                <w:color w:val="auto"/>
                <w:sz w:val="24"/>
                <w:highlight w:val="none"/>
              </w:rPr>
              <w:t>r—预测点距声源的距离，m；</w:t>
            </w:r>
          </w:p>
          <w:p w14:paraId="5D59231C">
            <w:pPr>
              <w:ind w:firstLine="1200" w:firstLineChars="500"/>
              <w:rPr>
                <w:color w:val="auto"/>
                <w:sz w:val="24"/>
                <w:highlight w:val="none"/>
              </w:rPr>
            </w:pPr>
            <w:r>
              <w:rPr>
                <w:color w:val="auto"/>
                <w:sz w:val="24"/>
                <w:highlight w:val="none"/>
              </w:rPr>
              <w:t>L</w:t>
            </w:r>
            <w:r>
              <w:rPr>
                <w:color w:val="auto"/>
                <w:sz w:val="24"/>
                <w:highlight w:val="none"/>
                <w:vertAlign w:val="subscript"/>
              </w:rPr>
              <w:t>oc</w:t>
            </w:r>
            <w:r>
              <w:rPr>
                <w:color w:val="auto"/>
                <w:sz w:val="24"/>
                <w:highlight w:val="none"/>
              </w:rPr>
              <w:t>—各种因数引起的衰减量，dB。</w:t>
            </w:r>
          </w:p>
          <w:p w14:paraId="75D6D2D2">
            <w:pPr>
              <w:ind w:firstLine="480" w:firstLineChars="200"/>
              <w:rPr>
                <w:color w:val="auto"/>
                <w:sz w:val="24"/>
                <w:highlight w:val="none"/>
              </w:rPr>
            </w:pPr>
            <w:r>
              <w:rPr>
                <w:color w:val="auto"/>
                <w:sz w:val="24"/>
                <w:highlight w:val="none"/>
              </w:rPr>
              <w:t>⑦各等效声源在预测点处产生的总等效声压级</w:t>
            </w:r>
          </w:p>
          <w:p w14:paraId="53BEDC76">
            <w:pPr>
              <w:jc w:val="center"/>
              <w:rPr>
                <w:color w:val="auto"/>
                <w:sz w:val="24"/>
                <w:highlight w:val="none"/>
              </w:rPr>
            </w:pPr>
            <w:r>
              <w:rPr>
                <w:color w:val="auto"/>
                <w:sz w:val="24"/>
                <w:highlight w:val="none"/>
              </w:rPr>
              <w:t>L</w:t>
            </w:r>
            <w:r>
              <w:rPr>
                <w:color w:val="auto"/>
                <w:sz w:val="24"/>
                <w:highlight w:val="none"/>
                <w:vertAlign w:val="subscript"/>
              </w:rPr>
              <w:t>eq</w:t>
            </w:r>
            <w:r>
              <w:rPr>
                <w:color w:val="auto"/>
                <w:sz w:val="24"/>
                <w:highlight w:val="none"/>
              </w:rPr>
              <w:t>(T)=10 lg(</w:t>
            </w:r>
            <w:r>
              <w:rPr>
                <w:color w:val="auto"/>
                <w:position w:val="-24"/>
                <w:sz w:val="24"/>
                <w:highlight w:val="none"/>
              </w:rPr>
              <w:object>
                <v:shape id="_x0000_i1047" o:spt="75" type="#_x0000_t75" style="height:31.5pt;width:12.75pt;" o:ole="t" filled="f" o:preferrelative="t" stroked="f" coordsize="21600,21600">
                  <v:path/>
                  <v:fill on="f" focussize="0,0"/>
                  <v:stroke on="f"/>
                  <v:imagedata r:id="rId33" o:title=""/>
                  <o:lock v:ext="edit" aspectratio="t"/>
                  <w10:wrap type="none"/>
                  <w10:anchorlock/>
                </v:shape>
                <o:OLEObject Type="Embed" ProgID="Equation.3" ShapeID="_x0000_i1047" DrawAspect="Content" ObjectID="_1468075734" r:id="rId32">
                  <o:LockedField>false</o:LockedField>
                </o:OLEObject>
              </w:object>
            </w:r>
            <w:r>
              <w:rPr>
                <w:color w:val="auto"/>
                <w:sz w:val="24"/>
                <w:highlight w:val="none"/>
              </w:rPr>
              <w:t>) [</w:t>
            </w:r>
            <w:r>
              <w:rPr>
                <w:color w:val="auto"/>
                <w:position w:val="-28"/>
                <w:sz w:val="24"/>
                <w:highlight w:val="none"/>
              </w:rPr>
              <w:object>
                <v:shape id="_x0000_i1048" o:spt="75" type="#_x0000_t75" style="height:32.25pt;width:68.25pt;" o:ole="t" filled="f" o:preferrelative="t" stroked="f" coordsize="21600,21600">
                  <v:path/>
                  <v:fill on="f" focussize="0,0"/>
                  <v:stroke on="f"/>
                  <v:imagedata r:id="rId35" o:title=""/>
                  <o:lock v:ext="edit" aspectratio="t"/>
                  <w10:wrap type="none"/>
                  <w10:anchorlock/>
                </v:shape>
                <o:OLEObject Type="Embed" ProgID="Equation.3" ShapeID="_x0000_i1048" DrawAspect="Content" ObjectID="_1468075735" r:id="rId34">
                  <o:LockedField>false</o:LockedField>
                </o:OLEObject>
              </w:object>
            </w:r>
            <w:r>
              <w:rPr>
                <w:color w:val="auto"/>
                <w:sz w:val="24"/>
                <w:highlight w:val="none"/>
              </w:rPr>
              <w:t>+</w:t>
            </w:r>
            <w:r>
              <w:rPr>
                <w:color w:val="auto"/>
                <w:position w:val="-10"/>
                <w:sz w:val="24"/>
                <w:highlight w:val="none"/>
              </w:rPr>
              <w:object>
                <v:shape id="_x0000_i1049" o:spt="75" type="#_x0000_t75" style="height:17.25pt;width:9pt;" o:ole="t" filled="f" o:preferrelative="t" stroked="f" coordsize="21600,21600">
                  <v:path/>
                  <v:fill on="f" focussize="0,0"/>
                  <v:stroke on="f"/>
                  <v:imagedata r:id="rId37" o:title=""/>
                  <o:lock v:ext="edit" aspectratio="t"/>
                  <w10:wrap type="none"/>
                  <w10:anchorlock/>
                </v:shape>
                <o:OLEObject Type="Embed" ProgID="Equation.3" ShapeID="_x0000_i1049" DrawAspect="Content" ObjectID="_1468075736" r:id="rId36">
                  <o:LockedField>false</o:LockedField>
                </o:OLEObject>
              </w:object>
            </w:r>
            <w:r>
              <w:rPr>
                <w:color w:val="auto"/>
                <w:position w:val="-28"/>
                <w:sz w:val="24"/>
                <w:highlight w:val="none"/>
              </w:rPr>
              <w:object>
                <v:shape id="_x0000_i1050" o:spt="75" type="#_x0000_t75" style="height:32.25pt;width:75.75pt;" o:ole="t" filled="f" o:preferrelative="t" stroked="f" coordsize="21600,21600">
                  <v:path/>
                  <v:fill on="f" focussize="0,0"/>
                  <v:stroke on="f"/>
                  <v:imagedata r:id="rId39" o:title=""/>
                  <o:lock v:ext="edit" aspectratio="t"/>
                  <w10:wrap type="none"/>
                  <w10:anchorlock/>
                </v:shape>
                <o:OLEObject Type="Embed" ProgID="Equation.3" ShapeID="_x0000_i1050" DrawAspect="Content" ObjectID="_1468075737" r:id="rId38">
                  <o:LockedField>false</o:LockedField>
                </o:OLEObject>
              </w:object>
            </w:r>
            <w:r>
              <w:rPr>
                <w:color w:val="auto"/>
                <w:sz w:val="24"/>
                <w:highlight w:val="none"/>
              </w:rPr>
              <w:t>]</w:t>
            </w:r>
          </w:p>
          <w:p w14:paraId="744DF440">
            <w:pPr>
              <w:ind w:firstLine="480" w:firstLineChars="200"/>
              <w:rPr>
                <w:color w:val="auto"/>
                <w:sz w:val="24"/>
                <w:highlight w:val="none"/>
              </w:rPr>
            </w:pPr>
            <w:r>
              <w:rPr>
                <w:color w:val="auto"/>
                <w:sz w:val="24"/>
                <w:highlight w:val="none"/>
              </w:rPr>
              <w:t>式中：T—计算等效声级的时间，h；</w:t>
            </w:r>
          </w:p>
          <w:p w14:paraId="677244BC">
            <w:pPr>
              <w:ind w:firstLine="1200" w:firstLineChars="500"/>
              <w:rPr>
                <w:color w:val="auto"/>
                <w:sz w:val="24"/>
                <w:highlight w:val="none"/>
              </w:rPr>
            </w:pPr>
            <w:r>
              <w:rPr>
                <w:color w:val="auto"/>
                <w:sz w:val="24"/>
                <w:highlight w:val="none"/>
              </w:rPr>
              <w:t>N—室外声源数，个；</w:t>
            </w:r>
          </w:p>
          <w:p w14:paraId="060B9950">
            <w:pPr>
              <w:ind w:firstLine="1200" w:firstLineChars="500"/>
              <w:rPr>
                <w:color w:val="auto"/>
                <w:kern w:val="0"/>
                <w:sz w:val="24"/>
                <w:highlight w:val="none"/>
              </w:rPr>
            </w:pPr>
            <w:r>
              <w:rPr>
                <w:color w:val="auto"/>
                <w:sz w:val="24"/>
                <w:highlight w:val="none"/>
              </w:rPr>
              <w:t>M—等效室外声源数，个。</w:t>
            </w:r>
          </w:p>
          <w:p w14:paraId="79CC774A">
            <w:pPr>
              <w:widowControl/>
              <w:tabs>
                <w:tab w:val="left" w:pos="518"/>
              </w:tabs>
              <w:ind w:firstLine="482" w:firstLineChars="200"/>
              <w:rPr>
                <w:color w:val="auto"/>
                <w:kern w:val="0"/>
                <w:sz w:val="24"/>
                <w:highlight w:val="none"/>
              </w:rPr>
            </w:pPr>
            <w:r>
              <w:rPr>
                <w:rFonts w:hint="eastAsia"/>
                <w:b/>
                <w:color w:val="auto"/>
                <w:sz w:val="24"/>
                <w:highlight w:val="none"/>
              </w:rPr>
              <w:t>（2）噪声降噪措施</w:t>
            </w:r>
          </w:p>
          <w:p w14:paraId="5F95F6D4">
            <w:pPr>
              <w:autoSpaceDE w:val="0"/>
              <w:autoSpaceDN w:val="0"/>
              <w:adjustRightInd w:val="0"/>
              <w:ind w:firstLine="480" w:firstLineChars="200"/>
              <w:rPr>
                <w:color w:val="auto"/>
                <w:kern w:val="0"/>
                <w:sz w:val="24"/>
                <w:highlight w:val="none"/>
              </w:rPr>
            </w:pPr>
            <w:r>
              <w:rPr>
                <w:color w:val="auto"/>
                <w:kern w:val="0"/>
                <w:sz w:val="24"/>
                <w:highlight w:val="none"/>
              </w:rPr>
              <w:t>本项目拟采取以下降噪措施：</w:t>
            </w:r>
          </w:p>
          <w:p w14:paraId="73EA7A3C">
            <w:pPr>
              <w:autoSpaceDE w:val="0"/>
              <w:autoSpaceDN w:val="0"/>
              <w:adjustRightInd w:val="0"/>
              <w:ind w:firstLine="480" w:firstLineChars="200"/>
              <w:rPr>
                <w:color w:val="auto"/>
                <w:kern w:val="0"/>
                <w:sz w:val="24"/>
                <w:szCs w:val="24"/>
                <w:highlight w:val="none"/>
              </w:rPr>
            </w:pPr>
            <w:r>
              <w:rPr>
                <w:color w:val="auto"/>
                <w:kern w:val="0"/>
                <w:sz w:val="24"/>
                <w:highlight w:val="none"/>
              </w:rPr>
              <w:t>①</w:t>
            </w:r>
            <w:r>
              <w:rPr>
                <w:color w:val="auto"/>
                <w:kern w:val="0"/>
                <w:sz w:val="24"/>
                <w:szCs w:val="24"/>
                <w:highlight w:val="none"/>
              </w:rPr>
              <w:t>选用低噪声设备</w:t>
            </w:r>
            <w:r>
              <w:rPr>
                <w:rFonts w:hint="eastAsia"/>
                <w:color w:val="auto"/>
                <w:kern w:val="0"/>
                <w:sz w:val="24"/>
                <w:szCs w:val="24"/>
                <w:highlight w:val="none"/>
                <w:lang w:eastAsia="zh-CN"/>
              </w:rPr>
              <w:t>，</w:t>
            </w:r>
            <w:r>
              <w:rPr>
                <w:rFonts w:hint="eastAsia"/>
                <w:color w:val="auto"/>
                <w:sz w:val="24"/>
                <w:szCs w:val="24"/>
              </w:rPr>
              <w:t>合理布置车间内各设备</w:t>
            </w:r>
            <w:r>
              <w:rPr>
                <w:color w:val="auto"/>
                <w:kern w:val="0"/>
                <w:sz w:val="24"/>
                <w:szCs w:val="24"/>
                <w:highlight w:val="none"/>
              </w:rPr>
              <w:t>；</w:t>
            </w:r>
          </w:p>
          <w:p w14:paraId="59A9D0F6">
            <w:pPr>
              <w:autoSpaceDE w:val="0"/>
              <w:autoSpaceDN w:val="0"/>
              <w:adjustRightInd w:val="0"/>
              <w:ind w:firstLine="480" w:firstLineChars="200"/>
              <w:rPr>
                <w:color w:val="auto"/>
                <w:kern w:val="0"/>
                <w:sz w:val="24"/>
                <w:szCs w:val="24"/>
                <w:highlight w:val="none"/>
              </w:rPr>
            </w:pPr>
            <w:r>
              <w:rPr>
                <w:color w:val="auto"/>
                <w:kern w:val="0"/>
                <w:sz w:val="24"/>
                <w:szCs w:val="24"/>
                <w:highlight w:val="none"/>
              </w:rPr>
              <w:t>②</w:t>
            </w:r>
            <w:r>
              <w:rPr>
                <w:rFonts w:hint="eastAsia"/>
                <w:color w:val="auto"/>
                <w:sz w:val="24"/>
                <w:szCs w:val="24"/>
              </w:rPr>
              <w:t>噪声源均设置在封闭厂房内，设备安装减震基座或减震垫</w:t>
            </w:r>
            <w:r>
              <w:rPr>
                <w:color w:val="auto"/>
                <w:kern w:val="0"/>
                <w:sz w:val="24"/>
                <w:szCs w:val="24"/>
                <w:highlight w:val="none"/>
              </w:rPr>
              <w:t>；</w:t>
            </w:r>
          </w:p>
          <w:p w14:paraId="04A125C1">
            <w:pPr>
              <w:autoSpaceDE w:val="0"/>
              <w:autoSpaceDN w:val="0"/>
              <w:adjustRightInd w:val="0"/>
              <w:ind w:firstLine="480" w:firstLineChars="200"/>
              <w:rPr>
                <w:rFonts w:hint="eastAsia" w:eastAsia="宋体"/>
                <w:color w:val="auto"/>
                <w:kern w:val="0"/>
                <w:sz w:val="24"/>
                <w:szCs w:val="24"/>
                <w:highlight w:val="none"/>
                <w:lang w:val="en-US" w:eastAsia="zh-CN"/>
              </w:rPr>
            </w:pPr>
            <w:r>
              <w:rPr>
                <w:color w:val="auto"/>
                <w:kern w:val="0"/>
                <w:sz w:val="24"/>
                <w:szCs w:val="24"/>
                <w:highlight w:val="none"/>
              </w:rPr>
              <w:t>③</w:t>
            </w:r>
            <w:r>
              <w:rPr>
                <w:rFonts w:hint="eastAsia"/>
                <w:color w:val="auto"/>
                <w:sz w:val="24"/>
                <w:szCs w:val="24"/>
              </w:rPr>
              <w:t>加强生产设备的维修、维护，确保生产设备处于良好的运行状态；尽量避免高噪声设备同时运行，尽量让高噪声设备错时运行</w:t>
            </w:r>
            <w:r>
              <w:rPr>
                <w:rFonts w:hint="eastAsia"/>
                <w:color w:val="auto"/>
                <w:sz w:val="24"/>
                <w:szCs w:val="24"/>
                <w:lang w:eastAsia="zh-CN"/>
              </w:rPr>
              <w:t>；</w:t>
            </w:r>
          </w:p>
          <w:p w14:paraId="189EB8B3">
            <w:pPr>
              <w:autoSpaceDE w:val="0"/>
              <w:autoSpaceDN w:val="0"/>
              <w:adjustRightInd w:val="0"/>
              <w:ind w:firstLine="480" w:firstLineChars="200"/>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rPr>
              <w:t>④车间个别工作岗位应按照劳动保护的有关要求进行个人防护，如佩戴耳塞、耳罩等防噪声用品</w:t>
            </w:r>
            <w:r>
              <w:rPr>
                <w:rFonts w:hint="eastAsia" w:ascii="Times New Roman" w:hAnsi="Times New Roman" w:eastAsia="宋体" w:cs="Times New Roman"/>
                <w:color w:val="auto"/>
                <w:sz w:val="24"/>
                <w:szCs w:val="24"/>
                <w:lang w:eastAsia="zh-CN"/>
              </w:rPr>
              <w:t>。</w:t>
            </w:r>
          </w:p>
          <w:p w14:paraId="3CA58F74">
            <w:pPr>
              <w:ind w:firstLine="482" w:firstLineChars="200"/>
              <w:rPr>
                <w:color w:val="auto"/>
                <w:kern w:val="0"/>
                <w:sz w:val="24"/>
                <w:highlight w:val="none"/>
              </w:rPr>
            </w:pPr>
            <w:r>
              <w:rPr>
                <w:rFonts w:hint="eastAsia"/>
                <w:b/>
                <w:color w:val="auto"/>
                <w:sz w:val="24"/>
                <w:highlight w:val="none"/>
              </w:rPr>
              <w:t>（3）预测结果</w:t>
            </w:r>
          </w:p>
          <w:p w14:paraId="6C387B3A">
            <w:pPr>
              <w:autoSpaceDE w:val="0"/>
              <w:autoSpaceDN w:val="0"/>
              <w:adjustRightInd w:val="0"/>
              <w:ind w:firstLine="480" w:firstLineChars="200"/>
              <w:rPr>
                <w:color w:val="auto"/>
                <w:kern w:val="0"/>
                <w:sz w:val="24"/>
                <w:highlight w:val="none"/>
              </w:rPr>
            </w:pPr>
            <w:r>
              <w:rPr>
                <w:rFonts w:hint="eastAsia"/>
                <w:color w:val="auto"/>
                <w:kern w:val="0"/>
                <w:sz w:val="24"/>
                <w:highlight w:val="none"/>
                <w:lang w:eastAsia="zh-CN"/>
              </w:rPr>
              <w:t>本项目</w:t>
            </w:r>
            <w:r>
              <w:rPr>
                <w:rFonts w:hint="eastAsia"/>
                <w:color w:val="auto"/>
                <w:kern w:val="0"/>
                <w:sz w:val="24"/>
                <w:highlight w:val="none"/>
              </w:rPr>
              <w:t>每天工作9小时（7:00—16:00）</w:t>
            </w:r>
            <w:r>
              <w:rPr>
                <w:rFonts w:hint="eastAsia"/>
                <w:color w:val="auto"/>
                <w:kern w:val="0"/>
                <w:sz w:val="24"/>
                <w:highlight w:val="none"/>
                <w:lang w:val="en-US" w:eastAsia="zh-CN"/>
              </w:rPr>
              <w:t>，夜间不生产。</w:t>
            </w:r>
            <w:r>
              <w:rPr>
                <w:color w:val="auto"/>
                <w:kern w:val="0"/>
                <w:sz w:val="24"/>
                <w:highlight w:val="none"/>
              </w:rPr>
              <w:t>采取以上措施后，经距离衰减后，对周边声环境的贡献值很小，各厂界贡献值预测结果详见下表。</w:t>
            </w:r>
          </w:p>
          <w:p w14:paraId="39462D3C">
            <w:pPr>
              <w:pStyle w:val="68"/>
              <w:numPr>
                <w:ilvl w:val="0"/>
                <w:numId w:val="19"/>
              </w:numPr>
              <w:spacing w:line="360" w:lineRule="auto"/>
              <w:ind w:left="0" w:leftChars="0" w:firstLine="0" w:firstLineChars="0"/>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  厂界噪声预测结果</w:t>
            </w:r>
          </w:p>
          <w:tbl>
            <w:tblPr>
              <w:tblStyle w:val="25"/>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630"/>
              <w:gridCol w:w="592"/>
              <w:gridCol w:w="604"/>
              <w:gridCol w:w="636"/>
              <w:gridCol w:w="703"/>
              <w:gridCol w:w="1088"/>
              <w:gridCol w:w="1088"/>
              <w:gridCol w:w="1089"/>
              <w:gridCol w:w="1091"/>
              <w:gridCol w:w="935"/>
            </w:tblGrid>
            <w:tr w14:paraId="184BB9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72" w:type="pct"/>
                  <w:vMerge w:val="restart"/>
                  <w:noWrap w:val="0"/>
                  <w:textDirection w:val="tbRlV"/>
                  <w:vAlign w:val="center"/>
                </w:tcPr>
                <w:p w14:paraId="77C2B2C4">
                  <w:pPr>
                    <w:spacing w:line="240" w:lineRule="auto"/>
                    <w:jc w:val="center"/>
                    <w:rPr>
                      <w:color w:val="auto"/>
                      <w:szCs w:val="21"/>
                      <w:highlight w:val="none"/>
                    </w:rPr>
                  </w:pPr>
                  <w:r>
                    <w:rPr>
                      <w:color w:val="auto"/>
                      <w:spacing w:val="-7"/>
                      <w:szCs w:val="21"/>
                      <w:highlight w:val="none"/>
                    </w:rPr>
                    <w:t>序</w:t>
                  </w:r>
                  <w:r>
                    <w:rPr>
                      <w:color w:val="auto"/>
                      <w:spacing w:val="-5"/>
                      <w:szCs w:val="21"/>
                      <w:highlight w:val="none"/>
                    </w:rPr>
                    <w:t xml:space="preserve"> 号</w:t>
                  </w:r>
                </w:p>
              </w:tc>
              <w:tc>
                <w:tcPr>
                  <w:tcW w:w="1083" w:type="pct"/>
                  <w:gridSpan w:val="3"/>
                  <w:vMerge w:val="restart"/>
                  <w:noWrap w:val="0"/>
                  <w:vAlign w:val="center"/>
                </w:tcPr>
                <w:p w14:paraId="20715D93">
                  <w:pPr>
                    <w:spacing w:line="240" w:lineRule="auto"/>
                    <w:jc w:val="center"/>
                    <w:rPr>
                      <w:color w:val="auto"/>
                      <w:szCs w:val="21"/>
                      <w:highlight w:val="none"/>
                    </w:rPr>
                  </w:pPr>
                  <w:r>
                    <w:rPr>
                      <w:color w:val="auto"/>
                      <w:spacing w:val="6"/>
                      <w:szCs w:val="21"/>
                      <w:highlight w:val="none"/>
                    </w:rPr>
                    <w:t>声</w:t>
                  </w:r>
                  <w:r>
                    <w:rPr>
                      <w:color w:val="auto"/>
                      <w:spacing w:val="5"/>
                      <w:szCs w:val="21"/>
                      <w:highlight w:val="none"/>
                    </w:rPr>
                    <w:t>环境</w:t>
                  </w:r>
                </w:p>
              </w:tc>
              <w:tc>
                <w:tcPr>
                  <w:tcW w:w="415" w:type="pct"/>
                  <w:vMerge w:val="restart"/>
                  <w:noWrap w:val="0"/>
                  <w:vAlign w:val="center"/>
                </w:tcPr>
                <w:p w14:paraId="5C01071E">
                  <w:pPr>
                    <w:spacing w:line="240" w:lineRule="auto"/>
                    <w:jc w:val="center"/>
                    <w:rPr>
                      <w:rFonts w:hint="eastAsia" w:eastAsia="宋体"/>
                      <w:color w:val="auto"/>
                      <w:spacing w:val="6"/>
                      <w:szCs w:val="21"/>
                      <w:highlight w:val="none"/>
                      <w:lang w:val="en-US" w:eastAsia="zh-CN"/>
                    </w:rPr>
                  </w:pPr>
                  <w:r>
                    <w:rPr>
                      <w:rFonts w:hint="eastAsia"/>
                      <w:color w:val="auto"/>
                      <w:spacing w:val="6"/>
                      <w:szCs w:val="21"/>
                      <w:highlight w:val="none"/>
                      <w:lang w:val="en-US" w:eastAsia="zh-CN"/>
                    </w:rPr>
                    <w:t>源强</w:t>
                  </w:r>
                  <w:r>
                    <w:rPr>
                      <w:color w:val="auto"/>
                      <w:spacing w:val="18"/>
                      <w:position w:val="3"/>
                      <w:szCs w:val="21"/>
                      <w:highlight w:val="none"/>
                    </w:rPr>
                    <w:t>/</w:t>
                  </w:r>
                  <w:r>
                    <w:rPr>
                      <w:color w:val="auto"/>
                      <w:position w:val="3"/>
                      <w:szCs w:val="21"/>
                      <w:highlight w:val="none"/>
                    </w:rPr>
                    <w:t>dB</w:t>
                  </w:r>
                  <w:r>
                    <w:rPr>
                      <w:color w:val="auto"/>
                      <w:spacing w:val="18"/>
                      <w:position w:val="3"/>
                      <w:szCs w:val="21"/>
                      <w:highlight w:val="none"/>
                    </w:rPr>
                    <w:t>(</w:t>
                  </w:r>
                  <w:r>
                    <w:rPr>
                      <w:color w:val="auto"/>
                      <w:position w:val="3"/>
                      <w:szCs w:val="21"/>
                      <w:highlight w:val="none"/>
                    </w:rPr>
                    <w:t>A</w:t>
                  </w:r>
                  <w:r>
                    <w:rPr>
                      <w:color w:val="auto"/>
                      <w:spacing w:val="18"/>
                      <w:position w:val="3"/>
                      <w:szCs w:val="21"/>
                      <w:highlight w:val="none"/>
                    </w:rPr>
                    <w:t>)</w:t>
                  </w:r>
                </w:p>
              </w:tc>
              <w:tc>
                <w:tcPr>
                  <w:tcW w:w="643" w:type="pct"/>
                  <w:noWrap w:val="0"/>
                  <w:vAlign w:val="center"/>
                </w:tcPr>
                <w:p w14:paraId="6C27AA66">
                  <w:pPr>
                    <w:spacing w:line="240" w:lineRule="auto"/>
                    <w:jc w:val="center"/>
                    <w:rPr>
                      <w:color w:val="auto"/>
                      <w:szCs w:val="21"/>
                      <w:highlight w:val="none"/>
                    </w:rPr>
                  </w:pPr>
                  <w:r>
                    <w:rPr>
                      <w:color w:val="auto"/>
                      <w:spacing w:val="6"/>
                      <w:szCs w:val="21"/>
                      <w:highlight w:val="none"/>
                    </w:rPr>
                    <w:t>噪声标准值</w:t>
                  </w:r>
                </w:p>
              </w:tc>
              <w:tc>
                <w:tcPr>
                  <w:tcW w:w="643" w:type="pct"/>
                  <w:noWrap w:val="0"/>
                  <w:vAlign w:val="center"/>
                </w:tcPr>
                <w:p w14:paraId="1ACB268F">
                  <w:pPr>
                    <w:spacing w:line="240" w:lineRule="auto"/>
                    <w:jc w:val="center"/>
                    <w:rPr>
                      <w:color w:val="auto"/>
                      <w:szCs w:val="21"/>
                      <w:highlight w:val="none"/>
                    </w:rPr>
                  </w:pPr>
                  <w:r>
                    <w:rPr>
                      <w:rFonts w:hint="eastAsia"/>
                      <w:color w:val="auto"/>
                      <w:spacing w:val="6"/>
                      <w:szCs w:val="21"/>
                      <w:highlight w:val="none"/>
                    </w:rPr>
                    <w:t>本项目</w:t>
                  </w:r>
                  <w:r>
                    <w:rPr>
                      <w:color w:val="auto"/>
                      <w:spacing w:val="6"/>
                      <w:szCs w:val="21"/>
                      <w:highlight w:val="none"/>
                    </w:rPr>
                    <w:t>噪声贡献值</w:t>
                  </w:r>
                </w:p>
              </w:tc>
              <w:tc>
                <w:tcPr>
                  <w:tcW w:w="643" w:type="pct"/>
                  <w:noWrap w:val="0"/>
                  <w:vAlign w:val="center"/>
                </w:tcPr>
                <w:p w14:paraId="2884C999">
                  <w:pPr>
                    <w:spacing w:line="240" w:lineRule="auto"/>
                    <w:jc w:val="center"/>
                    <w:rPr>
                      <w:color w:val="auto"/>
                      <w:spacing w:val="6"/>
                      <w:szCs w:val="21"/>
                      <w:highlight w:val="none"/>
                    </w:rPr>
                  </w:pPr>
                  <w:r>
                    <w:rPr>
                      <w:rFonts w:hint="eastAsia"/>
                      <w:color w:val="auto"/>
                      <w:spacing w:val="6"/>
                      <w:szCs w:val="21"/>
                      <w:highlight w:val="none"/>
                    </w:rPr>
                    <w:t>现有项目贡献值</w:t>
                  </w:r>
                </w:p>
              </w:tc>
              <w:tc>
                <w:tcPr>
                  <w:tcW w:w="644" w:type="pct"/>
                  <w:noWrap w:val="0"/>
                  <w:vAlign w:val="center"/>
                </w:tcPr>
                <w:p w14:paraId="68E81A96">
                  <w:pPr>
                    <w:spacing w:line="240" w:lineRule="auto"/>
                    <w:jc w:val="center"/>
                    <w:rPr>
                      <w:color w:val="auto"/>
                      <w:spacing w:val="6"/>
                      <w:szCs w:val="21"/>
                      <w:highlight w:val="none"/>
                    </w:rPr>
                  </w:pPr>
                  <w:r>
                    <w:rPr>
                      <w:rFonts w:hint="eastAsia"/>
                      <w:color w:val="auto"/>
                      <w:spacing w:val="6"/>
                      <w:szCs w:val="21"/>
                      <w:highlight w:val="none"/>
                      <w:lang w:eastAsia="zh-CN"/>
                    </w:rPr>
                    <w:t>噪声</w:t>
                  </w:r>
                  <w:r>
                    <w:rPr>
                      <w:rFonts w:hint="eastAsia"/>
                      <w:color w:val="auto"/>
                      <w:spacing w:val="6"/>
                      <w:szCs w:val="21"/>
                      <w:highlight w:val="none"/>
                    </w:rPr>
                    <w:t>预测值</w:t>
                  </w:r>
                </w:p>
              </w:tc>
              <w:tc>
                <w:tcPr>
                  <w:tcW w:w="552" w:type="pct"/>
                  <w:vMerge w:val="restart"/>
                  <w:noWrap w:val="0"/>
                  <w:vAlign w:val="center"/>
                </w:tcPr>
                <w:p w14:paraId="058F73C2">
                  <w:pPr>
                    <w:spacing w:line="240" w:lineRule="auto"/>
                    <w:jc w:val="center"/>
                    <w:rPr>
                      <w:color w:val="auto"/>
                      <w:szCs w:val="21"/>
                      <w:highlight w:val="none"/>
                    </w:rPr>
                  </w:pPr>
                  <w:r>
                    <w:rPr>
                      <w:color w:val="auto"/>
                      <w:spacing w:val="9"/>
                      <w:szCs w:val="21"/>
                      <w:highlight w:val="none"/>
                    </w:rPr>
                    <w:t>超</w:t>
                  </w:r>
                  <w:r>
                    <w:rPr>
                      <w:color w:val="auto"/>
                      <w:spacing w:val="8"/>
                      <w:szCs w:val="21"/>
                      <w:highlight w:val="none"/>
                    </w:rPr>
                    <w:t>标和达标</w:t>
                  </w:r>
                  <w:r>
                    <w:rPr>
                      <w:color w:val="auto"/>
                      <w:spacing w:val="6"/>
                      <w:szCs w:val="21"/>
                      <w:highlight w:val="none"/>
                    </w:rPr>
                    <w:t>情</w:t>
                  </w:r>
                  <w:r>
                    <w:rPr>
                      <w:color w:val="auto"/>
                      <w:spacing w:val="5"/>
                      <w:szCs w:val="21"/>
                      <w:highlight w:val="none"/>
                    </w:rPr>
                    <w:t>况</w:t>
                  </w:r>
                </w:p>
              </w:tc>
            </w:tr>
            <w:tr w14:paraId="5EAFE8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72" w:type="pct"/>
                  <w:vMerge w:val="continue"/>
                  <w:noWrap w:val="0"/>
                  <w:textDirection w:val="tbRlV"/>
                  <w:vAlign w:val="center"/>
                </w:tcPr>
                <w:p w14:paraId="7ADA79D6">
                  <w:pPr>
                    <w:spacing w:line="240" w:lineRule="auto"/>
                    <w:jc w:val="center"/>
                    <w:rPr>
                      <w:color w:val="auto"/>
                      <w:szCs w:val="21"/>
                      <w:highlight w:val="none"/>
                    </w:rPr>
                  </w:pPr>
                </w:p>
              </w:tc>
              <w:tc>
                <w:tcPr>
                  <w:tcW w:w="1083" w:type="pct"/>
                  <w:gridSpan w:val="3"/>
                  <w:vMerge w:val="continue"/>
                  <w:noWrap w:val="0"/>
                  <w:vAlign w:val="center"/>
                </w:tcPr>
                <w:p w14:paraId="1519B0DF">
                  <w:pPr>
                    <w:spacing w:line="240" w:lineRule="auto"/>
                    <w:jc w:val="center"/>
                    <w:rPr>
                      <w:color w:val="auto"/>
                      <w:szCs w:val="21"/>
                      <w:highlight w:val="none"/>
                    </w:rPr>
                  </w:pPr>
                </w:p>
              </w:tc>
              <w:tc>
                <w:tcPr>
                  <w:tcW w:w="415" w:type="pct"/>
                  <w:vMerge w:val="continue"/>
                  <w:noWrap w:val="0"/>
                  <w:vAlign w:val="center"/>
                </w:tcPr>
                <w:p w14:paraId="226D319B">
                  <w:pPr>
                    <w:spacing w:line="240" w:lineRule="auto"/>
                    <w:jc w:val="center"/>
                    <w:rPr>
                      <w:color w:val="auto"/>
                      <w:spacing w:val="18"/>
                      <w:position w:val="3"/>
                      <w:szCs w:val="21"/>
                      <w:highlight w:val="none"/>
                    </w:rPr>
                  </w:pPr>
                </w:p>
              </w:tc>
              <w:tc>
                <w:tcPr>
                  <w:tcW w:w="643" w:type="pct"/>
                  <w:noWrap w:val="0"/>
                  <w:vAlign w:val="center"/>
                </w:tcPr>
                <w:p w14:paraId="7D152AA5">
                  <w:pPr>
                    <w:spacing w:line="240" w:lineRule="auto"/>
                    <w:jc w:val="center"/>
                    <w:rPr>
                      <w:color w:val="auto"/>
                      <w:szCs w:val="21"/>
                      <w:highlight w:val="none"/>
                    </w:rPr>
                  </w:pPr>
                  <w:r>
                    <w:rPr>
                      <w:color w:val="auto"/>
                      <w:spacing w:val="18"/>
                      <w:position w:val="3"/>
                      <w:szCs w:val="21"/>
                      <w:highlight w:val="none"/>
                    </w:rPr>
                    <w:t>/</w:t>
                  </w:r>
                  <w:r>
                    <w:rPr>
                      <w:color w:val="auto"/>
                      <w:position w:val="3"/>
                      <w:szCs w:val="21"/>
                      <w:highlight w:val="none"/>
                    </w:rPr>
                    <w:t>dB</w:t>
                  </w:r>
                  <w:r>
                    <w:rPr>
                      <w:color w:val="auto"/>
                      <w:spacing w:val="18"/>
                      <w:position w:val="3"/>
                      <w:szCs w:val="21"/>
                      <w:highlight w:val="none"/>
                    </w:rPr>
                    <w:t>(</w:t>
                  </w:r>
                  <w:r>
                    <w:rPr>
                      <w:color w:val="auto"/>
                      <w:position w:val="3"/>
                      <w:szCs w:val="21"/>
                      <w:highlight w:val="none"/>
                    </w:rPr>
                    <w:t>A</w:t>
                  </w:r>
                  <w:r>
                    <w:rPr>
                      <w:color w:val="auto"/>
                      <w:spacing w:val="18"/>
                      <w:position w:val="3"/>
                      <w:szCs w:val="21"/>
                      <w:highlight w:val="none"/>
                    </w:rPr>
                    <w:t>)</w:t>
                  </w:r>
                </w:p>
              </w:tc>
              <w:tc>
                <w:tcPr>
                  <w:tcW w:w="643" w:type="pct"/>
                  <w:noWrap w:val="0"/>
                  <w:vAlign w:val="center"/>
                </w:tcPr>
                <w:p w14:paraId="69F612FA">
                  <w:pPr>
                    <w:spacing w:line="240" w:lineRule="auto"/>
                    <w:jc w:val="center"/>
                    <w:rPr>
                      <w:color w:val="auto"/>
                      <w:szCs w:val="21"/>
                      <w:highlight w:val="none"/>
                    </w:rPr>
                  </w:pPr>
                  <w:r>
                    <w:rPr>
                      <w:color w:val="auto"/>
                      <w:spacing w:val="18"/>
                      <w:position w:val="3"/>
                      <w:szCs w:val="21"/>
                      <w:highlight w:val="none"/>
                    </w:rPr>
                    <w:t>/</w:t>
                  </w:r>
                  <w:r>
                    <w:rPr>
                      <w:color w:val="auto"/>
                      <w:position w:val="3"/>
                      <w:szCs w:val="21"/>
                      <w:highlight w:val="none"/>
                    </w:rPr>
                    <w:t>dB</w:t>
                  </w:r>
                  <w:r>
                    <w:rPr>
                      <w:color w:val="auto"/>
                      <w:spacing w:val="18"/>
                      <w:position w:val="3"/>
                      <w:szCs w:val="21"/>
                      <w:highlight w:val="none"/>
                    </w:rPr>
                    <w:t>(</w:t>
                  </w:r>
                  <w:r>
                    <w:rPr>
                      <w:color w:val="auto"/>
                      <w:position w:val="3"/>
                      <w:szCs w:val="21"/>
                      <w:highlight w:val="none"/>
                    </w:rPr>
                    <w:t>A</w:t>
                  </w:r>
                  <w:r>
                    <w:rPr>
                      <w:color w:val="auto"/>
                      <w:spacing w:val="18"/>
                      <w:position w:val="3"/>
                      <w:szCs w:val="21"/>
                      <w:highlight w:val="none"/>
                    </w:rPr>
                    <w:t>)</w:t>
                  </w:r>
                </w:p>
              </w:tc>
              <w:tc>
                <w:tcPr>
                  <w:tcW w:w="643" w:type="pct"/>
                  <w:noWrap w:val="0"/>
                  <w:vAlign w:val="center"/>
                </w:tcPr>
                <w:p w14:paraId="71D21F34">
                  <w:pPr>
                    <w:spacing w:line="240" w:lineRule="auto"/>
                    <w:jc w:val="center"/>
                    <w:rPr>
                      <w:color w:val="auto"/>
                      <w:spacing w:val="18"/>
                      <w:position w:val="3"/>
                      <w:szCs w:val="21"/>
                      <w:highlight w:val="none"/>
                    </w:rPr>
                  </w:pPr>
                  <w:r>
                    <w:rPr>
                      <w:color w:val="auto"/>
                      <w:spacing w:val="18"/>
                      <w:position w:val="3"/>
                      <w:szCs w:val="21"/>
                      <w:highlight w:val="none"/>
                    </w:rPr>
                    <w:t>/</w:t>
                  </w:r>
                  <w:r>
                    <w:rPr>
                      <w:color w:val="auto"/>
                      <w:position w:val="3"/>
                      <w:szCs w:val="21"/>
                      <w:highlight w:val="none"/>
                    </w:rPr>
                    <w:t>dB</w:t>
                  </w:r>
                  <w:r>
                    <w:rPr>
                      <w:color w:val="auto"/>
                      <w:spacing w:val="18"/>
                      <w:position w:val="3"/>
                      <w:szCs w:val="21"/>
                      <w:highlight w:val="none"/>
                    </w:rPr>
                    <w:t>(</w:t>
                  </w:r>
                  <w:r>
                    <w:rPr>
                      <w:color w:val="auto"/>
                      <w:position w:val="3"/>
                      <w:szCs w:val="21"/>
                      <w:highlight w:val="none"/>
                    </w:rPr>
                    <w:t>A</w:t>
                  </w:r>
                  <w:r>
                    <w:rPr>
                      <w:color w:val="auto"/>
                      <w:spacing w:val="18"/>
                      <w:position w:val="3"/>
                      <w:szCs w:val="21"/>
                      <w:highlight w:val="none"/>
                    </w:rPr>
                    <w:t>)</w:t>
                  </w:r>
                </w:p>
              </w:tc>
              <w:tc>
                <w:tcPr>
                  <w:tcW w:w="644" w:type="pct"/>
                  <w:noWrap w:val="0"/>
                  <w:vAlign w:val="center"/>
                </w:tcPr>
                <w:p w14:paraId="258B0285">
                  <w:pPr>
                    <w:spacing w:line="240" w:lineRule="auto"/>
                    <w:jc w:val="center"/>
                    <w:rPr>
                      <w:color w:val="auto"/>
                      <w:spacing w:val="18"/>
                      <w:position w:val="3"/>
                      <w:szCs w:val="21"/>
                      <w:highlight w:val="none"/>
                    </w:rPr>
                  </w:pPr>
                  <w:r>
                    <w:rPr>
                      <w:color w:val="auto"/>
                      <w:spacing w:val="18"/>
                      <w:position w:val="3"/>
                      <w:szCs w:val="21"/>
                      <w:highlight w:val="none"/>
                    </w:rPr>
                    <w:t>/</w:t>
                  </w:r>
                  <w:r>
                    <w:rPr>
                      <w:color w:val="auto"/>
                      <w:position w:val="3"/>
                      <w:szCs w:val="21"/>
                      <w:highlight w:val="none"/>
                    </w:rPr>
                    <w:t>dB</w:t>
                  </w:r>
                  <w:r>
                    <w:rPr>
                      <w:color w:val="auto"/>
                      <w:spacing w:val="18"/>
                      <w:position w:val="3"/>
                      <w:szCs w:val="21"/>
                      <w:highlight w:val="none"/>
                    </w:rPr>
                    <w:t>(</w:t>
                  </w:r>
                  <w:r>
                    <w:rPr>
                      <w:color w:val="auto"/>
                      <w:position w:val="3"/>
                      <w:szCs w:val="21"/>
                      <w:highlight w:val="none"/>
                    </w:rPr>
                    <w:t>A</w:t>
                  </w:r>
                  <w:r>
                    <w:rPr>
                      <w:color w:val="auto"/>
                      <w:spacing w:val="18"/>
                      <w:position w:val="3"/>
                      <w:szCs w:val="21"/>
                      <w:highlight w:val="none"/>
                    </w:rPr>
                    <w:t>)</w:t>
                  </w:r>
                </w:p>
              </w:tc>
              <w:tc>
                <w:tcPr>
                  <w:tcW w:w="552" w:type="pct"/>
                  <w:vMerge w:val="continue"/>
                  <w:noWrap w:val="0"/>
                  <w:vAlign w:val="center"/>
                </w:tcPr>
                <w:p w14:paraId="06B7DE23">
                  <w:pPr>
                    <w:spacing w:line="240" w:lineRule="auto"/>
                    <w:jc w:val="center"/>
                    <w:rPr>
                      <w:color w:val="auto"/>
                      <w:szCs w:val="21"/>
                      <w:highlight w:val="none"/>
                    </w:rPr>
                  </w:pPr>
                </w:p>
              </w:tc>
            </w:tr>
            <w:tr w14:paraId="70D59B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72" w:type="pct"/>
                  <w:vMerge w:val="continue"/>
                  <w:noWrap w:val="0"/>
                  <w:textDirection w:val="tbRlV"/>
                  <w:vAlign w:val="center"/>
                </w:tcPr>
                <w:p w14:paraId="74F756C5">
                  <w:pPr>
                    <w:spacing w:line="240" w:lineRule="auto"/>
                    <w:jc w:val="center"/>
                    <w:rPr>
                      <w:color w:val="auto"/>
                      <w:szCs w:val="21"/>
                      <w:highlight w:val="none"/>
                    </w:rPr>
                  </w:pPr>
                </w:p>
              </w:tc>
              <w:tc>
                <w:tcPr>
                  <w:tcW w:w="1083" w:type="pct"/>
                  <w:gridSpan w:val="3"/>
                  <w:vMerge w:val="continue"/>
                  <w:noWrap w:val="0"/>
                  <w:vAlign w:val="center"/>
                </w:tcPr>
                <w:p w14:paraId="70A2B22F">
                  <w:pPr>
                    <w:spacing w:line="240" w:lineRule="auto"/>
                    <w:jc w:val="center"/>
                    <w:rPr>
                      <w:color w:val="auto"/>
                      <w:szCs w:val="21"/>
                      <w:highlight w:val="none"/>
                    </w:rPr>
                  </w:pPr>
                </w:p>
              </w:tc>
              <w:tc>
                <w:tcPr>
                  <w:tcW w:w="415" w:type="pct"/>
                  <w:vMerge w:val="continue"/>
                  <w:noWrap w:val="0"/>
                  <w:vAlign w:val="center"/>
                </w:tcPr>
                <w:p w14:paraId="52000630">
                  <w:pPr>
                    <w:spacing w:line="240" w:lineRule="auto"/>
                    <w:jc w:val="center"/>
                    <w:rPr>
                      <w:color w:val="auto"/>
                      <w:spacing w:val="5"/>
                      <w:szCs w:val="21"/>
                      <w:highlight w:val="none"/>
                    </w:rPr>
                  </w:pPr>
                </w:p>
              </w:tc>
              <w:tc>
                <w:tcPr>
                  <w:tcW w:w="643" w:type="pct"/>
                  <w:noWrap w:val="0"/>
                  <w:vAlign w:val="center"/>
                </w:tcPr>
                <w:p w14:paraId="4204C66A">
                  <w:pPr>
                    <w:spacing w:line="240" w:lineRule="auto"/>
                    <w:jc w:val="center"/>
                    <w:rPr>
                      <w:color w:val="auto"/>
                      <w:szCs w:val="21"/>
                      <w:highlight w:val="none"/>
                    </w:rPr>
                  </w:pPr>
                  <w:r>
                    <w:rPr>
                      <w:color w:val="auto"/>
                      <w:spacing w:val="5"/>
                      <w:szCs w:val="21"/>
                      <w:highlight w:val="none"/>
                    </w:rPr>
                    <w:t>昼间</w:t>
                  </w:r>
                </w:p>
              </w:tc>
              <w:tc>
                <w:tcPr>
                  <w:tcW w:w="643" w:type="pct"/>
                  <w:noWrap w:val="0"/>
                  <w:vAlign w:val="center"/>
                </w:tcPr>
                <w:p w14:paraId="02292EF4">
                  <w:pPr>
                    <w:spacing w:line="240" w:lineRule="auto"/>
                    <w:jc w:val="center"/>
                    <w:rPr>
                      <w:color w:val="auto"/>
                      <w:szCs w:val="21"/>
                      <w:highlight w:val="none"/>
                    </w:rPr>
                  </w:pPr>
                  <w:r>
                    <w:rPr>
                      <w:color w:val="auto"/>
                      <w:spacing w:val="5"/>
                      <w:szCs w:val="21"/>
                      <w:highlight w:val="none"/>
                    </w:rPr>
                    <w:t>昼间</w:t>
                  </w:r>
                </w:p>
              </w:tc>
              <w:tc>
                <w:tcPr>
                  <w:tcW w:w="643" w:type="pct"/>
                  <w:noWrap w:val="0"/>
                  <w:vAlign w:val="center"/>
                </w:tcPr>
                <w:p w14:paraId="395F4929">
                  <w:pPr>
                    <w:spacing w:line="240" w:lineRule="auto"/>
                    <w:jc w:val="center"/>
                    <w:rPr>
                      <w:color w:val="auto"/>
                      <w:spacing w:val="3"/>
                      <w:szCs w:val="21"/>
                      <w:highlight w:val="none"/>
                    </w:rPr>
                  </w:pPr>
                  <w:r>
                    <w:rPr>
                      <w:color w:val="auto"/>
                      <w:spacing w:val="5"/>
                      <w:szCs w:val="21"/>
                      <w:highlight w:val="none"/>
                    </w:rPr>
                    <w:t>昼间</w:t>
                  </w:r>
                </w:p>
              </w:tc>
              <w:tc>
                <w:tcPr>
                  <w:tcW w:w="644" w:type="pct"/>
                  <w:noWrap w:val="0"/>
                  <w:vAlign w:val="center"/>
                </w:tcPr>
                <w:p w14:paraId="2DC93BF5">
                  <w:pPr>
                    <w:spacing w:line="240" w:lineRule="auto"/>
                    <w:jc w:val="center"/>
                    <w:rPr>
                      <w:color w:val="auto"/>
                      <w:spacing w:val="3"/>
                      <w:szCs w:val="21"/>
                      <w:highlight w:val="none"/>
                    </w:rPr>
                  </w:pPr>
                  <w:r>
                    <w:rPr>
                      <w:color w:val="auto"/>
                      <w:spacing w:val="5"/>
                      <w:szCs w:val="21"/>
                      <w:highlight w:val="none"/>
                    </w:rPr>
                    <w:t>昼间</w:t>
                  </w:r>
                </w:p>
              </w:tc>
              <w:tc>
                <w:tcPr>
                  <w:tcW w:w="552" w:type="pct"/>
                  <w:noWrap w:val="0"/>
                  <w:vAlign w:val="center"/>
                </w:tcPr>
                <w:p w14:paraId="0AD7672E">
                  <w:pPr>
                    <w:spacing w:line="240" w:lineRule="auto"/>
                    <w:jc w:val="center"/>
                    <w:rPr>
                      <w:color w:val="auto"/>
                      <w:szCs w:val="21"/>
                      <w:highlight w:val="none"/>
                    </w:rPr>
                  </w:pPr>
                  <w:r>
                    <w:rPr>
                      <w:color w:val="auto"/>
                      <w:spacing w:val="5"/>
                      <w:szCs w:val="21"/>
                      <w:highlight w:val="none"/>
                    </w:rPr>
                    <w:t>昼间</w:t>
                  </w:r>
                </w:p>
              </w:tc>
            </w:tr>
            <w:tr w14:paraId="66657F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72" w:type="pct"/>
                  <w:noWrap w:val="0"/>
                  <w:vAlign w:val="center"/>
                </w:tcPr>
                <w:p w14:paraId="6D4392E3">
                  <w:pPr>
                    <w:spacing w:line="240" w:lineRule="auto"/>
                    <w:jc w:val="center"/>
                    <w:rPr>
                      <w:color w:val="auto"/>
                      <w:szCs w:val="21"/>
                      <w:highlight w:val="none"/>
                    </w:rPr>
                  </w:pPr>
                  <w:r>
                    <w:rPr>
                      <w:color w:val="auto"/>
                      <w:szCs w:val="21"/>
                      <w:highlight w:val="none"/>
                    </w:rPr>
                    <w:t>1</w:t>
                  </w:r>
                </w:p>
              </w:tc>
              <w:tc>
                <w:tcPr>
                  <w:tcW w:w="350" w:type="pct"/>
                  <w:vMerge w:val="restart"/>
                  <w:noWrap w:val="0"/>
                  <w:vAlign w:val="center"/>
                </w:tcPr>
                <w:p w14:paraId="573D8239">
                  <w:pPr>
                    <w:spacing w:line="240" w:lineRule="auto"/>
                    <w:jc w:val="center"/>
                    <w:rPr>
                      <w:color w:val="auto"/>
                      <w:szCs w:val="21"/>
                      <w:highlight w:val="none"/>
                    </w:rPr>
                  </w:pPr>
                  <w:r>
                    <w:rPr>
                      <w:rFonts w:hint="eastAsia"/>
                      <w:color w:val="auto"/>
                      <w:szCs w:val="21"/>
                      <w:highlight w:val="none"/>
                    </w:rPr>
                    <w:t>本项目距离厂界（m）</w:t>
                  </w:r>
                </w:p>
              </w:tc>
              <w:tc>
                <w:tcPr>
                  <w:tcW w:w="357" w:type="pct"/>
                  <w:noWrap w:val="0"/>
                  <w:vAlign w:val="center"/>
                </w:tcPr>
                <w:p w14:paraId="5AF4F37E">
                  <w:pPr>
                    <w:spacing w:line="240" w:lineRule="auto"/>
                    <w:jc w:val="center"/>
                    <w:rPr>
                      <w:color w:val="auto"/>
                      <w:spacing w:val="5"/>
                      <w:szCs w:val="21"/>
                      <w:highlight w:val="none"/>
                    </w:rPr>
                  </w:pPr>
                  <w:r>
                    <w:rPr>
                      <w:color w:val="auto"/>
                      <w:spacing w:val="5"/>
                      <w:szCs w:val="21"/>
                      <w:highlight w:val="none"/>
                    </w:rPr>
                    <w:t>东</w:t>
                  </w:r>
                </w:p>
              </w:tc>
              <w:tc>
                <w:tcPr>
                  <w:tcW w:w="375" w:type="pct"/>
                  <w:noWrap w:val="0"/>
                  <w:vAlign w:val="center"/>
                </w:tcPr>
                <w:p w14:paraId="6E09F671">
                  <w:pPr>
                    <w:spacing w:line="240" w:lineRule="auto"/>
                    <w:jc w:val="center"/>
                    <w:rPr>
                      <w:rFonts w:hint="default" w:eastAsia="宋体"/>
                      <w:color w:val="auto"/>
                      <w:spacing w:val="5"/>
                      <w:szCs w:val="21"/>
                      <w:highlight w:val="none"/>
                      <w:lang w:val="en-US" w:eastAsia="zh-CN"/>
                    </w:rPr>
                  </w:pPr>
                  <w:r>
                    <w:rPr>
                      <w:rFonts w:hint="eastAsia"/>
                      <w:color w:val="auto"/>
                      <w:spacing w:val="5"/>
                      <w:szCs w:val="21"/>
                      <w:highlight w:val="none"/>
                      <w:lang w:val="en-US" w:eastAsia="zh-CN"/>
                    </w:rPr>
                    <w:t>115</w:t>
                  </w:r>
                </w:p>
              </w:tc>
              <w:tc>
                <w:tcPr>
                  <w:tcW w:w="415" w:type="pct"/>
                  <w:vMerge w:val="restart"/>
                  <w:noWrap w:val="0"/>
                  <w:vAlign w:val="center"/>
                </w:tcPr>
                <w:p w14:paraId="434DBA40">
                  <w:pPr>
                    <w:spacing w:line="240" w:lineRule="auto"/>
                    <w:jc w:val="center"/>
                    <w:rPr>
                      <w:rFonts w:hint="default" w:eastAsia="宋体"/>
                      <w:color w:val="auto"/>
                      <w:szCs w:val="21"/>
                      <w:highlight w:val="none"/>
                      <w:lang w:val="en-US" w:eastAsia="zh-CN"/>
                    </w:rPr>
                  </w:pPr>
                  <w:r>
                    <w:rPr>
                      <w:rFonts w:hint="eastAsia"/>
                      <w:color w:val="auto"/>
                      <w:szCs w:val="21"/>
                      <w:highlight w:val="none"/>
                      <w:lang w:val="en-US" w:eastAsia="zh-CN"/>
                    </w:rPr>
                    <w:t>92</w:t>
                  </w:r>
                </w:p>
              </w:tc>
              <w:tc>
                <w:tcPr>
                  <w:tcW w:w="643" w:type="pct"/>
                  <w:noWrap w:val="0"/>
                  <w:vAlign w:val="center"/>
                </w:tcPr>
                <w:p w14:paraId="5177D11F">
                  <w:pPr>
                    <w:spacing w:line="240" w:lineRule="auto"/>
                    <w:jc w:val="center"/>
                    <w:rPr>
                      <w:color w:val="auto"/>
                      <w:szCs w:val="21"/>
                      <w:highlight w:val="none"/>
                    </w:rPr>
                  </w:pPr>
                  <w:r>
                    <w:rPr>
                      <w:color w:val="auto"/>
                      <w:szCs w:val="21"/>
                      <w:highlight w:val="none"/>
                    </w:rPr>
                    <w:t>65</w:t>
                  </w:r>
                </w:p>
              </w:tc>
              <w:tc>
                <w:tcPr>
                  <w:tcW w:w="643" w:type="pct"/>
                  <w:noWrap w:val="0"/>
                  <w:vAlign w:val="center"/>
                </w:tcPr>
                <w:p w14:paraId="4AAB7721">
                  <w:pPr>
                    <w:spacing w:line="240" w:lineRule="auto"/>
                    <w:jc w:val="center"/>
                    <w:rPr>
                      <w:rFonts w:hint="default" w:eastAsia="宋体"/>
                      <w:color w:val="auto"/>
                      <w:szCs w:val="21"/>
                      <w:highlight w:val="none"/>
                      <w:lang w:val="en-US" w:eastAsia="zh-CN"/>
                    </w:rPr>
                  </w:pPr>
                  <w:r>
                    <w:rPr>
                      <w:rFonts w:hint="eastAsia" w:eastAsia="宋体"/>
                      <w:color w:val="auto"/>
                      <w:szCs w:val="21"/>
                      <w:highlight w:val="none"/>
                      <w:lang w:val="en-US" w:eastAsia="zh-CN"/>
                    </w:rPr>
                    <w:t>51</w:t>
                  </w:r>
                </w:p>
              </w:tc>
              <w:tc>
                <w:tcPr>
                  <w:tcW w:w="643" w:type="pct"/>
                  <w:noWrap w:val="0"/>
                  <w:vAlign w:val="center"/>
                </w:tcPr>
                <w:p w14:paraId="7F774EED">
                  <w:pPr>
                    <w:spacing w:line="240" w:lineRule="auto"/>
                    <w:jc w:val="center"/>
                    <w:rPr>
                      <w:rFonts w:hint="eastAsia" w:eastAsia="宋体"/>
                      <w:color w:val="auto"/>
                      <w:szCs w:val="21"/>
                      <w:highlight w:val="none"/>
                      <w:lang w:eastAsia="zh-CN"/>
                    </w:rPr>
                  </w:pPr>
                  <w:r>
                    <w:rPr>
                      <w:rFonts w:hint="eastAsia"/>
                      <w:color w:val="auto"/>
                      <w:szCs w:val="21"/>
                      <w:highlight w:val="none"/>
                      <w:lang w:val="en-US" w:eastAsia="zh-CN"/>
                    </w:rPr>
                    <w:t>/</w:t>
                  </w:r>
                </w:p>
              </w:tc>
              <w:tc>
                <w:tcPr>
                  <w:tcW w:w="644" w:type="pct"/>
                  <w:noWrap w:val="0"/>
                  <w:vAlign w:val="center"/>
                </w:tcPr>
                <w:p w14:paraId="4A3691D8">
                  <w:pPr>
                    <w:spacing w:line="240" w:lineRule="auto"/>
                    <w:jc w:val="center"/>
                    <w:rPr>
                      <w:rFonts w:hint="eastAsia"/>
                      <w:color w:val="auto"/>
                      <w:szCs w:val="21"/>
                      <w:highlight w:val="none"/>
                    </w:rPr>
                  </w:pPr>
                  <w:r>
                    <w:rPr>
                      <w:rFonts w:hint="eastAsia" w:eastAsia="宋体"/>
                      <w:color w:val="auto"/>
                      <w:szCs w:val="21"/>
                      <w:highlight w:val="none"/>
                      <w:lang w:val="en-US" w:eastAsia="zh-CN"/>
                    </w:rPr>
                    <w:t>51</w:t>
                  </w:r>
                </w:p>
              </w:tc>
              <w:tc>
                <w:tcPr>
                  <w:tcW w:w="552" w:type="pct"/>
                  <w:noWrap w:val="0"/>
                  <w:vAlign w:val="center"/>
                </w:tcPr>
                <w:p w14:paraId="0329E2A4">
                  <w:pPr>
                    <w:spacing w:line="240" w:lineRule="auto"/>
                    <w:jc w:val="center"/>
                    <w:rPr>
                      <w:color w:val="auto"/>
                      <w:szCs w:val="21"/>
                      <w:highlight w:val="none"/>
                    </w:rPr>
                  </w:pPr>
                  <w:r>
                    <w:rPr>
                      <w:color w:val="auto"/>
                      <w:spacing w:val="5"/>
                      <w:szCs w:val="21"/>
                      <w:highlight w:val="none"/>
                    </w:rPr>
                    <w:t>达标</w:t>
                  </w:r>
                </w:p>
              </w:tc>
            </w:tr>
            <w:tr w14:paraId="23E901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72" w:type="pct"/>
                  <w:noWrap w:val="0"/>
                  <w:vAlign w:val="center"/>
                </w:tcPr>
                <w:p w14:paraId="1E9715FF">
                  <w:pPr>
                    <w:spacing w:line="240" w:lineRule="auto"/>
                    <w:jc w:val="center"/>
                    <w:rPr>
                      <w:color w:val="auto"/>
                      <w:szCs w:val="21"/>
                      <w:highlight w:val="none"/>
                    </w:rPr>
                  </w:pPr>
                  <w:r>
                    <w:rPr>
                      <w:color w:val="auto"/>
                      <w:szCs w:val="21"/>
                      <w:highlight w:val="none"/>
                    </w:rPr>
                    <w:t>2</w:t>
                  </w:r>
                </w:p>
              </w:tc>
              <w:tc>
                <w:tcPr>
                  <w:tcW w:w="350" w:type="pct"/>
                  <w:vMerge w:val="continue"/>
                  <w:noWrap w:val="0"/>
                  <w:vAlign w:val="center"/>
                </w:tcPr>
                <w:p w14:paraId="1DC3BAF3">
                  <w:pPr>
                    <w:spacing w:line="240" w:lineRule="auto"/>
                    <w:jc w:val="center"/>
                    <w:rPr>
                      <w:color w:val="auto"/>
                      <w:szCs w:val="21"/>
                      <w:highlight w:val="none"/>
                    </w:rPr>
                  </w:pPr>
                </w:p>
              </w:tc>
              <w:tc>
                <w:tcPr>
                  <w:tcW w:w="357" w:type="pct"/>
                  <w:noWrap w:val="0"/>
                  <w:vAlign w:val="center"/>
                </w:tcPr>
                <w:p w14:paraId="50A9FAAA">
                  <w:pPr>
                    <w:spacing w:line="240" w:lineRule="auto"/>
                    <w:jc w:val="center"/>
                    <w:rPr>
                      <w:color w:val="auto"/>
                      <w:spacing w:val="5"/>
                      <w:szCs w:val="21"/>
                      <w:highlight w:val="none"/>
                    </w:rPr>
                  </w:pPr>
                  <w:r>
                    <w:rPr>
                      <w:color w:val="auto"/>
                      <w:spacing w:val="5"/>
                      <w:szCs w:val="21"/>
                      <w:highlight w:val="none"/>
                    </w:rPr>
                    <w:t>西</w:t>
                  </w:r>
                </w:p>
              </w:tc>
              <w:tc>
                <w:tcPr>
                  <w:tcW w:w="375" w:type="pct"/>
                  <w:noWrap w:val="0"/>
                  <w:vAlign w:val="center"/>
                </w:tcPr>
                <w:p w14:paraId="75418CDD">
                  <w:pPr>
                    <w:spacing w:line="240" w:lineRule="auto"/>
                    <w:jc w:val="center"/>
                    <w:rPr>
                      <w:rFonts w:hint="default" w:eastAsia="宋体"/>
                      <w:color w:val="auto"/>
                      <w:spacing w:val="5"/>
                      <w:szCs w:val="21"/>
                      <w:highlight w:val="none"/>
                      <w:lang w:val="en-US" w:eastAsia="zh-CN"/>
                    </w:rPr>
                  </w:pPr>
                  <w:r>
                    <w:rPr>
                      <w:rFonts w:hint="eastAsia"/>
                      <w:color w:val="auto"/>
                      <w:spacing w:val="5"/>
                      <w:szCs w:val="21"/>
                      <w:highlight w:val="none"/>
                      <w:lang w:val="en-US" w:eastAsia="zh-CN"/>
                    </w:rPr>
                    <w:t>35</w:t>
                  </w:r>
                </w:p>
              </w:tc>
              <w:tc>
                <w:tcPr>
                  <w:tcW w:w="415" w:type="pct"/>
                  <w:vMerge w:val="continue"/>
                  <w:noWrap w:val="0"/>
                  <w:vAlign w:val="center"/>
                </w:tcPr>
                <w:p w14:paraId="60267CED">
                  <w:pPr>
                    <w:spacing w:line="240" w:lineRule="auto"/>
                    <w:jc w:val="center"/>
                    <w:rPr>
                      <w:color w:val="auto"/>
                      <w:szCs w:val="21"/>
                      <w:highlight w:val="none"/>
                    </w:rPr>
                  </w:pPr>
                </w:p>
              </w:tc>
              <w:tc>
                <w:tcPr>
                  <w:tcW w:w="643" w:type="pct"/>
                  <w:noWrap w:val="0"/>
                  <w:vAlign w:val="center"/>
                </w:tcPr>
                <w:p w14:paraId="11223997">
                  <w:pPr>
                    <w:spacing w:line="240" w:lineRule="auto"/>
                    <w:jc w:val="center"/>
                    <w:rPr>
                      <w:color w:val="auto"/>
                      <w:szCs w:val="21"/>
                      <w:highlight w:val="none"/>
                    </w:rPr>
                  </w:pPr>
                  <w:r>
                    <w:rPr>
                      <w:color w:val="auto"/>
                      <w:szCs w:val="21"/>
                      <w:highlight w:val="none"/>
                    </w:rPr>
                    <w:t>65</w:t>
                  </w:r>
                </w:p>
              </w:tc>
              <w:tc>
                <w:tcPr>
                  <w:tcW w:w="643" w:type="pct"/>
                  <w:noWrap w:val="0"/>
                  <w:vAlign w:val="center"/>
                </w:tcPr>
                <w:p w14:paraId="4B9A0137">
                  <w:pPr>
                    <w:spacing w:line="240" w:lineRule="auto"/>
                    <w:jc w:val="center"/>
                    <w:rPr>
                      <w:rFonts w:hint="default" w:eastAsia="宋体"/>
                      <w:color w:val="auto"/>
                      <w:szCs w:val="21"/>
                      <w:highlight w:val="none"/>
                      <w:lang w:val="en-US" w:eastAsia="zh-CN"/>
                    </w:rPr>
                  </w:pPr>
                  <w:r>
                    <w:rPr>
                      <w:rFonts w:hint="eastAsia" w:eastAsia="宋体"/>
                      <w:color w:val="auto"/>
                      <w:szCs w:val="21"/>
                      <w:highlight w:val="none"/>
                      <w:lang w:val="en-US" w:eastAsia="zh-CN"/>
                    </w:rPr>
                    <w:t>61</w:t>
                  </w:r>
                </w:p>
              </w:tc>
              <w:tc>
                <w:tcPr>
                  <w:tcW w:w="643" w:type="pct"/>
                  <w:noWrap w:val="0"/>
                  <w:vAlign w:val="center"/>
                </w:tcPr>
                <w:p w14:paraId="2FB04916">
                  <w:pPr>
                    <w:spacing w:line="240" w:lineRule="auto"/>
                    <w:jc w:val="center"/>
                    <w:rPr>
                      <w:rFonts w:hint="eastAsia"/>
                      <w:color w:val="auto"/>
                      <w:szCs w:val="21"/>
                      <w:highlight w:val="none"/>
                    </w:rPr>
                  </w:pPr>
                  <w:r>
                    <w:rPr>
                      <w:rFonts w:hint="eastAsia"/>
                      <w:color w:val="auto"/>
                      <w:szCs w:val="21"/>
                      <w:highlight w:val="none"/>
                      <w:lang w:val="en-US" w:eastAsia="zh-CN"/>
                    </w:rPr>
                    <w:t>/</w:t>
                  </w:r>
                </w:p>
              </w:tc>
              <w:tc>
                <w:tcPr>
                  <w:tcW w:w="644" w:type="pct"/>
                  <w:noWrap w:val="0"/>
                  <w:vAlign w:val="center"/>
                </w:tcPr>
                <w:p w14:paraId="688C14C4">
                  <w:pPr>
                    <w:spacing w:line="240" w:lineRule="auto"/>
                    <w:jc w:val="center"/>
                    <w:rPr>
                      <w:rFonts w:hint="eastAsia"/>
                      <w:color w:val="auto"/>
                      <w:szCs w:val="21"/>
                      <w:highlight w:val="none"/>
                    </w:rPr>
                  </w:pPr>
                  <w:r>
                    <w:rPr>
                      <w:rFonts w:hint="eastAsia" w:eastAsia="宋体"/>
                      <w:color w:val="auto"/>
                      <w:szCs w:val="21"/>
                      <w:highlight w:val="none"/>
                      <w:lang w:val="en-US" w:eastAsia="zh-CN"/>
                    </w:rPr>
                    <w:t>61</w:t>
                  </w:r>
                </w:p>
              </w:tc>
              <w:tc>
                <w:tcPr>
                  <w:tcW w:w="552" w:type="pct"/>
                  <w:noWrap w:val="0"/>
                  <w:vAlign w:val="center"/>
                </w:tcPr>
                <w:p w14:paraId="7893D86F">
                  <w:pPr>
                    <w:spacing w:line="240" w:lineRule="auto"/>
                    <w:jc w:val="center"/>
                    <w:rPr>
                      <w:color w:val="auto"/>
                      <w:szCs w:val="21"/>
                      <w:highlight w:val="none"/>
                    </w:rPr>
                  </w:pPr>
                  <w:r>
                    <w:rPr>
                      <w:color w:val="auto"/>
                      <w:spacing w:val="5"/>
                      <w:szCs w:val="21"/>
                      <w:highlight w:val="none"/>
                    </w:rPr>
                    <w:t>达标</w:t>
                  </w:r>
                </w:p>
              </w:tc>
            </w:tr>
            <w:tr w14:paraId="6BF4AA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72" w:type="pct"/>
                  <w:noWrap w:val="0"/>
                  <w:vAlign w:val="center"/>
                </w:tcPr>
                <w:p w14:paraId="39704BCA">
                  <w:pPr>
                    <w:spacing w:line="240" w:lineRule="auto"/>
                    <w:jc w:val="center"/>
                    <w:rPr>
                      <w:color w:val="auto"/>
                      <w:szCs w:val="21"/>
                      <w:highlight w:val="none"/>
                    </w:rPr>
                  </w:pPr>
                  <w:r>
                    <w:rPr>
                      <w:color w:val="auto"/>
                      <w:szCs w:val="21"/>
                      <w:highlight w:val="none"/>
                    </w:rPr>
                    <w:t>3</w:t>
                  </w:r>
                </w:p>
              </w:tc>
              <w:tc>
                <w:tcPr>
                  <w:tcW w:w="350" w:type="pct"/>
                  <w:vMerge w:val="continue"/>
                  <w:noWrap w:val="0"/>
                  <w:vAlign w:val="center"/>
                </w:tcPr>
                <w:p w14:paraId="21A7BBBB">
                  <w:pPr>
                    <w:spacing w:line="240" w:lineRule="auto"/>
                    <w:jc w:val="center"/>
                    <w:rPr>
                      <w:color w:val="auto"/>
                      <w:szCs w:val="21"/>
                      <w:highlight w:val="none"/>
                    </w:rPr>
                  </w:pPr>
                </w:p>
              </w:tc>
              <w:tc>
                <w:tcPr>
                  <w:tcW w:w="357" w:type="pct"/>
                  <w:noWrap w:val="0"/>
                  <w:vAlign w:val="center"/>
                </w:tcPr>
                <w:p w14:paraId="0ECDC601">
                  <w:pPr>
                    <w:spacing w:line="240" w:lineRule="auto"/>
                    <w:jc w:val="center"/>
                    <w:rPr>
                      <w:color w:val="auto"/>
                      <w:spacing w:val="5"/>
                      <w:szCs w:val="21"/>
                      <w:highlight w:val="none"/>
                    </w:rPr>
                  </w:pPr>
                  <w:r>
                    <w:rPr>
                      <w:color w:val="auto"/>
                      <w:spacing w:val="5"/>
                      <w:szCs w:val="21"/>
                      <w:highlight w:val="none"/>
                    </w:rPr>
                    <w:t>南</w:t>
                  </w:r>
                </w:p>
              </w:tc>
              <w:tc>
                <w:tcPr>
                  <w:tcW w:w="375" w:type="pct"/>
                  <w:noWrap w:val="0"/>
                  <w:vAlign w:val="center"/>
                </w:tcPr>
                <w:p w14:paraId="74974A46">
                  <w:pPr>
                    <w:spacing w:line="240" w:lineRule="auto"/>
                    <w:jc w:val="center"/>
                    <w:rPr>
                      <w:rFonts w:hint="default" w:eastAsia="宋体"/>
                      <w:color w:val="auto"/>
                      <w:spacing w:val="5"/>
                      <w:szCs w:val="21"/>
                      <w:highlight w:val="none"/>
                      <w:lang w:val="en-US" w:eastAsia="zh-CN"/>
                    </w:rPr>
                  </w:pPr>
                  <w:r>
                    <w:rPr>
                      <w:rFonts w:hint="eastAsia"/>
                      <w:color w:val="auto"/>
                      <w:spacing w:val="5"/>
                      <w:szCs w:val="21"/>
                      <w:highlight w:val="none"/>
                      <w:lang w:val="en-US" w:eastAsia="zh-CN"/>
                    </w:rPr>
                    <w:t>65</w:t>
                  </w:r>
                </w:p>
              </w:tc>
              <w:tc>
                <w:tcPr>
                  <w:tcW w:w="415" w:type="pct"/>
                  <w:vMerge w:val="continue"/>
                  <w:noWrap w:val="0"/>
                  <w:vAlign w:val="center"/>
                </w:tcPr>
                <w:p w14:paraId="017456F2">
                  <w:pPr>
                    <w:spacing w:line="240" w:lineRule="auto"/>
                    <w:jc w:val="center"/>
                    <w:rPr>
                      <w:color w:val="auto"/>
                      <w:szCs w:val="21"/>
                      <w:highlight w:val="none"/>
                    </w:rPr>
                  </w:pPr>
                </w:p>
              </w:tc>
              <w:tc>
                <w:tcPr>
                  <w:tcW w:w="643" w:type="pct"/>
                  <w:noWrap w:val="0"/>
                  <w:vAlign w:val="center"/>
                </w:tcPr>
                <w:p w14:paraId="60A2B257">
                  <w:pPr>
                    <w:spacing w:line="240" w:lineRule="auto"/>
                    <w:jc w:val="center"/>
                    <w:rPr>
                      <w:color w:val="auto"/>
                      <w:szCs w:val="21"/>
                      <w:highlight w:val="none"/>
                    </w:rPr>
                  </w:pPr>
                  <w:r>
                    <w:rPr>
                      <w:color w:val="auto"/>
                      <w:szCs w:val="21"/>
                      <w:highlight w:val="none"/>
                    </w:rPr>
                    <w:t>65</w:t>
                  </w:r>
                </w:p>
              </w:tc>
              <w:tc>
                <w:tcPr>
                  <w:tcW w:w="643" w:type="pct"/>
                  <w:noWrap w:val="0"/>
                  <w:vAlign w:val="center"/>
                </w:tcPr>
                <w:p w14:paraId="6ABC04AF">
                  <w:pPr>
                    <w:spacing w:line="240" w:lineRule="auto"/>
                    <w:jc w:val="center"/>
                    <w:rPr>
                      <w:rFonts w:hint="default" w:eastAsia="宋体"/>
                      <w:color w:val="auto"/>
                      <w:szCs w:val="21"/>
                      <w:highlight w:val="none"/>
                      <w:lang w:val="en-US" w:eastAsia="zh-CN"/>
                    </w:rPr>
                  </w:pPr>
                  <w:r>
                    <w:rPr>
                      <w:rFonts w:hint="eastAsia" w:eastAsia="宋体"/>
                      <w:color w:val="auto"/>
                      <w:szCs w:val="21"/>
                      <w:highlight w:val="none"/>
                      <w:lang w:val="en-US" w:eastAsia="zh-CN"/>
                    </w:rPr>
                    <w:t>56</w:t>
                  </w:r>
                </w:p>
              </w:tc>
              <w:tc>
                <w:tcPr>
                  <w:tcW w:w="643" w:type="pct"/>
                  <w:noWrap w:val="0"/>
                  <w:vAlign w:val="center"/>
                </w:tcPr>
                <w:p w14:paraId="152C5C0E">
                  <w:pPr>
                    <w:spacing w:line="240" w:lineRule="auto"/>
                    <w:jc w:val="center"/>
                    <w:rPr>
                      <w:color w:val="auto"/>
                      <w:szCs w:val="21"/>
                      <w:highlight w:val="none"/>
                    </w:rPr>
                  </w:pPr>
                  <w:r>
                    <w:rPr>
                      <w:rFonts w:hint="eastAsia"/>
                      <w:color w:val="auto"/>
                      <w:szCs w:val="21"/>
                      <w:highlight w:val="none"/>
                      <w:lang w:val="en-US" w:eastAsia="zh-CN"/>
                    </w:rPr>
                    <w:t>/</w:t>
                  </w:r>
                </w:p>
              </w:tc>
              <w:tc>
                <w:tcPr>
                  <w:tcW w:w="644" w:type="pct"/>
                  <w:noWrap w:val="0"/>
                  <w:vAlign w:val="center"/>
                </w:tcPr>
                <w:p w14:paraId="725D53BA">
                  <w:pPr>
                    <w:spacing w:line="240" w:lineRule="auto"/>
                    <w:jc w:val="center"/>
                    <w:rPr>
                      <w:color w:val="auto"/>
                      <w:szCs w:val="21"/>
                      <w:highlight w:val="none"/>
                    </w:rPr>
                  </w:pPr>
                  <w:r>
                    <w:rPr>
                      <w:rFonts w:hint="eastAsia" w:eastAsia="宋体"/>
                      <w:color w:val="auto"/>
                      <w:szCs w:val="21"/>
                      <w:highlight w:val="none"/>
                      <w:lang w:val="en-US" w:eastAsia="zh-CN"/>
                    </w:rPr>
                    <w:t>56</w:t>
                  </w:r>
                </w:p>
              </w:tc>
              <w:tc>
                <w:tcPr>
                  <w:tcW w:w="552" w:type="pct"/>
                  <w:noWrap w:val="0"/>
                  <w:vAlign w:val="center"/>
                </w:tcPr>
                <w:p w14:paraId="3B1622A9">
                  <w:pPr>
                    <w:spacing w:line="240" w:lineRule="auto"/>
                    <w:jc w:val="center"/>
                    <w:rPr>
                      <w:color w:val="auto"/>
                      <w:szCs w:val="21"/>
                      <w:highlight w:val="none"/>
                    </w:rPr>
                  </w:pPr>
                  <w:r>
                    <w:rPr>
                      <w:color w:val="auto"/>
                      <w:spacing w:val="5"/>
                      <w:szCs w:val="21"/>
                      <w:highlight w:val="none"/>
                    </w:rPr>
                    <w:t>达标</w:t>
                  </w:r>
                </w:p>
              </w:tc>
            </w:tr>
            <w:tr w14:paraId="198FC2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72" w:type="pct"/>
                  <w:noWrap w:val="0"/>
                  <w:vAlign w:val="center"/>
                </w:tcPr>
                <w:p w14:paraId="3BDCCAC1">
                  <w:pPr>
                    <w:spacing w:line="240" w:lineRule="auto"/>
                    <w:jc w:val="center"/>
                    <w:rPr>
                      <w:color w:val="auto"/>
                      <w:szCs w:val="21"/>
                      <w:highlight w:val="none"/>
                    </w:rPr>
                  </w:pPr>
                  <w:r>
                    <w:rPr>
                      <w:color w:val="auto"/>
                      <w:spacing w:val="1"/>
                      <w:szCs w:val="21"/>
                      <w:highlight w:val="none"/>
                    </w:rPr>
                    <w:t>4</w:t>
                  </w:r>
                </w:p>
              </w:tc>
              <w:tc>
                <w:tcPr>
                  <w:tcW w:w="350" w:type="pct"/>
                  <w:vMerge w:val="continue"/>
                  <w:noWrap w:val="0"/>
                  <w:vAlign w:val="center"/>
                </w:tcPr>
                <w:p w14:paraId="42ED2E33">
                  <w:pPr>
                    <w:spacing w:line="240" w:lineRule="auto"/>
                    <w:jc w:val="center"/>
                    <w:rPr>
                      <w:color w:val="auto"/>
                      <w:szCs w:val="21"/>
                      <w:highlight w:val="none"/>
                    </w:rPr>
                  </w:pPr>
                </w:p>
              </w:tc>
              <w:tc>
                <w:tcPr>
                  <w:tcW w:w="357" w:type="pct"/>
                  <w:noWrap w:val="0"/>
                  <w:vAlign w:val="center"/>
                </w:tcPr>
                <w:p w14:paraId="0FFD3B4B">
                  <w:pPr>
                    <w:spacing w:line="240" w:lineRule="auto"/>
                    <w:jc w:val="center"/>
                    <w:rPr>
                      <w:color w:val="auto"/>
                      <w:spacing w:val="5"/>
                      <w:szCs w:val="21"/>
                      <w:highlight w:val="none"/>
                    </w:rPr>
                  </w:pPr>
                  <w:r>
                    <w:rPr>
                      <w:color w:val="auto"/>
                      <w:spacing w:val="5"/>
                      <w:szCs w:val="21"/>
                      <w:highlight w:val="none"/>
                    </w:rPr>
                    <w:t>北</w:t>
                  </w:r>
                </w:p>
              </w:tc>
              <w:tc>
                <w:tcPr>
                  <w:tcW w:w="375" w:type="pct"/>
                  <w:noWrap w:val="0"/>
                  <w:vAlign w:val="center"/>
                </w:tcPr>
                <w:p w14:paraId="6BCF5C24">
                  <w:pPr>
                    <w:spacing w:line="240" w:lineRule="auto"/>
                    <w:jc w:val="center"/>
                    <w:rPr>
                      <w:rFonts w:hint="default" w:eastAsia="宋体"/>
                      <w:color w:val="auto"/>
                      <w:spacing w:val="5"/>
                      <w:szCs w:val="21"/>
                      <w:highlight w:val="none"/>
                      <w:lang w:val="en-US" w:eastAsia="zh-CN"/>
                    </w:rPr>
                  </w:pPr>
                  <w:r>
                    <w:rPr>
                      <w:rFonts w:hint="eastAsia"/>
                      <w:color w:val="auto"/>
                      <w:spacing w:val="5"/>
                      <w:szCs w:val="21"/>
                      <w:highlight w:val="none"/>
                      <w:lang w:val="en-US" w:eastAsia="zh-CN"/>
                    </w:rPr>
                    <w:t>55</w:t>
                  </w:r>
                </w:p>
              </w:tc>
              <w:tc>
                <w:tcPr>
                  <w:tcW w:w="415" w:type="pct"/>
                  <w:vMerge w:val="continue"/>
                  <w:noWrap w:val="0"/>
                  <w:vAlign w:val="center"/>
                </w:tcPr>
                <w:p w14:paraId="371B38B7">
                  <w:pPr>
                    <w:spacing w:line="240" w:lineRule="auto"/>
                    <w:jc w:val="center"/>
                    <w:rPr>
                      <w:rFonts w:hint="eastAsia"/>
                      <w:color w:val="auto"/>
                      <w:szCs w:val="21"/>
                      <w:highlight w:val="none"/>
                      <w:lang w:val="en-US" w:eastAsia="zh-CN"/>
                    </w:rPr>
                  </w:pPr>
                </w:p>
              </w:tc>
              <w:tc>
                <w:tcPr>
                  <w:tcW w:w="643" w:type="pct"/>
                  <w:noWrap w:val="0"/>
                  <w:vAlign w:val="center"/>
                </w:tcPr>
                <w:p w14:paraId="32E62227">
                  <w:pPr>
                    <w:spacing w:line="240" w:lineRule="auto"/>
                    <w:jc w:val="center"/>
                    <w:rPr>
                      <w:rFonts w:hint="default" w:eastAsia="宋体"/>
                      <w:color w:val="auto"/>
                      <w:szCs w:val="21"/>
                      <w:highlight w:val="none"/>
                      <w:lang w:val="en-US" w:eastAsia="zh-CN"/>
                    </w:rPr>
                  </w:pPr>
                  <w:r>
                    <w:rPr>
                      <w:rFonts w:hint="eastAsia"/>
                      <w:color w:val="auto"/>
                      <w:szCs w:val="21"/>
                      <w:highlight w:val="none"/>
                      <w:lang w:val="en-US" w:eastAsia="zh-CN"/>
                    </w:rPr>
                    <w:t>65</w:t>
                  </w:r>
                </w:p>
              </w:tc>
              <w:tc>
                <w:tcPr>
                  <w:tcW w:w="643" w:type="pct"/>
                  <w:noWrap w:val="0"/>
                  <w:vAlign w:val="center"/>
                </w:tcPr>
                <w:p w14:paraId="4DEB0F87">
                  <w:pPr>
                    <w:spacing w:line="240" w:lineRule="auto"/>
                    <w:jc w:val="center"/>
                    <w:rPr>
                      <w:rFonts w:hint="default" w:eastAsia="宋体"/>
                      <w:color w:val="auto"/>
                      <w:szCs w:val="21"/>
                      <w:highlight w:val="none"/>
                      <w:lang w:val="en-US" w:eastAsia="zh-CN"/>
                    </w:rPr>
                  </w:pPr>
                  <w:r>
                    <w:rPr>
                      <w:rFonts w:hint="eastAsia" w:eastAsia="宋体"/>
                      <w:color w:val="auto"/>
                      <w:szCs w:val="21"/>
                      <w:highlight w:val="none"/>
                      <w:lang w:val="en-US" w:eastAsia="zh-CN"/>
                    </w:rPr>
                    <w:t>57</w:t>
                  </w:r>
                </w:p>
              </w:tc>
              <w:tc>
                <w:tcPr>
                  <w:tcW w:w="643" w:type="pct"/>
                  <w:noWrap w:val="0"/>
                  <w:vAlign w:val="center"/>
                </w:tcPr>
                <w:p w14:paraId="43F6265D">
                  <w:pPr>
                    <w:spacing w:line="240" w:lineRule="auto"/>
                    <w:jc w:val="center"/>
                    <w:rPr>
                      <w:rFonts w:hint="eastAsia"/>
                      <w:color w:val="auto"/>
                      <w:szCs w:val="21"/>
                      <w:highlight w:val="none"/>
                    </w:rPr>
                  </w:pPr>
                  <w:r>
                    <w:rPr>
                      <w:rFonts w:hint="eastAsia"/>
                      <w:color w:val="auto"/>
                      <w:szCs w:val="21"/>
                      <w:highlight w:val="none"/>
                      <w:lang w:val="en-US" w:eastAsia="zh-CN"/>
                    </w:rPr>
                    <w:t>/</w:t>
                  </w:r>
                </w:p>
              </w:tc>
              <w:tc>
                <w:tcPr>
                  <w:tcW w:w="644" w:type="pct"/>
                  <w:noWrap w:val="0"/>
                  <w:vAlign w:val="center"/>
                </w:tcPr>
                <w:p w14:paraId="3804E38D">
                  <w:pPr>
                    <w:spacing w:line="240" w:lineRule="auto"/>
                    <w:jc w:val="center"/>
                    <w:rPr>
                      <w:rFonts w:hint="eastAsia"/>
                      <w:color w:val="auto"/>
                      <w:szCs w:val="21"/>
                      <w:highlight w:val="none"/>
                    </w:rPr>
                  </w:pPr>
                  <w:r>
                    <w:rPr>
                      <w:rFonts w:hint="eastAsia" w:eastAsia="宋体"/>
                      <w:color w:val="auto"/>
                      <w:szCs w:val="21"/>
                      <w:highlight w:val="none"/>
                      <w:lang w:val="en-US" w:eastAsia="zh-CN"/>
                    </w:rPr>
                    <w:t>57</w:t>
                  </w:r>
                </w:p>
              </w:tc>
              <w:tc>
                <w:tcPr>
                  <w:tcW w:w="552" w:type="pct"/>
                  <w:noWrap w:val="0"/>
                  <w:vAlign w:val="center"/>
                </w:tcPr>
                <w:p w14:paraId="6F9BA7A5">
                  <w:pPr>
                    <w:spacing w:line="240" w:lineRule="auto"/>
                    <w:jc w:val="center"/>
                    <w:rPr>
                      <w:color w:val="auto"/>
                      <w:szCs w:val="21"/>
                      <w:highlight w:val="none"/>
                    </w:rPr>
                  </w:pPr>
                  <w:r>
                    <w:rPr>
                      <w:color w:val="auto"/>
                      <w:spacing w:val="5"/>
                      <w:szCs w:val="21"/>
                      <w:highlight w:val="none"/>
                    </w:rPr>
                    <w:t>达标</w:t>
                  </w:r>
                </w:p>
              </w:tc>
            </w:tr>
          </w:tbl>
          <w:p w14:paraId="03F47C01">
            <w:pPr>
              <w:rPr>
                <w:color w:val="auto"/>
                <w:highlight w:val="none"/>
              </w:rPr>
            </w:pPr>
          </w:p>
          <w:p w14:paraId="04C40688">
            <w:pPr>
              <w:autoSpaceDE w:val="0"/>
              <w:autoSpaceDN w:val="0"/>
              <w:adjustRightInd w:val="0"/>
              <w:ind w:firstLine="480" w:firstLineChars="200"/>
              <w:jc w:val="both"/>
              <w:rPr>
                <w:color w:val="auto"/>
                <w:kern w:val="0"/>
                <w:sz w:val="24"/>
                <w:highlight w:val="none"/>
              </w:rPr>
            </w:pPr>
            <w:r>
              <w:rPr>
                <w:color w:val="auto"/>
                <w:kern w:val="0"/>
                <w:sz w:val="24"/>
                <w:highlight w:val="none"/>
              </w:rPr>
              <w:t>由上表可见，</w:t>
            </w:r>
            <w:r>
              <w:rPr>
                <w:rFonts w:hint="eastAsia"/>
                <w:color w:val="auto"/>
                <w:kern w:val="0"/>
                <w:sz w:val="24"/>
                <w:highlight w:val="none"/>
              </w:rPr>
              <w:t>本</w:t>
            </w:r>
            <w:r>
              <w:rPr>
                <w:color w:val="auto"/>
                <w:kern w:val="0"/>
                <w:sz w:val="24"/>
                <w:highlight w:val="none"/>
              </w:rPr>
              <w:t>项目产生的噪声经基础减</w:t>
            </w:r>
            <w:r>
              <w:rPr>
                <w:rFonts w:hint="eastAsia"/>
                <w:color w:val="auto"/>
                <w:kern w:val="0"/>
                <w:sz w:val="24"/>
                <w:highlight w:val="none"/>
              </w:rPr>
              <w:t>振</w:t>
            </w:r>
            <w:r>
              <w:rPr>
                <w:color w:val="auto"/>
                <w:kern w:val="0"/>
                <w:sz w:val="24"/>
                <w:highlight w:val="none"/>
              </w:rPr>
              <w:t>和距离衰减</w:t>
            </w:r>
            <w:r>
              <w:rPr>
                <w:rFonts w:hint="eastAsia"/>
                <w:color w:val="auto"/>
                <w:kern w:val="0"/>
                <w:sz w:val="24"/>
                <w:highlight w:val="none"/>
              </w:rPr>
              <w:t>等措施</w:t>
            </w:r>
            <w:r>
              <w:rPr>
                <w:color w:val="auto"/>
                <w:kern w:val="0"/>
                <w:sz w:val="24"/>
                <w:highlight w:val="none"/>
              </w:rPr>
              <w:t>后，厂界噪声</w:t>
            </w:r>
            <w:r>
              <w:rPr>
                <w:rFonts w:hint="eastAsia"/>
                <w:color w:val="auto"/>
                <w:kern w:val="0"/>
                <w:sz w:val="24"/>
                <w:highlight w:val="none"/>
              </w:rPr>
              <w:t>预测值达标。</w:t>
            </w:r>
            <w:r>
              <w:rPr>
                <w:rFonts w:hint="eastAsia"/>
                <w:color w:val="auto"/>
                <w:sz w:val="24"/>
                <w:highlight w:val="none"/>
              </w:rPr>
              <w:t>厂界</w:t>
            </w:r>
            <w:r>
              <w:rPr>
                <w:rFonts w:hint="eastAsia"/>
                <w:color w:val="auto"/>
                <w:sz w:val="24"/>
                <w:highlight w:val="none"/>
                <w:lang w:eastAsia="zh-CN"/>
              </w:rPr>
              <w:t>四周</w:t>
            </w:r>
            <w:r>
              <w:rPr>
                <w:rFonts w:hint="eastAsia"/>
                <w:color w:val="auto"/>
                <w:sz w:val="24"/>
                <w:highlight w:val="none"/>
              </w:rPr>
              <w:t>噪声执行《工业企业厂界环境噪声排放标准》（GB12348-2008）的</w:t>
            </w:r>
            <w:r>
              <w:rPr>
                <w:rFonts w:hint="eastAsia"/>
                <w:color w:val="auto"/>
                <w:sz w:val="24"/>
                <w:highlight w:val="none"/>
                <w:lang w:val="en-US" w:eastAsia="zh-CN"/>
              </w:rPr>
              <w:t>3</w:t>
            </w:r>
            <w:r>
              <w:rPr>
                <w:rFonts w:hint="eastAsia"/>
                <w:color w:val="auto"/>
                <w:sz w:val="24"/>
                <w:highlight w:val="none"/>
              </w:rPr>
              <w:t>类标准要求</w:t>
            </w:r>
            <w:r>
              <w:rPr>
                <w:rFonts w:hint="eastAsia"/>
                <w:color w:val="auto"/>
                <w:sz w:val="24"/>
                <w:highlight w:val="none"/>
                <w:lang w:eastAsia="zh-CN"/>
              </w:rPr>
              <w:t>。</w:t>
            </w:r>
            <w:r>
              <w:rPr>
                <w:color w:val="auto"/>
                <w:kern w:val="0"/>
                <w:sz w:val="24"/>
                <w:highlight w:val="none"/>
              </w:rPr>
              <w:t>故本项目的建设对周边声环境质量影响较小。</w:t>
            </w:r>
          </w:p>
          <w:p w14:paraId="0058D9BF">
            <w:pPr>
              <w:adjustRightInd w:val="0"/>
              <w:spacing w:line="360" w:lineRule="auto"/>
              <w:ind w:firstLine="482" w:firstLineChars="200"/>
              <w:rPr>
                <w:b/>
                <w:color w:val="auto"/>
                <w:sz w:val="24"/>
              </w:rPr>
            </w:pPr>
            <w:r>
              <w:rPr>
                <w:b/>
                <w:bCs/>
                <w:color w:val="auto"/>
                <w:sz w:val="24"/>
              </w:rPr>
              <w:t>（</w:t>
            </w:r>
            <w:r>
              <w:rPr>
                <w:rFonts w:hint="eastAsia"/>
                <w:b/>
                <w:bCs/>
                <w:color w:val="auto"/>
                <w:sz w:val="24"/>
                <w:lang w:val="en-US" w:eastAsia="zh-CN"/>
              </w:rPr>
              <w:t>4</w:t>
            </w:r>
            <w:r>
              <w:rPr>
                <w:b/>
                <w:bCs/>
                <w:color w:val="auto"/>
                <w:sz w:val="24"/>
              </w:rPr>
              <w:t>）</w:t>
            </w:r>
            <w:r>
              <w:rPr>
                <w:b/>
                <w:color w:val="auto"/>
                <w:sz w:val="24"/>
              </w:rPr>
              <w:t>监测计划</w:t>
            </w:r>
          </w:p>
          <w:p w14:paraId="7C10DD9C">
            <w:pPr>
              <w:spacing w:line="360" w:lineRule="auto"/>
              <w:ind w:firstLine="480" w:firstLineChars="200"/>
              <w:rPr>
                <w:color w:val="auto"/>
                <w:sz w:val="24"/>
              </w:rPr>
            </w:pPr>
            <w:r>
              <w:rPr>
                <w:color w:val="auto"/>
                <w:sz w:val="24"/>
              </w:rPr>
              <w:t>根据</w:t>
            </w:r>
            <w:r>
              <w:rPr>
                <w:rFonts w:hint="eastAsia"/>
                <w:color w:val="auto"/>
                <w:sz w:val="24"/>
              </w:rPr>
              <w:t>《排污许可证申请与核发技术规范 工业噪声》（HJ1301—2023）</w:t>
            </w:r>
            <w:r>
              <w:rPr>
                <w:color w:val="auto"/>
                <w:sz w:val="24"/>
              </w:rPr>
              <w:t>，噪声监测计划见下表：</w:t>
            </w:r>
          </w:p>
          <w:p w14:paraId="4DE02D29">
            <w:pPr>
              <w:pStyle w:val="68"/>
              <w:numPr>
                <w:ilvl w:val="0"/>
                <w:numId w:val="19"/>
              </w:numPr>
              <w:spacing w:line="360" w:lineRule="auto"/>
              <w:ind w:left="0" w:leftChars="0" w:firstLine="0" w:firstLineChars="0"/>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  噪声监测计划一览表</w:t>
            </w:r>
          </w:p>
          <w:tbl>
            <w:tblPr>
              <w:tblStyle w:val="2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63"/>
              <w:gridCol w:w="1539"/>
              <w:gridCol w:w="1217"/>
              <w:gridCol w:w="1263"/>
              <w:gridCol w:w="3379"/>
            </w:tblGrid>
            <w:tr w14:paraId="0ED092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8" w:type="pct"/>
                  <w:noWrap w:val="0"/>
                  <w:vAlign w:val="center"/>
                </w:tcPr>
                <w:p w14:paraId="4C1D77B7">
                  <w:pPr>
                    <w:keepNext w:val="0"/>
                    <w:keepLines w:val="0"/>
                    <w:pageBreakBefore w:val="0"/>
                    <w:widowControl w:val="0"/>
                    <w:kinsoku/>
                    <w:wordWrap/>
                    <w:overflowPunct/>
                    <w:topLinePunct w:val="0"/>
                    <w:autoSpaceDE/>
                    <w:autoSpaceDN/>
                    <w:bidi w:val="0"/>
                    <w:adjustRightInd/>
                    <w:snapToGrid/>
                    <w:spacing w:line="240" w:lineRule="auto"/>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环境要素</w:t>
                  </w:r>
                </w:p>
              </w:tc>
              <w:tc>
                <w:tcPr>
                  <w:tcW w:w="909" w:type="pct"/>
                  <w:noWrap w:val="0"/>
                  <w:vAlign w:val="center"/>
                </w:tcPr>
                <w:p w14:paraId="59A1A745">
                  <w:pPr>
                    <w:keepNext w:val="0"/>
                    <w:keepLines w:val="0"/>
                    <w:pageBreakBefore w:val="0"/>
                    <w:widowControl w:val="0"/>
                    <w:kinsoku/>
                    <w:wordWrap/>
                    <w:overflowPunct/>
                    <w:topLinePunct w:val="0"/>
                    <w:autoSpaceDE/>
                    <w:autoSpaceDN/>
                    <w:bidi w:val="0"/>
                    <w:adjustRightInd/>
                    <w:snapToGrid/>
                    <w:spacing w:line="240" w:lineRule="auto"/>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监测位置</w:t>
                  </w:r>
                </w:p>
              </w:tc>
              <w:tc>
                <w:tcPr>
                  <w:tcW w:w="719" w:type="pct"/>
                  <w:noWrap w:val="0"/>
                  <w:vAlign w:val="center"/>
                </w:tcPr>
                <w:p w14:paraId="68ECD000">
                  <w:pPr>
                    <w:keepNext w:val="0"/>
                    <w:keepLines w:val="0"/>
                    <w:pageBreakBefore w:val="0"/>
                    <w:widowControl w:val="0"/>
                    <w:kinsoku/>
                    <w:wordWrap/>
                    <w:overflowPunct/>
                    <w:topLinePunct w:val="0"/>
                    <w:autoSpaceDE/>
                    <w:autoSpaceDN/>
                    <w:bidi w:val="0"/>
                    <w:adjustRightInd/>
                    <w:snapToGrid/>
                    <w:spacing w:line="240" w:lineRule="auto"/>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监测项目</w:t>
                  </w:r>
                </w:p>
              </w:tc>
              <w:tc>
                <w:tcPr>
                  <w:tcW w:w="746" w:type="pct"/>
                  <w:noWrap w:val="0"/>
                  <w:vAlign w:val="center"/>
                </w:tcPr>
                <w:p w14:paraId="77211E1F">
                  <w:pPr>
                    <w:keepNext w:val="0"/>
                    <w:keepLines w:val="0"/>
                    <w:pageBreakBefore w:val="0"/>
                    <w:widowControl w:val="0"/>
                    <w:kinsoku/>
                    <w:wordWrap/>
                    <w:overflowPunct/>
                    <w:topLinePunct w:val="0"/>
                    <w:autoSpaceDE/>
                    <w:autoSpaceDN/>
                    <w:bidi w:val="0"/>
                    <w:adjustRightInd/>
                    <w:snapToGrid/>
                    <w:spacing w:line="240" w:lineRule="auto"/>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监测频率</w:t>
                  </w:r>
                </w:p>
              </w:tc>
              <w:tc>
                <w:tcPr>
                  <w:tcW w:w="1996" w:type="pct"/>
                  <w:noWrap w:val="0"/>
                  <w:vAlign w:val="center"/>
                </w:tcPr>
                <w:p w14:paraId="0B8D49A7">
                  <w:pPr>
                    <w:keepNext w:val="0"/>
                    <w:keepLines w:val="0"/>
                    <w:pageBreakBefore w:val="0"/>
                    <w:widowControl w:val="0"/>
                    <w:kinsoku/>
                    <w:wordWrap/>
                    <w:overflowPunct/>
                    <w:topLinePunct w:val="0"/>
                    <w:autoSpaceDE/>
                    <w:autoSpaceDN/>
                    <w:bidi w:val="0"/>
                    <w:adjustRightInd/>
                    <w:snapToGrid/>
                    <w:spacing w:line="240" w:lineRule="auto"/>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执行标准</w:t>
                  </w:r>
                </w:p>
              </w:tc>
            </w:tr>
            <w:tr w14:paraId="69BAEE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8" w:type="pct"/>
                  <w:noWrap w:val="0"/>
                  <w:vAlign w:val="center"/>
                </w:tcPr>
                <w:p w14:paraId="3B140861">
                  <w:pPr>
                    <w:keepNext w:val="0"/>
                    <w:keepLines w:val="0"/>
                    <w:pageBreakBefore w:val="0"/>
                    <w:widowControl w:val="0"/>
                    <w:kinsoku/>
                    <w:wordWrap/>
                    <w:overflowPunct/>
                    <w:topLinePunct w:val="0"/>
                    <w:autoSpaceDE/>
                    <w:autoSpaceDN/>
                    <w:bidi w:val="0"/>
                    <w:adjustRightInd/>
                    <w:snapToGrid/>
                    <w:spacing w:line="240" w:lineRule="auto"/>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噪声</w:t>
                  </w:r>
                </w:p>
              </w:tc>
              <w:tc>
                <w:tcPr>
                  <w:tcW w:w="909" w:type="pct"/>
                  <w:noWrap w:val="0"/>
                  <w:vAlign w:val="center"/>
                </w:tcPr>
                <w:p w14:paraId="4BE264F4">
                  <w:pPr>
                    <w:keepNext w:val="0"/>
                    <w:keepLines w:val="0"/>
                    <w:pageBreakBefore w:val="0"/>
                    <w:widowControl w:val="0"/>
                    <w:kinsoku/>
                    <w:wordWrap/>
                    <w:overflowPunct/>
                    <w:topLinePunct w:val="0"/>
                    <w:autoSpaceDE/>
                    <w:autoSpaceDN/>
                    <w:bidi w:val="0"/>
                    <w:adjustRightInd/>
                    <w:snapToGrid/>
                    <w:spacing w:line="240" w:lineRule="auto"/>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厂界</w:t>
                  </w:r>
                  <w:r>
                    <w:rPr>
                      <w:rFonts w:hint="eastAsia" w:ascii="Times New Roman" w:hAnsi="Times New Roman" w:eastAsia="宋体" w:cs="Times New Roman"/>
                      <w:color w:val="auto"/>
                      <w:sz w:val="21"/>
                      <w:szCs w:val="21"/>
                      <w:lang w:eastAsia="zh-CN"/>
                    </w:rPr>
                    <w:t>外四周</w:t>
                  </w:r>
                  <w:r>
                    <w:rPr>
                      <w:rFonts w:hint="eastAsia" w:ascii="Times New Roman" w:hAnsi="Times New Roman" w:eastAsia="宋体" w:cs="Times New Roman"/>
                      <w:color w:val="auto"/>
                      <w:sz w:val="21"/>
                      <w:szCs w:val="21"/>
                      <w:lang w:val="en-US" w:eastAsia="zh-CN"/>
                    </w:rPr>
                    <w:t>1m</w:t>
                  </w:r>
                </w:p>
              </w:tc>
              <w:tc>
                <w:tcPr>
                  <w:tcW w:w="719" w:type="pct"/>
                  <w:noWrap w:val="0"/>
                  <w:vAlign w:val="center"/>
                </w:tcPr>
                <w:p w14:paraId="57B51CA9">
                  <w:pPr>
                    <w:keepNext w:val="0"/>
                    <w:keepLines w:val="0"/>
                    <w:pageBreakBefore w:val="0"/>
                    <w:widowControl w:val="0"/>
                    <w:kinsoku/>
                    <w:wordWrap/>
                    <w:overflowPunct/>
                    <w:topLinePunct w:val="0"/>
                    <w:autoSpaceDE/>
                    <w:autoSpaceDN/>
                    <w:bidi w:val="0"/>
                    <w:adjustRightInd/>
                    <w:snapToGrid/>
                    <w:spacing w:line="240" w:lineRule="auto"/>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Leq（A）</w:t>
                  </w:r>
                </w:p>
              </w:tc>
              <w:tc>
                <w:tcPr>
                  <w:tcW w:w="746" w:type="pct"/>
                  <w:noWrap w:val="0"/>
                  <w:vAlign w:val="center"/>
                </w:tcPr>
                <w:p w14:paraId="57BC93B7">
                  <w:pPr>
                    <w:keepNext w:val="0"/>
                    <w:keepLines w:val="0"/>
                    <w:pageBreakBefore w:val="0"/>
                    <w:widowControl w:val="0"/>
                    <w:kinsoku/>
                    <w:wordWrap/>
                    <w:overflowPunct/>
                    <w:topLinePunct w:val="0"/>
                    <w:autoSpaceDE/>
                    <w:autoSpaceDN/>
                    <w:bidi w:val="0"/>
                    <w:adjustRightInd/>
                    <w:snapToGrid/>
                    <w:spacing w:line="240" w:lineRule="auto"/>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1次/季度</w:t>
                  </w:r>
                </w:p>
              </w:tc>
              <w:tc>
                <w:tcPr>
                  <w:tcW w:w="1996" w:type="pct"/>
                  <w:noWrap w:val="0"/>
                  <w:vAlign w:val="center"/>
                </w:tcPr>
                <w:p w14:paraId="726739D2">
                  <w:pPr>
                    <w:keepNext w:val="0"/>
                    <w:keepLines w:val="0"/>
                    <w:pageBreakBefore w:val="0"/>
                    <w:widowControl w:val="0"/>
                    <w:kinsoku/>
                    <w:wordWrap/>
                    <w:overflowPunct/>
                    <w:topLinePunct w:val="0"/>
                    <w:autoSpaceDE/>
                    <w:autoSpaceDN/>
                    <w:bidi w:val="0"/>
                    <w:adjustRightInd/>
                    <w:snapToGrid/>
                    <w:spacing w:line="240" w:lineRule="auto"/>
                    <w:jc w:val="center"/>
                    <w:textAlignment w:val="baseline"/>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《工业企业厂界环境噪声排放标准》（GB12348-2008）中的</w:t>
                  </w:r>
                  <w:r>
                    <w:rPr>
                      <w:rFonts w:hint="eastAsia" w:ascii="Times New Roman" w:hAnsi="Times New Roman" w:eastAsia="宋体" w:cs="Times New Roman"/>
                      <w:color w:val="auto"/>
                      <w:sz w:val="21"/>
                      <w:szCs w:val="21"/>
                      <w:lang w:val="en-US" w:eastAsia="zh-CN"/>
                    </w:rPr>
                    <w:t>3</w:t>
                  </w:r>
                  <w:r>
                    <w:rPr>
                      <w:rFonts w:hint="default" w:ascii="Times New Roman" w:hAnsi="Times New Roman" w:eastAsia="宋体" w:cs="Times New Roman"/>
                      <w:color w:val="auto"/>
                      <w:sz w:val="21"/>
                      <w:szCs w:val="21"/>
                    </w:rPr>
                    <w:t>类</w:t>
                  </w:r>
                </w:p>
              </w:tc>
            </w:tr>
          </w:tbl>
          <w:p w14:paraId="0B7A1A56">
            <w:pPr>
              <w:autoSpaceDE w:val="0"/>
              <w:autoSpaceDN w:val="0"/>
              <w:adjustRightInd w:val="0"/>
              <w:ind w:firstLine="480" w:firstLineChars="200"/>
              <w:rPr>
                <w:color w:val="auto"/>
                <w:kern w:val="0"/>
                <w:sz w:val="24"/>
                <w:highlight w:val="none"/>
              </w:rPr>
            </w:pPr>
          </w:p>
          <w:p w14:paraId="455F2432">
            <w:pPr>
              <w:pStyle w:val="62"/>
              <w:rPr>
                <w:color w:val="auto"/>
                <w:highlight w:val="none"/>
              </w:rPr>
            </w:pPr>
            <w:r>
              <w:rPr>
                <w:rFonts w:hint="eastAsia"/>
                <w:color w:val="auto"/>
                <w:highlight w:val="none"/>
              </w:rPr>
              <w:t>4、</w:t>
            </w:r>
            <w:r>
              <w:rPr>
                <w:color w:val="auto"/>
                <w:highlight w:val="none"/>
              </w:rPr>
              <w:t>固体废物</w:t>
            </w:r>
          </w:p>
          <w:p w14:paraId="3645D664">
            <w:pPr>
              <w:autoSpaceDE w:val="0"/>
              <w:autoSpaceDN w:val="0"/>
              <w:adjustRightInd w:val="0"/>
              <w:ind w:firstLine="480" w:firstLineChars="200"/>
              <w:rPr>
                <w:rFonts w:hint="eastAsia" w:eastAsia="宋体"/>
                <w:color w:val="auto"/>
                <w:kern w:val="0"/>
                <w:sz w:val="24"/>
                <w:highlight w:val="none"/>
                <w:lang w:eastAsia="zh-CN"/>
              </w:rPr>
            </w:pPr>
            <w:r>
              <w:rPr>
                <w:rFonts w:hint="eastAsia"/>
                <w:color w:val="auto"/>
                <w:kern w:val="0"/>
                <w:sz w:val="24"/>
                <w:highlight w:val="none"/>
                <w:lang w:eastAsia="zh-CN"/>
              </w:rPr>
              <w:t>营运期固体废物主要为生活垃圾、一般工业固体废物和危险废物。</w:t>
            </w:r>
          </w:p>
          <w:p w14:paraId="5899B4B6">
            <w:pPr>
              <w:autoSpaceDE w:val="0"/>
              <w:autoSpaceDN w:val="0"/>
              <w:adjustRightInd w:val="0"/>
              <w:ind w:firstLine="480" w:firstLineChars="200"/>
              <w:rPr>
                <w:rFonts w:hint="eastAsia" w:eastAsia="宋体"/>
                <w:color w:val="auto"/>
                <w:kern w:val="0"/>
                <w:sz w:val="24"/>
                <w:highlight w:val="none"/>
                <w:lang w:eastAsia="zh-CN"/>
              </w:rPr>
            </w:pPr>
            <w:r>
              <w:rPr>
                <w:rFonts w:hint="eastAsia"/>
                <w:color w:val="auto"/>
                <w:kern w:val="0"/>
                <w:sz w:val="24"/>
                <w:highlight w:val="none"/>
                <w:lang w:eastAsia="zh-CN"/>
              </w:rPr>
              <w:t>一般工业固体废物有工艺过程产生的废木料、除尘器收尘灰、地面收集尘、废包装膜、废布袋。</w:t>
            </w:r>
          </w:p>
          <w:p w14:paraId="69090D1B">
            <w:pPr>
              <w:autoSpaceDE w:val="0"/>
              <w:autoSpaceDN w:val="0"/>
              <w:adjustRightInd w:val="0"/>
              <w:ind w:firstLine="480" w:firstLineChars="200"/>
              <w:rPr>
                <w:rFonts w:hint="default" w:eastAsia="宋体"/>
                <w:color w:val="auto"/>
                <w:kern w:val="0"/>
                <w:sz w:val="24"/>
                <w:highlight w:val="none"/>
                <w:lang w:val="en-US" w:eastAsia="zh-CN"/>
              </w:rPr>
            </w:pPr>
            <w:r>
              <w:rPr>
                <w:rFonts w:hint="eastAsia"/>
                <w:color w:val="auto"/>
                <w:kern w:val="0"/>
                <w:sz w:val="24"/>
                <w:highlight w:val="none"/>
                <w:lang w:eastAsia="zh-CN"/>
              </w:rPr>
              <w:t>危险废物为废活性炭、废</w:t>
            </w:r>
            <w:r>
              <w:rPr>
                <w:rFonts w:hint="eastAsia"/>
                <w:color w:val="auto"/>
                <w:kern w:val="0"/>
                <w:sz w:val="24"/>
                <w:highlight w:val="none"/>
                <w:lang w:val="en-US" w:eastAsia="zh-CN"/>
              </w:rPr>
              <w:t>UV灯管、废胶渣、废漆（胶）桶、漆渣、废辊筒。</w:t>
            </w:r>
          </w:p>
          <w:p w14:paraId="6163D916">
            <w:pPr>
              <w:autoSpaceDE w:val="0"/>
              <w:autoSpaceDN w:val="0"/>
              <w:adjustRightInd w:val="0"/>
              <w:ind w:firstLine="480" w:firstLineChars="200"/>
              <w:rPr>
                <w:rFonts w:hint="default" w:ascii="Times New Roman" w:hAnsi="Times New Roman" w:eastAsia="宋体" w:cs="Times New Roman"/>
                <w:color w:val="auto"/>
                <w:kern w:val="0"/>
                <w:sz w:val="24"/>
                <w:highlight w:val="none"/>
                <w:lang w:eastAsia="zh-CN"/>
              </w:rPr>
            </w:pPr>
            <w:r>
              <w:rPr>
                <w:rFonts w:hint="eastAsia" w:ascii="Times New Roman" w:hAnsi="Times New Roman" w:eastAsia="宋体" w:cs="Times New Roman"/>
                <w:color w:val="auto"/>
                <w:kern w:val="0"/>
                <w:sz w:val="24"/>
                <w:highlight w:val="none"/>
                <w:lang w:eastAsia="zh-CN"/>
              </w:rPr>
              <w:t>（</w:t>
            </w:r>
            <w:r>
              <w:rPr>
                <w:rFonts w:hint="eastAsia" w:ascii="Times New Roman" w:hAnsi="Times New Roman" w:eastAsia="宋体" w:cs="Times New Roman"/>
                <w:color w:val="auto"/>
                <w:kern w:val="0"/>
                <w:sz w:val="24"/>
                <w:highlight w:val="none"/>
                <w:lang w:val="en-US" w:eastAsia="zh-CN"/>
              </w:rPr>
              <w:t>1</w:t>
            </w:r>
            <w:r>
              <w:rPr>
                <w:rFonts w:hint="eastAsia" w:ascii="Times New Roman" w:hAnsi="Times New Roman" w:eastAsia="宋体" w:cs="Times New Roman"/>
                <w:color w:val="auto"/>
                <w:kern w:val="0"/>
                <w:sz w:val="24"/>
                <w:highlight w:val="none"/>
                <w:lang w:eastAsia="zh-CN"/>
              </w:rPr>
              <w:t>）</w:t>
            </w:r>
            <w:r>
              <w:rPr>
                <w:rFonts w:hint="default" w:ascii="Times New Roman" w:hAnsi="Times New Roman" w:eastAsia="宋体" w:cs="Times New Roman"/>
                <w:color w:val="auto"/>
                <w:kern w:val="0"/>
                <w:sz w:val="24"/>
                <w:highlight w:val="none"/>
                <w:lang w:eastAsia="zh-CN"/>
              </w:rPr>
              <w:t>生活垃圾</w:t>
            </w:r>
          </w:p>
          <w:p w14:paraId="4ED593EF">
            <w:pPr>
              <w:autoSpaceDE w:val="0"/>
              <w:autoSpaceDN w:val="0"/>
              <w:adjustRightInd w:val="0"/>
              <w:ind w:firstLine="480" w:firstLineChars="200"/>
              <w:rPr>
                <w:rFonts w:hint="default" w:ascii="Times New Roman" w:hAnsi="Times New Roman" w:eastAsia="宋体" w:cs="Times New Roman"/>
                <w:color w:val="auto"/>
                <w:kern w:val="0"/>
                <w:sz w:val="24"/>
                <w:highlight w:val="none"/>
                <w:lang w:eastAsia="zh-CN"/>
              </w:rPr>
            </w:pPr>
            <w:r>
              <w:rPr>
                <w:rFonts w:hint="default" w:ascii="Times New Roman" w:hAnsi="Times New Roman" w:eastAsia="宋体" w:cs="Times New Roman"/>
                <w:color w:val="auto"/>
                <w:kern w:val="0"/>
                <w:sz w:val="24"/>
                <w:highlight w:val="none"/>
                <w:lang w:eastAsia="zh-CN"/>
              </w:rPr>
              <w:t>本项目劳动定员为</w:t>
            </w:r>
            <w:r>
              <w:rPr>
                <w:rFonts w:hint="eastAsia" w:ascii="Times New Roman" w:hAnsi="Times New Roman" w:eastAsia="宋体" w:cs="Times New Roman"/>
                <w:color w:val="auto"/>
                <w:kern w:val="0"/>
                <w:sz w:val="24"/>
                <w:highlight w:val="none"/>
                <w:lang w:val="en-US" w:eastAsia="zh-CN"/>
              </w:rPr>
              <w:t>20</w:t>
            </w:r>
            <w:r>
              <w:rPr>
                <w:rFonts w:hint="default" w:ascii="Times New Roman" w:hAnsi="Times New Roman" w:eastAsia="宋体" w:cs="Times New Roman"/>
                <w:color w:val="auto"/>
                <w:kern w:val="0"/>
                <w:sz w:val="24"/>
                <w:highlight w:val="none"/>
                <w:lang w:eastAsia="zh-CN"/>
              </w:rPr>
              <w:t>人，生活垃圾产生量按0.5kg/人·d计算，则职工生活垃圾产生量为</w:t>
            </w:r>
            <w:r>
              <w:rPr>
                <w:rFonts w:hint="eastAsia" w:ascii="Times New Roman" w:hAnsi="Times New Roman" w:eastAsia="宋体" w:cs="Times New Roman"/>
                <w:color w:val="auto"/>
                <w:kern w:val="0"/>
                <w:sz w:val="24"/>
                <w:highlight w:val="none"/>
                <w:lang w:val="en-US" w:eastAsia="zh-CN"/>
              </w:rPr>
              <w:t>3.3</w:t>
            </w:r>
            <w:r>
              <w:rPr>
                <w:rFonts w:hint="default" w:ascii="Times New Roman" w:hAnsi="Times New Roman" w:eastAsia="宋体" w:cs="Times New Roman"/>
                <w:color w:val="auto"/>
                <w:kern w:val="0"/>
                <w:sz w:val="24"/>
                <w:highlight w:val="none"/>
                <w:lang w:eastAsia="zh-CN"/>
              </w:rPr>
              <w:t>t/a。生活垃圾收集至自备的垃圾收集桶，环卫部门统一清运。</w:t>
            </w:r>
          </w:p>
          <w:p w14:paraId="1AA0AF27">
            <w:pPr>
              <w:numPr>
                <w:ilvl w:val="0"/>
                <w:numId w:val="0"/>
              </w:numPr>
              <w:autoSpaceDE w:val="0"/>
              <w:autoSpaceDN w:val="0"/>
              <w:adjustRightInd w:val="0"/>
              <w:ind w:firstLine="480" w:firstLineChars="200"/>
              <w:rPr>
                <w:rFonts w:hint="eastAsia"/>
                <w:color w:val="auto"/>
                <w:kern w:val="0"/>
                <w:sz w:val="24"/>
                <w:highlight w:val="none"/>
                <w:lang w:eastAsia="zh-CN"/>
              </w:rPr>
            </w:pPr>
            <w:r>
              <w:rPr>
                <w:rFonts w:hint="eastAsia"/>
                <w:color w:val="auto"/>
                <w:kern w:val="0"/>
                <w:sz w:val="24"/>
                <w:highlight w:val="none"/>
                <w:lang w:eastAsia="zh-CN"/>
              </w:rPr>
              <w:t>（</w:t>
            </w:r>
            <w:r>
              <w:rPr>
                <w:rFonts w:hint="eastAsia"/>
                <w:color w:val="auto"/>
                <w:kern w:val="0"/>
                <w:sz w:val="24"/>
                <w:highlight w:val="none"/>
                <w:lang w:val="en-US" w:eastAsia="zh-CN"/>
              </w:rPr>
              <w:t>2</w:t>
            </w:r>
            <w:r>
              <w:rPr>
                <w:rFonts w:hint="eastAsia"/>
                <w:color w:val="auto"/>
                <w:kern w:val="0"/>
                <w:sz w:val="24"/>
                <w:highlight w:val="none"/>
                <w:lang w:eastAsia="zh-CN"/>
              </w:rPr>
              <w:t>）一般工业固体废物</w:t>
            </w:r>
          </w:p>
          <w:p w14:paraId="03925760">
            <w:pPr>
              <w:autoSpaceDE w:val="0"/>
              <w:autoSpaceDN w:val="0"/>
              <w:adjustRightInd w:val="0"/>
              <w:ind w:firstLine="480" w:firstLineChars="200"/>
              <w:rPr>
                <w:rFonts w:hint="eastAsia" w:eastAsia="宋体"/>
                <w:color w:val="auto"/>
                <w:kern w:val="0"/>
                <w:sz w:val="24"/>
                <w:highlight w:val="none"/>
                <w:lang w:eastAsia="zh-CN"/>
              </w:rPr>
            </w:pPr>
            <w:r>
              <w:rPr>
                <w:color w:val="auto"/>
                <w:kern w:val="0"/>
                <w:sz w:val="24"/>
                <w:highlight w:val="none"/>
              </w:rPr>
              <w:t>①</w:t>
            </w:r>
            <w:r>
              <w:rPr>
                <w:rFonts w:hint="eastAsia"/>
                <w:color w:val="auto"/>
                <w:kern w:val="0"/>
                <w:sz w:val="24"/>
                <w:highlight w:val="none"/>
                <w:lang w:eastAsia="zh-CN"/>
              </w:rPr>
              <w:t>废木料</w:t>
            </w:r>
          </w:p>
          <w:p w14:paraId="13388A6F">
            <w:pPr>
              <w:numPr>
                <w:ilvl w:val="0"/>
                <w:numId w:val="0"/>
              </w:numPr>
              <w:autoSpaceDE w:val="0"/>
              <w:autoSpaceDN w:val="0"/>
              <w:adjustRightInd w:val="0"/>
              <w:ind w:firstLine="480" w:firstLineChars="200"/>
              <w:rPr>
                <w:rFonts w:hint="eastAsia" w:eastAsia="宋体"/>
                <w:color w:val="auto"/>
                <w:kern w:val="0"/>
                <w:sz w:val="24"/>
                <w:szCs w:val="24"/>
                <w:highlight w:val="none"/>
                <w:lang w:eastAsia="zh-CN"/>
              </w:rPr>
            </w:pPr>
            <w:r>
              <w:rPr>
                <w:rFonts w:hint="eastAsia"/>
                <w:color w:val="auto"/>
                <w:sz w:val="24"/>
                <w:szCs w:val="24"/>
              </w:rPr>
              <w:t>项目下料、</w:t>
            </w:r>
            <w:r>
              <w:rPr>
                <w:rFonts w:hint="eastAsia"/>
                <w:color w:val="auto"/>
                <w:sz w:val="24"/>
                <w:szCs w:val="24"/>
                <w:lang w:eastAsia="zh-CN"/>
              </w:rPr>
              <w:t>梳齿</w:t>
            </w:r>
            <w:r>
              <w:rPr>
                <w:rFonts w:hint="eastAsia"/>
                <w:color w:val="auto"/>
                <w:sz w:val="24"/>
                <w:szCs w:val="24"/>
              </w:rPr>
              <w:t>、开槽等木加工工序</w:t>
            </w:r>
            <w:r>
              <w:rPr>
                <w:rFonts w:hint="eastAsia"/>
                <w:color w:val="auto"/>
                <w:sz w:val="24"/>
                <w:szCs w:val="24"/>
                <w:lang w:eastAsia="zh-CN"/>
              </w:rPr>
              <w:t>会</w:t>
            </w:r>
            <w:r>
              <w:rPr>
                <w:rFonts w:hint="eastAsia"/>
                <w:color w:val="auto"/>
                <w:sz w:val="24"/>
                <w:szCs w:val="24"/>
              </w:rPr>
              <w:t>产生</w:t>
            </w:r>
            <w:r>
              <w:rPr>
                <w:rFonts w:hint="eastAsia"/>
                <w:color w:val="auto"/>
                <w:sz w:val="24"/>
                <w:szCs w:val="24"/>
                <w:lang w:eastAsia="zh-CN"/>
              </w:rPr>
              <w:t>废木</w:t>
            </w:r>
            <w:r>
              <w:rPr>
                <w:rFonts w:hint="eastAsia"/>
                <w:color w:val="auto"/>
                <w:sz w:val="24"/>
                <w:szCs w:val="24"/>
              </w:rPr>
              <w:t>料，</w:t>
            </w:r>
            <w:r>
              <w:rPr>
                <w:rFonts w:hint="eastAsia"/>
                <w:color w:val="auto"/>
                <w:sz w:val="24"/>
                <w:szCs w:val="24"/>
                <w:lang w:eastAsia="zh-CN"/>
              </w:rPr>
              <w:t>根据企业提供资料，废木料年产生量约</w:t>
            </w:r>
            <w:r>
              <w:rPr>
                <w:rFonts w:hint="eastAsia"/>
                <w:color w:val="auto"/>
                <w:sz w:val="24"/>
                <w:szCs w:val="24"/>
                <w:lang w:val="en-US" w:eastAsia="zh-CN"/>
              </w:rPr>
              <w:t>1万m</w:t>
            </w:r>
            <w:r>
              <w:rPr>
                <w:rFonts w:hint="eastAsia"/>
                <w:color w:val="auto"/>
                <w:sz w:val="24"/>
                <w:szCs w:val="24"/>
                <w:vertAlign w:val="superscript"/>
                <w:lang w:val="en-US" w:eastAsia="zh-CN"/>
              </w:rPr>
              <w:t>2</w:t>
            </w:r>
            <w:r>
              <w:rPr>
                <w:rFonts w:ascii="Times New Roman" w:hAnsi="Times New Roman" w:cs="Times New Roman"/>
                <w:color w:val="auto"/>
                <w:sz w:val="24"/>
                <w:szCs w:val="24"/>
              </w:rPr>
              <w:t>，</w:t>
            </w:r>
            <w:r>
              <w:rPr>
                <w:rFonts w:hint="eastAsia" w:ascii="Times New Roman" w:hAnsi="Times New Roman" w:cs="Times New Roman"/>
                <w:color w:val="auto"/>
                <w:sz w:val="24"/>
                <w:szCs w:val="24"/>
                <w:lang w:eastAsia="zh-CN"/>
              </w:rPr>
              <w:t>合</w:t>
            </w:r>
            <w:r>
              <w:rPr>
                <w:rFonts w:hint="eastAsia"/>
                <w:color w:val="auto"/>
                <w:sz w:val="24"/>
                <w:szCs w:val="24"/>
              </w:rPr>
              <w:t>约为</w:t>
            </w:r>
            <w:r>
              <w:rPr>
                <w:rFonts w:hint="eastAsia"/>
                <w:color w:val="auto"/>
                <w:sz w:val="24"/>
                <w:szCs w:val="24"/>
                <w:lang w:val="en-US" w:eastAsia="zh-CN"/>
              </w:rPr>
              <w:t>122.2</w:t>
            </w:r>
            <w:r>
              <w:rPr>
                <w:rFonts w:hint="eastAsia"/>
                <w:color w:val="auto"/>
                <w:sz w:val="24"/>
                <w:szCs w:val="24"/>
              </w:rPr>
              <w:t>t/a，集中收集后外售</w:t>
            </w:r>
            <w:r>
              <w:rPr>
                <w:rFonts w:hint="eastAsia"/>
                <w:color w:val="auto"/>
                <w:sz w:val="24"/>
                <w:szCs w:val="24"/>
                <w:lang w:eastAsia="zh-CN"/>
              </w:rPr>
              <w:t>。</w:t>
            </w:r>
            <w:r>
              <w:rPr>
                <w:rFonts w:ascii="Times New Roman" w:hAnsi="Times New Roman" w:cs="Times New Roman"/>
                <w:color w:val="auto"/>
                <w:sz w:val="24"/>
                <w:szCs w:val="24"/>
              </w:rPr>
              <w:t>根据《固体废物分类与代码目录》（生态环境部公告2024年第4号），废物代码为900-009-S17</w:t>
            </w:r>
            <w:r>
              <w:rPr>
                <w:rFonts w:hint="eastAsia" w:ascii="Times New Roman" w:hAnsi="Times New Roman" w:cs="Times New Roman"/>
                <w:color w:val="auto"/>
                <w:sz w:val="24"/>
                <w:szCs w:val="24"/>
                <w:lang w:eastAsia="zh-CN"/>
              </w:rPr>
              <w:t>。</w:t>
            </w:r>
          </w:p>
          <w:p w14:paraId="29E9AE71">
            <w:pPr>
              <w:autoSpaceDE w:val="0"/>
              <w:autoSpaceDN w:val="0"/>
              <w:adjustRightInd w:val="0"/>
              <w:ind w:firstLine="480" w:firstLineChars="200"/>
              <w:rPr>
                <w:rFonts w:hint="eastAsia" w:eastAsia="宋体"/>
                <w:color w:val="auto"/>
                <w:kern w:val="0"/>
                <w:sz w:val="24"/>
                <w:szCs w:val="24"/>
                <w:highlight w:val="none"/>
                <w:lang w:eastAsia="zh-CN"/>
              </w:rPr>
            </w:pPr>
            <w:r>
              <w:rPr>
                <w:color w:val="auto"/>
                <w:kern w:val="0"/>
                <w:sz w:val="24"/>
                <w:szCs w:val="24"/>
                <w:highlight w:val="none"/>
              </w:rPr>
              <w:t>②</w:t>
            </w:r>
            <w:r>
              <w:rPr>
                <w:rFonts w:hint="eastAsia"/>
                <w:color w:val="auto"/>
                <w:kern w:val="0"/>
                <w:sz w:val="24"/>
                <w:szCs w:val="24"/>
                <w:highlight w:val="none"/>
                <w:lang w:eastAsia="zh-CN"/>
              </w:rPr>
              <w:t>除尘器收尘灰</w:t>
            </w:r>
          </w:p>
          <w:p w14:paraId="40D7161C">
            <w:pPr>
              <w:autoSpaceDE w:val="0"/>
              <w:autoSpaceDN w:val="0"/>
              <w:adjustRightInd w:val="0"/>
              <w:ind w:firstLine="480" w:firstLineChars="200"/>
              <w:rPr>
                <w:rFonts w:hint="eastAsia" w:ascii="Times New Roman" w:hAnsi="Times New Roman" w:eastAsia="宋体" w:cs="Times New Roman"/>
                <w:color w:val="auto"/>
                <w:sz w:val="24"/>
                <w:szCs w:val="24"/>
                <w:lang w:val="en-US" w:eastAsia="zh-CN"/>
              </w:rPr>
            </w:pPr>
            <w:r>
              <w:rPr>
                <w:rFonts w:hint="eastAsia"/>
                <w:color w:val="auto"/>
                <w:kern w:val="0"/>
                <w:sz w:val="24"/>
                <w:szCs w:val="24"/>
                <w:highlight w:val="none"/>
                <w:lang w:eastAsia="zh-CN"/>
              </w:rPr>
              <w:t>根据前文工程分析及源强核算，</w:t>
            </w:r>
            <w:r>
              <w:rPr>
                <w:rFonts w:hint="eastAsia"/>
                <w:color w:val="auto"/>
                <w:sz w:val="24"/>
                <w:szCs w:val="24"/>
              </w:rPr>
              <w:t>项目下料、</w:t>
            </w:r>
            <w:r>
              <w:rPr>
                <w:rFonts w:hint="eastAsia"/>
                <w:color w:val="auto"/>
                <w:sz w:val="24"/>
                <w:szCs w:val="24"/>
                <w:lang w:eastAsia="zh-CN"/>
              </w:rPr>
              <w:t>刨光、梳齿直接</w:t>
            </w:r>
            <w:r>
              <w:rPr>
                <w:rFonts w:hint="eastAsia"/>
                <w:color w:val="auto"/>
                <w:sz w:val="24"/>
                <w:szCs w:val="24"/>
              </w:rPr>
              <w:t>、</w:t>
            </w:r>
            <w:r>
              <w:rPr>
                <w:rFonts w:hint="eastAsia"/>
                <w:color w:val="auto"/>
                <w:sz w:val="24"/>
                <w:szCs w:val="24"/>
                <w:lang w:eastAsia="zh-CN"/>
              </w:rPr>
              <w:t>砂光、</w:t>
            </w:r>
            <w:r>
              <w:rPr>
                <w:rFonts w:hint="eastAsia"/>
                <w:color w:val="auto"/>
                <w:sz w:val="24"/>
                <w:szCs w:val="24"/>
              </w:rPr>
              <w:t>开槽等木加工工序</w:t>
            </w:r>
            <w:r>
              <w:rPr>
                <w:rFonts w:hint="eastAsia"/>
                <w:color w:val="auto"/>
                <w:sz w:val="24"/>
                <w:szCs w:val="24"/>
                <w:lang w:eastAsia="zh-CN"/>
              </w:rPr>
              <w:t>布袋除尘器收集的除尘灰总量为</w:t>
            </w:r>
            <w:r>
              <w:rPr>
                <w:rFonts w:hint="eastAsia" w:ascii="Times New Roman" w:hAnsi="Times New Roman" w:cs="Times New Roman"/>
                <w:color w:val="auto"/>
                <w:sz w:val="24"/>
                <w:szCs w:val="24"/>
                <w:lang w:val="en-US" w:eastAsia="zh-CN"/>
              </w:rPr>
              <w:t>22.47</w:t>
            </w:r>
            <w:r>
              <w:rPr>
                <w:rFonts w:ascii="Times New Roman" w:hAnsi="Times New Roman" w:cs="Times New Roman"/>
                <w:color w:val="auto"/>
                <w:sz w:val="24"/>
                <w:szCs w:val="24"/>
              </w:rPr>
              <w:t>t/a</w:t>
            </w:r>
            <w:r>
              <w:rPr>
                <w:rFonts w:hint="eastAsia" w:ascii="Times New Roman" w:hAnsi="Times New Roman" w:cs="Times New Roman"/>
                <w:color w:val="auto"/>
                <w:sz w:val="24"/>
                <w:szCs w:val="24"/>
                <w:lang w:eastAsia="zh-CN"/>
              </w:rPr>
              <w:t>。</w:t>
            </w:r>
            <w:r>
              <w:rPr>
                <w:rFonts w:hint="eastAsia" w:ascii="Times New Roman" w:hAnsi="Times New Roman" w:eastAsia="宋体" w:cs="Times New Roman"/>
                <w:color w:val="auto"/>
                <w:sz w:val="24"/>
                <w:szCs w:val="24"/>
              </w:rPr>
              <w:t>此部分木工尘集中收集后</w:t>
            </w:r>
            <w:r>
              <w:rPr>
                <w:rFonts w:hint="eastAsia" w:ascii="Times New Roman" w:hAnsi="Times New Roman" w:eastAsia="宋体" w:cs="Times New Roman"/>
                <w:color w:val="auto"/>
                <w:sz w:val="24"/>
                <w:szCs w:val="24"/>
                <w:lang w:eastAsia="zh-CN"/>
              </w:rPr>
              <w:t>定期</w:t>
            </w:r>
            <w:r>
              <w:rPr>
                <w:rFonts w:hint="eastAsia" w:ascii="Times New Roman" w:hAnsi="Times New Roman" w:eastAsia="宋体" w:cs="Times New Roman"/>
                <w:color w:val="auto"/>
                <w:sz w:val="24"/>
                <w:szCs w:val="24"/>
              </w:rPr>
              <w:t>外售。</w:t>
            </w:r>
          </w:p>
          <w:p w14:paraId="28936761">
            <w:pPr>
              <w:autoSpaceDE w:val="0"/>
              <w:autoSpaceDN w:val="0"/>
              <w:adjustRightInd w:val="0"/>
              <w:ind w:firstLine="480" w:firstLineChars="200"/>
              <w:rPr>
                <w:rFonts w:hint="eastAsia" w:eastAsia="宋体"/>
                <w:color w:val="auto"/>
                <w:kern w:val="0"/>
                <w:sz w:val="24"/>
                <w:szCs w:val="24"/>
                <w:highlight w:val="none"/>
                <w:lang w:val="en-US" w:eastAsia="zh-CN"/>
              </w:rPr>
            </w:pPr>
            <w:r>
              <w:rPr>
                <w:color w:val="auto"/>
                <w:kern w:val="0"/>
                <w:sz w:val="24"/>
                <w:szCs w:val="24"/>
                <w:highlight w:val="none"/>
              </w:rPr>
              <w:t>③</w:t>
            </w:r>
            <w:r>
              <w:rPr>
                <w:rFonts w:hint="eastAsia"/>
                <w:color w:val="auto"/>
                <w:kern w:val="0"/>
                <w:sz w:val="24"/>
                <w:highlight w:val="none"/>
                <w:lang w:eastAsia="zh-CN"/>
              </w:rPr>
              <w:t>地面收集尘</w:t>
            </w:r>
          </w:p>
          <w:p w14:paraId="20A126D4">
            <w:pPr>
              <w:autoSpaceDE w:val="0"/>
              <w:autoSpaceDN w:val="0"/>
              <w:adjustRightInd w:val="0"/>
              <w:ind w:firstLine="480" w:firstLineChars="200"/>
              <w:rPr>
                <w:color w:val="auto"/>
                <w:kern w:val="0"/>
                <w:sz w:val="24"/>
                <w:szCs w:val="24"/>
                <w:highlight w:val="none"/>
              </w:rPr>
            </w:pPr>
            <w:r>
              <w:rPr>
                <w:color w:val="auto"/>
                <w:kern w:val="0"/>
                <w:sz w:val="24"/>
                <w:szCs w:val="24"/>
                <w:highlight w:val="none"/>
                <w:lang w:bidi="ar"/>
              </w:rPr>
              <w:t>本项目生产车间生产过程要求门窗关闭，在</w:t>
            </w:r>
            <w:r>
              <w:rPr>
                <w:rFonts w:hint="eastAsia"/>
                <w:color w:val="auto"/>
                <w:kern w:val="0"/>
                <w:sz w:val="24"/>
                <w:szCs w:val="24"/>
                <w:highlight w:val="none"/>
                <w:lang w:val="en-US" w:eastAsia="zh-CN" w:bidi="ar"/>
              </w:rPr>
              <w:t>全</w:t>
            </w:r>
            <w:r>
              <w:rPr>
                <w:color w:val="auto"/>
                <w:kern w:val="0"/>
                <w:sz w:val="24"/>
                <w:szCs w:val="24"/>
                <w:highlight w:val="none"/>
                <w:lang w:bidi="ar"/>
              </w:rPr>
              <w:t>封闭车间内进行生产，由于粉尘物质密度较大，粉尘一段距离内即可沉降，并在生产过程进行洒水抑尘</w:t>
            </w:r>
            <w:r>
              <w:rPr>
                <w:rFonts w:hint="eastAsia"/>
                <w:color w:val="auto"/>
                <w:kern w:val="0"/>
                <w:sz w:val="24"/>
                <w:szCs w:val="24"/>
                <w:highlight w:val="none"/>
                <w:lang w:bidi="ar"/>
              </w:rPr>
              <w:t>，此过程</w:t>
            </w:r>
            <w:r>
              <w:rPr>
                <w:color w:val="auto"/>
                <w:kern w:val="0"/>
                <w:sz w:val="24"/>
                <w:szCs w:val="24"/>
                <w:highlight w:val="none"/>
                <w:lang w:bidi="ar"/>
              </w:rPr>
              <w:t>产生地面沉积灰。根据</w:t>
            </w:r>
            <w:r>
              <w:rPr>
                <w:rFonts w:hint="eastAsia"/>
                <w:color w:val="auto"/>
                <w:kern w:val="0"/>
                <w:sz w:val="24"/>
                <w:szCs w:val="24"/>
                <w:highlight w:val="none"/>
                <w:lang w:bidi="ar"/>
              </w:rPr>
              <w:t>前文</w:t>
            </w:r>
            <w:r>
              <w:rPr>
                <w:color w:val="auto"/>
                <w:kern w:val="0"/>
                <w:sz w:val="24"/>
                <w:szCs w:val="24"/>
                <w:highlight w:val="none"/>
                <w:lang w:bidi="ar"/>
              </w:rPr>
              <w:t>源强核算可知，本项目的地面沉积灰为</w:t>
            </w:r>
            <w:r>
              <w:rPr>
                <w:rFonts w:hint="eastAsia"/>
                <w:color w:val="auto"/>
                <w:kern w:val="0"/>
                <w:sz w:val="24"/>
                <w:szCs w:val="24"/>
                <w:highlight w:val="none"/>
                <w:lang w:val="en-US" w:eastAsia="zh-CN" w:bidi="ar"/>
              </w:rPr>
              <w:t>5.1057</w:t>
            </w:r>
            <w:r>
              <w:rPr>
                <w:color w:val="auto"/>
                <w:kern w:val="0"/>
                <w:sz w:val="24"/>
                <w:szCs w:val="24"/>
                <w:highlight w:val="none"/>
                <w:lang w:bidi="ar"/>
              </w:rPr>
              <w:t>t/a</w:t>
            </w:r>
            <w:r>
              <w:rPr>
                <w:rFonts w:hint="eastAsia"/>
                <w:color w:val="auto"/>
                <w:kern w:val="0"/>
                <w:sz w:val="24"/>
                <w:szCs w:val="24"/>
                <w:highlight w:val="none"/>
                <w:lang w:bidi="ar"/>
              </w:rPr>
              <w:t>，</w:t>
            </w:r>
            <w:r>
              <w:rPr>
                <w:rFonts w:hint="eastAsia"/>
                <w:color w:val="auto"/>
                <w:sz w:val="24"/>
                <w:szCs w:val="24"/>
                <w:highlight w:val="none"/>
              </w:rPr>
              <w:t>统一收集到</w:t>
            </w:r>
            <w:r>
              <w:rPr>
                <w:rFonts w:hint="eastAsia" w:ascii="Times New Roman" w:hAnsi="Times New Roman" w:eastAsia="宋体" w:cs="Times New Roman"/>
                <w:color w:val="auto"/>
                <w:kern w:val="0"/>
                <w:sz w:val="24"/>
                <w:szCs w:val="24"/>
                <w:highlight w:val="none"/>
                <w:lang w:val="en-US" w:eastAsia="zh-CN" w:bidi="ar"/>
              </w:rPr>
              <w:t>一般固废暂存间</w:t>
            </w:r>
            <w:r>
              <w:rPr>
                <w:rFonts w:hint="eastAsia"/>
                <w:color w:val="auto"/>
                <w:sz w:val="24"/>
                <w:szCs w:val="24"/>
                <w:highlight w:val="none"/>
                <w:lang w:val="en-US" w:eastAsia="zh-CN"/>
              </w:rPr>
              <w:t>定期</w:t>
            </w:r>
            <w:r>
              <w:rPr>
                <w:rFonts w:hint="eastAsia"/>
                <w:color w:val="auto"/>
                <w:sz w:val="24"/>
                <w:szCs w:val="24"/>
                <w:highlight w:val="none"/>
              </w:rPr>
              <w:t>外售</w:t>
            </w:r>
            <w:r>
              <w:rPr>
                <w:rFonts w:hint="eastAsia"/>
                <w:color w:val="auto"/>
                <w:kern w:val="0"/>
                <w:sz w:val="24"/>
                <w:szCs w:val="24"/>
                <w:highlight w:val="none"/>
                <w:lang w:bidi="ar"/>
              </w:rPr>
              <w:t>。</w:t>
            </w:r>
          </w:p>
          <w:p w14:paraId="4C8C68AA">
            <w:pPr>
              <w:autoSpaceDE w:val="0"/>
              <w:autoSpaceDN w:val="0"/>
              <w:adjustRightInd w:val="0"/>
              <w:ind w:firstLine="480" w:firstLineChars="200"/>
              <w:rPr>
                <w:rFonts w:hint="eastAsia" w:eastAsia="宋体"/>
                <w:color w:val="auto"/>
                <w:kern w:val="0"/>
                <w:sz w:val="24"/>
                <w:szCs w:val="24"/>
                <w:highlight w:val="none"/>
                <w:lang w:val="en-US" w:eastAsia="zh-CN"/>
              </w:rPr>
            </w:pPr>
            <w:r>
              <w:rPr>
                <w:rFonts w:hint="eastAsia" w:ascii="Times New Roman" w:hAnsi="Times New Roman" w:eastAsia="宋体" w:cs="Times New Roman"/>
                <w:color w:val="auto"/>
                <w:sz w:val="24"/>
                <w:szCs w:val="24"/>
              </w:rPr>
              <w:t>④</w:t>
            </w:r>
            <w:r>
              <w:rPr>
                <w:rFonts w:hint="eastAsia"/>
                <w:color w:val="auto"/>
                <w:kern w:val="0"/>
                <w:sz w:val="24"/>
                <w:highlight w:val="none"/>
                <w:lang w:eastAsia="zh-CN"/>
              </w:rPr>
              <w:t>废包装膜</w:t>
            </w:r>
          </w:p>
          <w:p w14:paraId="4D066390">
            <w:pPr>
              <w:numPr>
                <w:ilvl w:val="0"/>
                <w:numId w:val="0"/>
              </w:numPr>
              <w:autoSpaceDE w:val="0"/>
              <w:autoSpaceDN w:val="0"/>
              <w:adjustRightInd w:val="0"/>
              <w:ind w:firstLine="480" w:firstLineChars="200"/>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eastAsia="zh-CN"/>
              </w:rPr>
              <w:t>本项目原材料外包装及产品包装过程会产生少量废塑料包装膜。根据建设单位提供资料，项目废包装膜产生量约为</w:t>
            </w:r>
            <w:r>
              <w:rPr>
                <w:rFonts w:hint="eastAsia" w:ascii="Times New Roman" w:hAnsi="Times New Roman" w:eastAsia="宋体" w:cs="Times New Roman"/>
                <w:color w:val="auto"/>
                <w:sz w:val="24"/>
                <w:szCs w:val="24"/>
                <w:lang w:val="en-US" w:eastAsia="zh-CN"/>
              </w:rPr>
              <w:t>0.1t/a，收集后</w:t>
            </w:r>
            <w:r>
              <w:rPr>
                <w:rFonts w:hint="eastAsia" w:ascii="Times New Roman" w:hAnsi="Times New Roman" w:eastAsia="宋体" w:cs="Times New Roman"/>
                <w:color w:val="auto"/>
                <w:sz w:val="24"/>
                <w:szCs w:val="24"/>
                <w:lang w:eastAsia="zh-CN"/>
              </w:rPr>
              <w:t>定期</w:t>
            </w:r>
            <w:r>
              <w:rPr>
                <w:rFonts w:hint="eastAsia" w:ascii="Times New Roman" w:hAnsi="Times New Roman" w:eastAsia="宋体" w:cs="Times New Roman"/>
                <w:color w:val="auto"/>
                <w:sz w:val="24"/>
                <w:szCs w:val="24"/>
              </w:rPr>
              <w:t>外售</w:t>
            </w:r>
            <w:r>
              <w:rPr>
                <w:rFonts w:hint="eastAsia" w:ascii="Times New Roman" w:hAnsi="Times New Roman" w:eastAsia="宋体" w:cs="Times New Roman"/>
                <w:color w:val="auto"/>
                <w:sz w:val="24"/>
                <w:szCs w:val="24"/>
                <w:lang w:eastAsia="zh-CN"/>
              </w:rPr>
              <w:t>。</w:t>
            </w:r>
          </w:p>
          <w:p w14:paraId="2A01E287">
            <w:pPr>
              <w:numPr>
                <w:ilvl w:val="0"/>
                <w:numId w:val="0"/>
              </w:numPr>
              <w:autoSpaceDE w:val="0"/>
              <w:autoSpaceDN w:val="0"/>
              <w:adjustRightInd w:val="0"/>
              <w:ind w:firstLine="480" w:firstLineChars="200"/>
              <w:rPr>
                <w:rFonts w:hint="eastAsia"/>
                <w:color w:val="auto"/>
                <w:kern w:val="0"/>
                <w:sz w:val="24"/>
                <w:highlight w:val="none"/>
                <w:lang w:eastAsia="zh-CN"/>
              </w:rPr>
            </w:pPr>
            <w:r>
              <w:rPr>
                <w:rFonts w:hint="eastAsia" w:ascii="Times New Roman" w:hAnsi="Times New Roman" w:eastAsia="宋体" w:cs="Times New Roman"/>
                <w:color w:val="auto"/>
                <w:sz w:val="24"/>
                <w:szCs w:val="24"/>
                <w:lang w:val="en-US" w:eastAsia="zh-CN"/>
              </w:rPr>
              <w:fldChar w:fldCharType="begin"/>
            </w:r>
            <w:r>
              <w:rPr>
                <w:rFonts w:hint="eastAsia" w:ascii="Times New Roman" w:hAnsi="Times New Roman" w:eastAsia="宋体" w:cs="Times New Roman"/>
                <w:color w:val="auto"/>
                <w:sz w:val="24"/>
                <w:szCs w:val="24"/>
                <w:lang w:val="en-US" w:eastAsia="zh-CN"/>
              </w:rPr>
              <w:instrText xml:space="preserve"> = 5 \* GB3 \* MERGEFORMAT </w:instrText>
            </w:r>
            <w:r>
              <w:rPr>
                <w:rFonts w:hint="eastAsia" w:ascii="Times New Roman" w:hAnsi="Times New Roman" w:eastAsia="宋体" w:cs="Times New Roman"/>
                <w:color w:val="auto"/>
                <w:sz w:val="24"/>
                <w:szCs w:val="24"/>
                <w:lang w:val="en-US" w:eastAsia="zh-CN"/>
              </w:rPr>
              <w:fldChar w:fldCharType="separate"/>
            </w:r>
            <w:r>
              <w:rPr>
                <w:rFonts w:hint="eastAsia" w:ascii="Times New Roman" w:hAnsi="Times New Roman" w:eastAsia="宋体" w:cs="Times New Roman"/>
                <w:color w:val="auto"/>
                <w:sz w:val="24"/>
                <w:szCs w:val="24"/>
              </w:rPr>
              <w:t>⑤</w:t>
            </w:r>
            <w:r>
              <w:rPr>
                <w:rFonts w:hint="eastAsia" w:ascii="Times New Roman" w:hAnsi="Times New Roman" w:eastAsia="宋体" w:cs="Times New Roman"/>
                <w:color w:val="auto"/>
                <w:sz w:val="24"/>
                <w:szCs w:val="24"/>
                <w:lang w:val="en-US" w:eastAsia="zh-CN"/>
              </w:rPr>
              <w:fldChar w:fldCharType="end"/>
            </w:r>
            <w:r>
              <w:rPr>
                <w:rFonts w:hint="eastAsia"/>
                <w:color w:val="auto"/>
                <w:kern w:val="0"/>
                <w:sz w:val="24"/>
                <w:szCs w:val="24"/>
                <w:highlight w:val="none"/>
                <w:lang w:eastAsia="zh-CN"/>
              </w:rPr>
              <w:t>废布袋</w:t>
            </w:r>
          </w:p>
          <w:p w14:paraId="2D72A65D">
            <w:pPr>
              <w:numPr>
                <w:ilvl w:val="0"/>
                <w:numId w:val="0"/>
              </w:numPr>
              <w:autoSpaceDE w:val="0"/>
              <w:autoSpaceDN w:val="0"/>
              <w:adjustRightInd w:val="0"/>
              <w:ind w:firstLine="480" w:firstLineChars="200"/>
              <w:rPr>
                <w:rFonts w:hint="default"/>
                <w:color w:val="auto"/>
                <w:kern w:val="0"/>
                <w:sz w:val="24"/>
                <w:highlight w:val="none"/>
                <w:lang w:val="en-US" w:eastAsia="zh-CN"/>
              </w:rPr>
            </w:pPr>
            <w:r>
              <w:rPr>
                <w:rFonts w:hint="eastAsia"/>
                <w:color w:val="auto"/>
                <w:kern w:val="0"/>
                <w:sz w:val="24"/>
                <w:highlight w:val="none"/>
                <w:lang w:eastAsia="zh-CN"/>
              </w:rPr>
              <w:t>布袋除尘器布袋需定期更换保证除尘效率。本项目布袋更换频次为</w:t>
            </w:r>
            <w:r>
              <w:rPr>
                <w:rFonts w:hint="eastAsia"/>
                <w:color w:val="auto"/>
                <w:kern w:val="0"/>
                <w:sz w:val="24"/>
                <w:highlight w:val="none"/>
                <w:lang w:val="en-US" w:eastAsia="zh-CN"/>
              </w:rPr>
              <w:t>1年1次，根据建设单位</w:t>
            </w:r>
            <w:r>
              <w:rPr>
                <w:rFonts w:hint="eastAsia" w:ascii="Times New Roman" w:hAnsi="Times New Roman" w:eastAsia="宋体" w:cs="Times New Roman"/>
                <w:color w:val="auto"/>
                <w:sz w:val="24"/>
                <w:szCs w:val="24"/>
                <w:lang w:eastAsia="zh-CN"/>
              </w:rPr>
              <w:t>提供资料，废布袋产生量约为</w:t>
            </w:r>
            <w:r>
              <w:rPr>
                <w:rFonts w:hint="eastAsia" w:ascii="Times New Roman" w:hAnsi="Times New Roman" w:eastAsia="宋体" w:cs="Times New Roman"/>
                <w:color w:val="auto"/>
                <w:sz w:val="24"/>
                <w:szCs w:val="24"/>
                <w:lang w:val="en-US" w:eastAsia="zh-CN"/>
              </w:rPr>
              <w:t>0.2t/a，</w:t>
            </w:r>
            <w:r>
              <w:rPr>
                <w:rFonts w:hint="eastAsia" w:cs="Times New Roman"/>
                <w:color w:val="auto"/>
                <w:kern w:val="0"/>
                <w:sz w:val="24"/>
                <w:szCs w:val="24"/>
                <w:lang w:eastAsia="zh-CN"/>
              </w:rPr>
              <w:t>由厂家定期更换回收。</w:t>
            </w:r>
          </w:p>
          <w:p w14:paraId="0A618FFA">
            <w:pPr>
              <w:numPr>
                <w:ilvl w:val="0"/>
                <w:numId w:val="0"/>
              </w:numPr>
              <w:autoSpaceDE w:val="0"/>
              <w:autoSpaceDN w:val="0"/>
              <w:adjustRightInd w:val="0"/>
              <w:ind w:firstLine="480" w:firstLineChars="200"/>
              <w:rPr>
                <w:rFonts w:hint="eastAsia"/>
                <w:color w:val="auto"/>
                <w:kern w:val="0"/>
                <w:sz w:val="24"/>
                <w:highlight w:val="none"/>
                <w:lang w:eastAsia="zh-CN"/>
              </w:rPr>
            </w:pPr>
            <w:r>
              <w:rPr>
                <w:rFonts w:hint="eastAsia"/>
                <w:color w:val="auto"/>
                <w:kern w:val="0"/>
                <w:sz w:val="24"/>
                <w:highlight w:val="none"/>
                <w:lang w:eastAsia="zh-CN"/>
              </w:rPr>
              <w:t>（</w:t>
            </w:r>
            <w:r>
              <w:rPr>
                <w:rFonts w:hint="eastAsia"/>
                <w:color w:val="auto"/>
                <w:kern w:val="0"/>
                <w:sz w:val="24"/>
                <w:highlight w:val="none"/>
                <w:lang w:val="en-US" w:eastAsia="zh-CN"/>
              </w:rPr>
              <w:t>3</w:t>
            </w:r>
            <w:r>
              <w:rPr>
                <w:rFonts w:hint="eastAsia"/>
                <w:color w:val="auto"/>
                <w:kern w:val="0"/>
                <w:sz w:val="24"/>
                <w:highlight w:val="none"/>
                <w:lang w:eastAsia="zh-CN"/>
              </w:rPr>
              <w:t>）危险废物</w:t>
            </w:r>
          </w:p>
          <w:p w14:paraId="16D527B0">
            <w:pPr>
              <w:pStyle w:val="41"/>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eastAsia"/>
                <w:color w:val="auto"/>
                <w:lang w:eastAsia="zh-CN"/>
              </w:rPr>
            </w:pPr>
            <w:r>
              <w:rPr>
                <w:color w:val="auto"/>
                <w:kern w:val="0"/>
                <w:sz w:val="24"/>
                <w:highlight w:val="none"/>
              </w:rPr>
              <w:t>①</w:t>
            </w:r>
            <w:r>
              <w:rPr>
                <w:rFonts w:hint="eastAsia"/>
                <w:color w:val="auto"/>
                <w:kern w:val="0"/>
                <w:sz w:val="24"/>
                <w:highlight w:val="none"/>
                <w:lang w:eastAsia="zh-CN"/>
              </w:rPr>
              <w:t>废活性炭</w:t>
            </w:r>
          </w:p>
          <w:p w14:paraId="7FED200D">
            <w:pPr>
              <w:keepNext w:val="0"/>
              <w:keepLines w:val="0"/>
              <w:pageBreakBefore w:val="0"/>
              <w:widowControl/>
              <w:suppressLineNumbers w:val="0"/>
              <w:kinsoku/>
              <w:wordWrap/>
              <w:overflowPunct/>
              <w:topLinePunct w:val="0"/>
              <w:autoSpaceDE/>
              <w:autoSpaceDN/>
              <w:bidi w:val="0"/>
              <w:adjustRightInd/>
              <w:snapToGrid/>
              <w:spacing w:before="0"/>
              <w:ind w:left="0" w:leftChars="0" w:firstLine="480" w:firstLineChars="200"/>
              <w:jc w:val="left"/>
              <w:textAlignment w:val="auto"/>
              <w:rPr>
                <w:color w:val="auto"/>
              </w:rPr>
            </w:pPr>
            <w:r>
              <w:rPr>
                <w:rFonts w:hint="eastAsia" w:ascii="Times New Roman" w:hAnsi="Times New Roman" w:eastAsia="宋体" w:cs="Times New Roman"/>
                <w:color w:val="auto"/>
                <w:sz w:val="24"/>
                <w:szCs w:val="24"/>
                <w:lang w:val="en-US" w:eastAsia="zh-CN"/>
              </w:rPr>
              <w:t>根据《挥发性有机物治理突出问题排查整治工作要求》环大气〔</w:t>
            </w:r>
            <w:r>
              <w:rPr>
                <w:rFonts w:hint="default" w:ascii="Times New Roman" w:hAnsi="Times New Roman" w:eastAsia="宋体" w:cs="Times New Roman"/>
                <w:color w:val="auto"/>
                <w:sz w:val="24"/>
                <w:szCs w:val="24"/>
                <w:lang w:val="en-US" w:eastAsia="zh-CN"/>
              </w:rPr>
              <w:t>2021</w:t>
            </w: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65</w:t>
            </w:r>
            <w:r>
              <w:rPr>
                <w:rFonts w:hint="eastAsia" w:ascii="Times New Roman" w:hAnsi="Times New Roman" w:eastAsia="宋体" w:cs="Times New Roman"/>
                <w:color w:val="auto"/>
                <w:sz w:val="24"/>
                <w:szCs w:val="24"/>
                <w:lang w:val="en-US" w:eastAsia="zh-CN"/>
              </w:rPr>
              <w:t>号，提出采用颗粒活性炭作为吸附剂时，其碘值不宜低于</w:t>
            </w:r>
            <w:r>
              <w:rPr>
                <w:rFonts w:hint="default" w:ascii="Times New Roman" w:hAnsi="Times New Roman" w:eastAsia="宋体" w:cs="Times New Roman"/>
                <w:color w:val="auto"/>
                <w:sz w:val="24"/>
                <w:szCs w:val="24"/>
                <w:lang w:val="en-US" w:eastAsia="zh-CN"/>
              </w:rPr>
              <w:t>800mg/g</w:t>
            </w:r>
            <w:r>
              <w:rPr>
                <w:rFonts w:hint="eastAsia" w:ascii="Times New Roman" w:hAnsi="Times New Roman" w:eastAsia="宋体" w:cs="Times New Roman"/>
                <w:color w:val="auto"/>
                <w:sz w:val="24"/>
                <w:szCs w:val="24"/>
                <w:lang w:val="en-US" w:eastAsia="zh-CN"/>
              </w:rPr>
              <w:t>；采用蜂窝活性炭作为吸附剂时，其碘值不宜低于</w:t>
            </w:r>
            <w:r>
              <w:rPr>
                <w:rFonts w:hint="default" w:ascii="Times New Roman" w:hAnsi="Times New Roman" w:eastAsia="宋体" w:cs="Times New Roman"/>
                <w:color w:val="auto"/>
                <w:sz w:val="24"/>
                <w:szCs w:val="24"/>
                <w:lang w:val="en-US" w:eastAsia="zh-CN"/>
              </w:rPr>
              <w:t>650mg/g</w:t>
            </w:r>
            <w:r>
              <w:rPr>
                <w:rFonts w:hint="eastAsia" w:ascii="Times New Roman" w:hAnsi="Times New Roman" w:eastAsia="宋体" w:cs="Times New Roman"/>
                <w:color w:val="auto"/>
                <w:sz w:val="24"/>
                <w:szCs w:val="24"/>
                <w:lang w:val="en-US" w:eastAsia="zh-CN"/>
              </w:rPr>
              <w:t>；采用活性炭纤维作为吸附剂时，其比表面积不低于</w:t>
            </w:r>
            <w:r>
              <w:rPr>
                <w:rFonts w:hint="default" w:ascii="Times New Roman" w:hAnsi="Times New Roman" w:eastAsia="宋体" w:cs="Times New Roman"/>
                <w:color w:val="auto"/>
                <w:sz w:val="24"/>
                <w:szCs w:val="24"/>
                <w:lang w:val="en-US" w:eastAsia="zh-CN"/>
              </w:rPr>
              <w:t>1100</w:t>
            </w:r>
            <w:r>
              <w:rPr>
                <w:rFonts w:hint="eastAsia" w:ascii="Times New Roman" w:hAnsi="Times New Roman" w:eastAsia="宋体" w:cs="Times New Roman"/>
                <w:color w:val="auto"/>
                <w:sz w:val="24"/>
                <w:szCs w:val="24"/>
                <w:lang w:val="en-US" w:eastAsia="zh-CN"/>
              </w:rPr>
              <w:t>m</w:t>
            </w:r>
            <w:r>
              <w:rPr>
                <w:rFonts w:hint="eastAsia" w:ascii="Times New Roman" w:hAnsi="Times New Roman" w:eastAsia="宋体" w:cs="Times New Roman"/>
                <w:color w:val="auto"/>
                <w:sz w:val="24"/>
                <w:szCs w:val="24"/>
                <w:vertAlign w:val="superscript"/>
                <w:lang w:val="en-US" w:eastAsia="zh-CN"/>
              </w:rPr>
              <w:t>2</w:t>
            </w:r>
            <w:r>
              <w:rPr>
                <w:rFonts w:hint="default" w:ascii="Times New Roman" w:hAnsi="Times New Roman" w:eastAsia="宋体" w:cs="Times New Roman"/>
                <w:color w:val="auto"/>
                <w:sz w:val="24"/>
                <w:szCs w:val="24"/>
                <w:lang w:val="en-US" w:eastAsia="zh-CN"/>
              </w:rPr>
              <w:t>/g</w:t>
            </w: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BET</w:t>
            </w:r>
            <w:r>
              <w:rPr>
                <w:rFonts w:hint="eastAsia" w:ascii="Times New Roman" w:hAnsi="Times New Roman" w:eastAsia="宋体" w:cs="Times New Roman"/>
                <w:color w:val="auto"/>
                <w:sz w:val="24"/>
                <w:szCs w:val="24"/>
                <w:lang w:val="en-US" w:eastAsia="zh-CN"/>
              </w:rPr>
              <w:t>法）。根据《2020年挥发性有机物治理攻坚方案》（环大气〔</w:t>
            </w:r>
            <w:r>
              <w:rPr>
                <w:rFonts w:hint="default" w:ascii="Times New Roman" w:hAnsi="Times New Roman" w:eastAsia="宋体" w:cs="Times New Roman"/>
                <w:color w:val="auto"/>
                <w:sz w:val="24"/>
                <w:szCs w:val="24"/>
                <w:lang w:val="en-US" w:eastAsia="zh-CN"/>
              </w:rPr>
              <w:t>202</w:t>
            </w:r>
            <w:r>
              <w:rPr>
                <w:rFonts w:hint="eastAsia" w:ascii="Times New Roman" w:hAnsi="Times New Roman" w:eastAsia="宋体" w:cs="Times New Roman"/>
                <w:color w:val="auto"/>
                <w:sz w:val="24"/>
                <w:szCs w:val="24"/>
                <w:lang w:val="en-US" w:eastAsia="zh-CN"/>
              </w:rPr>
              <w:t>0〕33号），VOCs治理中，采用</w:t>
            </w:r>
            <w:r>
              <w:rPr>
                <w:rFonts w:hint="eastAsia" w:ascii="Times New Roman" w:hAnsi="Times New Roman" w:eastAsia="宋体" w:cs="Times New Roman"/>
                <w:color w:val="auto"/>
                <w:sz w:val="24"/>
                <w:szCs w:val="24"/>
                <w:highlight w:val="none"/>
                <w:lang w:eastAsia="zh-CN"/>
              </w:rPr>
              <w:t>带有自动控制系统的二级</w:t>
            </w:r>
            <w:r>
              <w:rPr>
                <w:rFonts w:hint="eastAsia" w:ascii="Times New Roman" w:hAnsi="Times New Roman" w:eastAsia="宋体" w:cs="Times New Roman"/>
                <w:color w:val="auto"/>
                <w:sz w:val="24"/>
                <w:szCs w:val="24"/>
                <w:lang w:val="en-US" w:eastAsia="zh-CN"/>
              </w:rPr>
              <w:t>活性炭吸附技术的，应选择碘值不低于</w:t>
            </w:r>
            <w:r>
              <w:rPr>
                <w:rFonts w:hint="default" w:ascii="Times New Roman" w:hAnsi="Times New Roman" w:eastAsia="宋体" w:cs="Times New Roman"/>
                <w:color w:val="auto"/>
                <w:sz w:val="24"/>
                <w:szCs w:val="24"/>
                <w:lang w:val="en-US" w:eastAsia="zh-CN"/>
              </w:rPr>
              <w:t>800</w:t>
            </w:r>
            <w:r>
              <w:rPr>
                <w:rFonts w:hint="eastAsia" w:ascii="Times New Roman" w:hAnsi="Times New Roman" w:eastAsia="宋体" w:cs="Times New Roman"/>
                <w:color w:val="auto"/>
                <w:sz w:val="24"/>
                <w:szCs w:val="24"/>
                <w:lang w:val="en-US" w:eastAsia="zh-CN"/>
              </w:rPr>
              <w:t>毫克</w:t>
            </w:r>
            <w:r>
              <w:rPr>
                <w:rFonts w:hint="default" w:ascii="Times New Roman" w:hAnsi="Times New Roman" w:eastAsia="宋体" w:cs="Times New Roman"/>
                <w:color w:val="auto"/>
                <w:sz w:val="24"/>
                <w:szCs w:val="24"/>
                <w:lang w:val="en-US" w:eastAsia="zh-CN"/>
              </w:rPr>
              <w:t>/</w:t>
            </w:r>
            <w:r>
              <w:rPr>
                <w:rFonts w:hint="eastAsia" w:ascii="Times New Roman" w:hAnsi="Times New Roman" w:eastAsia="宋体" w:cs="Times New Roman"/>
                <w:color w:val="auto"/>
                <w:sz w:val="24"/>
                <w:szCs w:val="24"/>
                <w:lang w:val="en-US" w:eastAsia="zh-CN"/>
              </w:rPr>
              <w:t>克的颗粒型活性</w:t>
            </w:r>
            <w:r>
              <w:rPr>
                <w:rFonts w:hint="eastAsia" w:ascii="宋体" w:hAnsi="宋体" w:eastAsia="宋体" w:cs="宋体"/>
                <w:color w:val="auto"/>
                <w:kern w:val="0"/>
                <w:sz w:val="24"/>
                <w:szCs w:val="24"/>
                <w:lang w:val="en-US" w:eastAsia="zh-CN" w:bidi="ar"/>
              </w:rPr>
              <w:t>炭，并按设计要求足量添加、及时更换。</w:t>
            </w:r>
          </w:p>
          <w:p w14:paraId="1CE7AFF0">
            <w:pPr>
              <w:pStyle w:val="75"/>
              <w:keepNext w:val="0"/>
              <w:keepLines w:val="0"/>
              <w:pageBreakBefore w:val="0"/>
              <w:kinsoku/>
              <w:wordWrap/>
              <w:overflowPunct/>
              <w:topLinePunct w:val="0"/>
              <w:autoSpaceDE/>
              <w:autoSpaceDN/>
              <w:bidi w:val="0"/>
              <w:adjustRightInd/>
              <w:snapToGrid/>
              <w:spacing w:line="360" w:lineRule="auto"/>
              <w:ind w:firstLine="480" w:firstLineChars="200"/>
              <w:jc w:val="both"/>
              <w:textAlignment w:val="auto"/>
              <w:rPr>
                <w:rFonts w:hint="default"/>
                <w:color w:val="auto"/>
                <w:kern w:val="0"/>
                <w:sz w:val="24"/>
                <w:highlight w:val="none"/>
                <w:lang w:val="en-US" w:eastAsia="zh-CN"/>
              </w:rPr>
            </w:pPr>
            <w:r>
              <w:rPr>
                <w:rFonts w:hint="eastAsia" w:ascii="宋体" w:hAnsi="宋体" w:eastAsia="宋体" w:cs="宋体"/>
                <w:color w:val="auto"/>
                <w:kern w:val="0"/>
                <w:sz w:val="24"/>
                <w:szCs w:val="24"/>
                <w:lang w:val="en-US" w:eastAsia="zh-CN" w:bidi="ar"/>
              </w:rPr>
              <w:t>综上，本项目采用颗粒活性炭作为吸附剂，其碘值不宜低于</w:t>
            </w:r>
            <w:r>
              <w:rPr>
                <w:rFonts w:hint="eastAsia" w:ascii="Times New Roman" w:hAnsi="Times New Roman" w:eastAsia="宋体" w:cs="Times New Roman"/>
                <w:color w:val="auto"/>
                <w:kern w:val="0"/>
                <w:sz w:val="24"/>
                <w:szCs w:val="24"/>
                <w:lang w:val="en-US" w:eastAsia="zh-CN" w:bidi="ar"/>
              </w:rPr>
              <w:t>80</w:t>
            </w:r>
            <w:r>
              <w:rPr>
                <w:rFonts w:hint="default" w:ascii="Times New Roman" w:hAnsi="Times New Roman" w:eastAsia="宋体" w:cs="Times New Roman"/>
                <w:color w:val="auto"/>
                <w:kern w:val="0"/>
                <w:sz w:val="24"/>
                <w:szCs w:val="24"/>
                <w:lang w:val="en-US" w:eastAsia="zh-CN" w:bidi="ar"/>
              </w:rPr>
              <w:t>0mg/g</w:t>
            </w:r>
            <w:r>
              <w:rPr>
                <w:rFonts w:hint="eastAsia" w:ascii="宋体" w:hAnsi="宋体" w:eastAsia="宋体" w:cs="宋体"/>
                <w:color w:val="auto"/>
                <w:kern w:val="0"/>
                <w:sz w:val="24"/>
                <w:szCs w:val="24"/>
                <w:lang w:val="en-US" w:eastAsia="zh-CN" w:bidi="ar"/>
              </w:rPr>
              <w:t>；比表面积：</w:t>
            </w:r>
            <w:r>
              <w:rPr>
                <w:rFonts w:hint="default" w:ascii="Times New Roman" w:hAnsi="Times New Roman" w:eastAsia="宋体" w:cs="Times New Roman"/>
                <w:color w:val="auto"/>
                <w:kern w:val="0"/>
                <w:sz w:val="24"/>
                <w:szCs w:val="24"/>
                <w:lang w:val="en-US" w:eastAsia="zh-CN" w:bidi="ar"/>
              </w:rPr>
              <w:t>1</w:t>
            </w:r>
            <w:r>
              <w:rPr>
                <w:rFonts w:hint="eastAsia" w:ascii="Times New Roman" w:hAnsi="Times New Roman" w:eastAsia="宋体" w:cs="Times New Roman"/>
                <w:color w:val="auto"/>
                <w:kern w:val="0"/>
                <w:sz w:val="24"/>
                <w:szCs w:val="24"/>
                <w:lang w:val="en-US" w:eastAsia="zh-CN" w:bidi="ar"/>
              </w:rPr>
              <w:t>1</w:t>
            </w:r>
            <w:r>
              <w:rPr>
                <w:rFonts w:hint="default" w:ascii="Times New Roman" w:hAnsi="Times New Roman" w:eastAsia="宋体" w:cs="Times New Roman"/>
                <w:color w:val="auto"/>
                <w:kern w:val="0"/>
                <w:sz w:val="24"/>
                <w:szCs w:val="24"/>
                <w:lang w:val="en-US" w:eastAsia="zh-CN" w:bidi="ar"/>
              </w:rPr>
              <w:t>00~1500</w:t>
            </w:r>
            <w:r>
              <w:rPr>
                <w:rFonts w:hint="eastAsia" w:ascii="Times New Roman" w:hAnsi="Times New Roman" w:eastAsia="宋体" w:cs="Times New Roman"/>
                <w:color w:val="auto"/>
                <w:kern w:val="0"/>
                <w:sz w:val="24"/>
                <w:szCs w:val="24"/>
                <w:lang w:val="en-US" w:eastAsia="zh-CN" w:bidi="ar"/>
              </w:rPr>
              <w:t>m</w:t>
            </w:r>
            <w:r>
              <w:rPr>
                <w:rFonts w:hint="eastAsia" w:ascii="Times New Roman" w:hAnsi="Times New Roman" w:eastAsia="宋体" w:cs="Times New Roman"/>
                <w:color w:val="auto"/>
                <w:kern w:val="0"/>
                <w:sz w:val="24"/>
                <w:szCs w:val="24"/>
                <w:vertAlign w:val="superscript"/>
                <w:lang w:val="en-US" w:eastAsia="zh-CN" w:bidi="ar"/>
              </w:rPr>
              <w:t>2</w:t>
            </w:r>
            <w:r>
              <w:rPr>
                <w:rFonts w:hint="default" w:ascii="Times New Roman" w:hAnsi="Times New Roman" w:eastAsia="宋体" w:cs="Times New Roman"/>
                <w:color w:val="auto"/>
                <w:kern w:val="0"/>
                <w:sz w:val="24"/>
                <w:szCs w:val="24"/>
                <w:lang w:val="en-US" w:eastAsia="zh-CN" w:bidi="ar"/>
              </w:rPr>
              <w:t>/g</w:t>
            </w:r>
            <w:r>
              <w:rPr>
                <w:rFonts w:hint="eastAsia" w:ascii="Times New Roman" w:hAnsi="Times New Roman" w:eastAsia="宋体" w:cs="Times New Roman"/>
                <w:color w:val="auto"/>
                <w:kern w:val="0"/>
                <w:sz w:val="24"/>
                <w:szCs w:val="24"/>
                <w:lang w:val="en-US" w:eastAsia="zh-CN" w:bidi="ar"/>
              </w:rPr>
              <w:t>。</w:t>
            </w:r>
            <w:r>
              <w:rPr>
                <w:rFonts w:hint="eastAsia" w:ascii="宋体" w:hAnsi="宋体" w:eastAsia="宋体" w:cs="宋体"/>
                <w:color w:val="auto"/>
                <w:kern w:val="0"/>
                <w:sz w:val="24"/>
                <w:szCs w:val="24"/>
                <w:lang w:val="en-US" w:eastAsia="zh-CN" w:bidi="ar"/>
              </w:rPr>
              <w:t>本项目共设置</w:t>
            </w:r>
            <w:r>
              <w:rPr>
                <w:rFonts w:hint="default" w:ascii="Times New Roman" w:hAnsi="Times New Roman" w:eastAsia="宋体" w:cs="Times New Roman"/>
                <w:color w:val="auto"/>
                <w:kern w:val="0"/>
                <w:sz w:val="24"/>
                <w:szCs w:val="24"/>
                <w:lang w:val="en-US" w:eastAsia="zh-CN" w:bidi="ar"/>
              </w:rPr>
              <w:t>1</w:t>
            </w:r>
            <w:r>
              <w:rPr>
                <w:rFonts w:hint="eastAsia" w:ascii="宋体" w:hAnsi="宋体" w:eastAsia="宋体" w:cs="宋体"/>
                <w:color w:val="auto"/>
                <w:kern w:val="0"/>
                <w:sz w:val="24"/>
                <w:szCs w:val="24"/>
                <w:lang w:val="en-US" w:eastAsia="zh-CN" w:bidi="ar"/>
              </w:rPr>
              <w:t>个</w:t>
            </w:r>
            <w:r>
              <w:rPr>
                <w:rFonts w:hint="eastAsia" w:ascii="Times New Roman" w:hAnsi="Times New Roman" w:eastAsia="宋体" w:cs="Times New Roman"/>
                <w:color w:val="auto"/>
                <w:sz w:val="24"/>
                <w:szCs w:val="24"/>
                <w:highlight w:val="none"/>
                <w:lang w:eastAsia="zh-CN"/>
              </w:rPr>
              <w:t>带有自动控制系统的</w:t>
            </w:r>
            <w:r>
              <w:rPr>
                <w:rFonts w:hint="eastAsia" w:ascii="宋体" w:hAnsi="宋体" w:eastAsia="宋体" w:cs="宋体"/>
                <w:color w:val="auto"/>
                <w:kern w:val="0"/>
                <w:sz w:val="24"/>
                <w:szCs w:val="24"/>
                <w:lang w:val="en-US" w:eastAsia="zh-CN" w:bidi="ar"/>
              </w:rPr>
              <w:t>二级活性炭吸附装置，</w:t>
            </w:r>
            <w:r>
              <w:rPr>
                <w:rFonts w:hint="default" w:ascii="Times New Roman" w:hAnsi="Times New Roman" w:eastAsia="宋体" w:cs="Times New Roman"/>
                <w:color w:val="auto"/>
                <w:kern w:val="0"/>
                <w:sz w:val="24"/>
                <w:szCs w:val="24"/>
                <w:lang w:val="en-US" w:eastAsia="zh-CN" w:bidi="ar"/>
              </w:rPr>
              <w:t>根据《简明通风设计手册》（中国建筑工业出版社，孙一坚主编）：</w:t>
            </w:r>
            <w:r>
              <w:rPr>
                <w:rFonts w:hint="eastAsia" w:ascii="Times New Roman" w:hAnsi="Times New Roman" w:eastAsia="宋体"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活性炭的有效吸附量qe=0.25kg/kg-活性炭</w:t>
            </w:r>
            <w:r>
              <w:rPr>
                <w:rFonts w:hint="eastAsia" w:ascii="Times New Roman" w:hAnsi="Times New Roman" w:eastAsia="宋体"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w:t>
            </w:r>
            <w:r>
              <w:rPr>
                <w:rFonts w:hint="eastAsia" w:ascii="Times New Roman" w:hAnsi="Times New Roman" w:eastAsia="宋体" w:cs="Times New Roman"/>
                <w:color w:val="auto"/>
                <w:kern w:val="0"/>
                <w:sz w:val="24"/>
                <w:szCs w:val="24"/>
                <w:lang w:val="en-US" w:eastAsia="zh-CN" w:bidi="ar"/>
              </w:rPr>
              <w:t>本项目有机废气产生量0.646t/a，</w:t>
            </w:r>
            <w:r>
              <w:rPr>
                <w:rFonts w:hint="eastAsia" w:ascii="time" w:hAnsi="time"/>
                <w:color w:val="auto"/>
                <w:sz w:val="24"/>
                <w:szCs w:val="24"/>
              </w:rPr>
              <w:t>涂装生产线有机废气总体收集效率</w:t>
            </w:r>
            <w:r>
              <w:rPr>
                <w:rFonts w:hint="eastAsia" w:ascii="time" w:hAnsi="time"/>
                <w:color w:val="auto"/>
                <w:sz w:val="24"/>
                <w:szCs w:val="24"/>
                <w:lang w:eastAsia="zh-CN"/>
              </w:rPr>
              <w:t>为</w:t>
            </w:r>
            <w:r>
              <w:rPr>
                <w:rFonts w:hint="eastAsia" w:ascii="time" w:hAnsi="time"/>
                <w:color w:val="auto"/>
                <w:sz w:val="24"/>
                <w:szCs w:val="24"/>
                <w:lang w:val="en-US" w:eastAsia="zh-CN"/>
              </w:rPr>
              <w:t>80</w:t>
            </w:r>
            <w:r>
              <w:rPr>
                <w:rFonts w:hint="eastAsia" w:ascii="time" w:hAnsi="time"/>
                <w:color w:val="auto"/>
                <w:sz w:val="24"/>
                <w:szCs w:val="24"/>
              </w:rPr>
              <w:t>%</w:t>
            </w:r>
            <w:r>
              <w:rPr>
                <w:rFonts w:hint="eastAsia" w:ascii="Times New Roman" w:hAnsi="Times New Roman" w:eastAsia="宋体" w:cs="Times New Roman"/>
                <w:color w:val="auto"/>
                <w:kern w:val="0"/>
                <w:sz w:val="24"/>
                <w:szCs w:val="24"/>
                <w:lang w:val="en-US" w:eastAsia="zh-CN" w:bidi="ar"/>
              </w:rPr>
              <w:t>，活性炭吸附效率为50%，</w:t>
            </w:r>
            <w:r>
              <w:rPr>
                <w:rFonts w:hint="default" w:ascii="Times New Roman" w:hAnsi="Times New Roman" w:eastAsia="宋体" w:cs="Times New Roman"/>
                <w:color w:val="auto"/>
                <w:kern w:val="0"/>
                <w:sz w:val="24"/>
                <w:szCs w:val="24"/>
                <w:lang w:val="en-US" w:eastAsia="zh-CN" w:bidi="ar"/>
              </w:rPr>
              <w:t>因此</w:t>
            </w:r>
            <w:r>
              <w:rPr>
                <w:rFonts w:hint="eastAsia" w:ascii="Times New Roman" w:hAnsi="Times New Roman" w:eastAsia="宋体" w:cs="Times New Roman"/>
                <w:color w:val="auto"/>
                <w:kern w:val="0"/>
                <w:sz w:val="24"/>
                <w:szCs w:val="24"/>
                <w:lang w:val="en-US" w:eastAsia="zh-CN" w:bidi="ar"/>
              </w:rPr>
              <w:t>吸附的有机废气量为0.26t/a。</w:t>
            </w:r>
            <w:r>
              <w:rPr>
                <w:rFonts w:hint="default" w:ascii="Times New Roman" w:hAnsi="Times New Roman" w:eastAsia="宋体" w:cs="Times New Roman"/>
                <w:color w:val="auto"/>
                <w:kern w:val="0"/>
                <w:sz w:val="24"/>
                <w:szCs w:val="24"/>
                <w:lang w:val="en-US" w:eastAsia="zh-CN" w:bidi="ar"/>
              </w:rPr>
              <w:t>吸附</w:t>
            </w:r>
            <w:r>
              <w:rPr>
                <w:rFonts w:hint="eastAsia" w:ascii="Times New Roman" w:hAnsi="Times New Roman" w:eastAsia="宋体" w:cs="Times New Roman"/>
                <w:color w:val="auto"/>
                <w:kern w:val="0"/>
                <w:sz w:val="24"/>
                <w:szCs w:val="24"/>
                <w:lang w:val="en-US" w:eastAsia="zh-CN" w:bidi="ar"/>
              </w:rPr>
              <w:t>0.26</w:t>
            </w:r>
            <w:r>
              <w:rPr>
                <w:rFonts w:hint="default" w:ascii="Times New Roman" w:hAnsi="Times New Roman" w:eastAsia="宋体" w:cs="Times New Roman"/>
                <w:color w:val="auto"/>
                <w:kern w:val="0"/>
                <w:sz w:val="24"/>
                <w:szCs w:val="24"/>
                <w:lang w:val="en-US" w:eastAsia="zh-CN" w:bidi="ar"/>
              </w:rPr>
              <w:t>t/a的废气需要理论活性炭量为：</w:t>
            </w:r>
            <w:r>
              <w:rPr>
                <w:rFonts w:hint="eastAsia" w:ascii="Times New Roman" w:hAnsi="Times New Roman" w:eastAsia="宋体" w:cs="Times New Roman"/>
                <w:color w:val="auto"/>
                <w:kern w:val="0"/>
                <w:sz w:val="24"/>
                <w:szCs w:val="24"/>
                <w:lang w:val="en-US" w:eastAsia="zh-CN" w:bidi="ar"/>
              </w:rPr>
              <w:t>0.26</w:t>
            </w:r>
            <w:r>
              <w:rPr>
                <w:rFonts w:hint="default" w:ascii="Times New Roman" w:hAnsi="Times New Roman" w:eastAsia="宋体" w:cs="Times New Roman"/>
                <w:color w:val="auto"/>
                <w:kern w:val="0"/>
                <w:sz w:val="24"/>
                <w:szCs w:val="24"/>
                <w:lang w:val="en-US" w:eastAsia="zh-CN" w:bidi="ar"/>
              </w:rPr>
              <w:t>/0.25＝</w:t>
            </w:r>
            <w:r>
              <w:rPr>
                <w:rFonts w:hint="eastAsia" w:ascii="Times New Roman" w:hAnsi="Times New Roman" w:eastAsia="宋体" w:cs="Times New Roman"/>
                <w:color w:val="auto"/>
                <w:kern w:val="0"/>
                <w:sz w:val="24"/>
                <w:szCs w:val="24"/>
                <w:lang w:val="en-US" w:eastAsia="zh-CN" w:bidi="ar"/>
              </w:rPr>
              <w:t>1.04</w:t>
            </w:r>
            <w:r>
              <w:rPr>
                <w:rFonts w:hint="default" w:ascii="Times New Roman" w:hAnsi="Times New Roman" w:eastAsia="宋体" w:cs="Times New Roman"/>
                <w:color w:val="auto"/>
                <w:kern w:val="0"/>
                <w:sz w:val="24"/>
                <w:szCs w:val="24"/>
                <w:lang w:val="en-US" w:eastAsia="zh-CN" w:bidi="ar"/>
              </w:rPr>
              <w:t>t/a，活性炭使用量为</w:t>
            </w:r>
            <w:r>
              <w:rPr>
                <w:rFonts w:hint="eastAsia" w:ascii="Times New Roman" w:hAnsi="Times New Roman" w:eastAsia="宋体" w:cs="Times New Roman"/>
                <w:color w:val="auto"/>
                <w:kern w:val="0"/>
                <w:sz w:val="24"/>
                <w:szCs w:val="24"/>
                <w:lang w:val="en-US" w:eastAsia="zh-CN" w:bidi="ar"/>
              </w:rPr>
              <w:t>1.04</w:t>
            </w:r>
            <w:r>
              <w:rPr>
                <w:rFonts w:hint="default" w:ascii="Times New Roman" w:hAnsi="Times New Roman" w:eastAsia="宋体" w:cs="Times New Roman"/>
                <w:color w:val="auto"/>
                <w:kern w:val="0"/>
                <w:sz w:val="24"/>
                <w:szCs w:val="24"/>
                <w:lang w:val="en-US" w:eastAsia="zh-CN" w:bidi="ar"/>
              </w:rPr>
              <w:t>t/a，则废活性炭产生</w:t>
            </w:r>
            <w:r>
              <w:rPr>
                <w:rFonts w:hint="eastAsia" w:ascii="宋体" w:hAnsi="宋体" w:eastAsia="宋体" w:cs="宋体"/>
                <w:color w:val="auto"/>
                <w:kern w:val="0"/>
                <w:sz w:val="24"/>
                <w:szCs w:val="24"/>
                <w:lang w:val="en-US" w:eastAsia="zh-CN" w:bidi="ar"/>
              </w:rPr>
              <w:t>量为</w:t>
            </w:r>
            <w:r>
              <w:rPr>
                <w:rFonts w:hint="eastAsia" w:ascii="Times New Roman" w:hAnsi="Times New Roman" w:eastAsia="宋体" w:cs="Times New Roman"/>
                <w:color w:val="auto"/>
                <w:kern w:val="0"/>
                <w:sz w:val="24"/>
                <w:szCs w:val="24"/>
                <w:lang w:val="en-US" w:eastAsia="zh-CN" w:bidi="ar"/>
              </w:rPr>
              <w:t>1.3</w:t>
            </w:r>
            <w:r>
              <w:rPr>
                <w:rFonts w:hint="default" w:ascii="Times New Roman" w:hAnsi="Times New Roman" w:eastAsia="宋体" w:cs="Times New Roman"/>
                <w:color w:val="auto"/>
                <w:kern w:val="0"/>
                <w:sz w:val="24"/>
                <w:szCs w:val="24"/>
                <w:lang w:val="en-US" w:eastAsia="zh-CN" w:bidi="ar"/>
              </w:rPr>
              <w:t>t/a</w:t>
            </w:r>
            <w:r>
              <w:rPr>
                <w:rFonts w:hint="eastAsia" w:ascii="宋体" w:hAnsi="宋体" w:eastAsia="宋体" w:cs="宋体"/>
                <w:color w:val="auto"/>
                <w:kern w:val="0"/>
                <w:sz w:val="24"/>
                <w:szCs w:val="24"/>
                <w:lang w:val="en-US" w:eastAsia="zh-CN" w:bidi="ar"/>
              </w:rPr>
              <w:t>。活性炭每季度更换一次</w:t>
            </w:r>
            <w:r>
              <w:rPr>
                <w:rFonts w:hint="default" w:ascii="Times New Roman" w:hAnsi="Times New Roman" w:eastAsia="宋体" w:cs="Times New Roman"/>
                <w:color w:val="auto"/>
                <w:kern w:val="0"/>
                <w:sz w:val="24"/>
                <w:szCs w:val="24"/>
                <w:lang w:val="en-US" w:eastAsia="zh-CN" w:bidi="ar"/>
              </w:rPr>
              <w:t>。</w:t>
            </w:r>
            <w:r>
              <w:rPr>
                <w:rFonts w:ascii="Times New Roman" w:hAnsi="Times New Roman" w:cs="Times New Roman"/>
                <w:color w:val="auto"/>
              </w:rPr>
              <w:t>产生的废活性炭在</w:t>
            </w:r>
            <w:r>
              <w:rPr>
                <w:rFonts w:hint="eastAsia" w:ascii="Times New Roman" w:hAnsi="Times New Roman" w:cs="Times New Roman"/>
                <w:color w:val="auto"/>
                <w:lang w:eastAsia="zh-CN"/>
              </w:rPr>
              <w:t>危险废物贮存点</w:t>
            </w:r>
            <w:r>
              <w:rPr>
                <w:rFonts w:ascii="Times New Roman" w:hAnsi="Times New Roman" w:cs="Times New Roman"/>
                <w:color w:val="auto"/>
              </w:rPr>
              <w:t>暂存，</w:t>
            </w:r>
            <w:r>
              <w:rPr>
                <w:rFonts w:hint="eastAsia" w:ascii="Times New Roman" w:hAnsi="宋体" w:eastAsia="宋体" w:cs="Times New Roman"/>
                <w:color w:val="auto"/>
                <w:kern w:val="0"/>
                <w:sz w:val="24"/>
                <w:szCs w:val="24"/>
                <w:highlight w:val="none"/>
              </w:rPr>
              <w:t>委托</w:t>
            </w:r>
            <w:r>
              <w:rPr>
                <w:rFonts w:hint="eastAsia" w:ascii="Times New Roman" w:hAnsi="宋体" w:eastAsia="宋体" w:cs="Times New Roman"/>
                <w:color w:val="auto"/>
                <w:kern w:val="0"/>
                <w:sz w:val="24"/>
                <w:szCs w:val="24"/>
                <w:highlight w:val="none"/>
                <w:lang w:eastAsia="zh-CN"/>
              </w:rPr>
              <w:t>有</w:t>
            </w:r>
            <w:r>
              <w:rPr>
                <w:rFonts w:hint="eastAsia" w:ascii="Times New Roman" w:hAnsi="宋体" w:eastAsia="宋体" w:cs="Times New Roman"/>
                <w:color w:val="auto"/>
                <w:kern w:val="0"/>
                <w:sz w:val="24"/>
                <w:szCs w:val="24"/>
                <w:highlight w:val="none"/>
              </w:rPr>
              <w:t>资质单位处置</w:t>
            </w:r>
            <w:r>
              <w:rPr>
                <w:rFonts w:ascii="Times New Roman" w:hAnsi="Times New Roman" w:cs="Times New Roman"/>
                <w:color w:val="auto"/>
              </w:rPr>
              <w:t>。</w:t>
            </w:r>
          </w:p>
          <w:p w14:paraId="596C0007">
            <w:pPr>
              <w:pStyle w:val="41"/>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宋体" w:eastAsia="宋体" w:cs="Times New Roman"/>
                <w:color w:val="auto"/>
                <w:kern w:val="0"/>
                <w:sz w:val="24"/>
                <w:highlight w:val="none"/>
                <w:lang w:eastAsia="zh-CN"/>
              </w:rPr>
            </w:pPr>
            <w:r>
              <w:rPr>
                <w:color w:val="auto"/>
                <w:kern w:val="0"/>
                <w:sz w:val="24"/>
                <w:szCs w:val="24"/>
                <w:highlight w:val="none"/>
              </w:rPr>
              <w:t>②</w:t>
            </w:r>
            <w:r>
              <w:rPr>
                <w:rFonts w:hint="eastAsia"/>
                <w:color w:val="auto"/>
                <w:kern w:val="0"/>
                <w:sz w:val="24"/>
                <w:highlight w:val="none"/>
                <w:lang w:eastAsia="zh-CN"/>
              </w:rPr>
              <w:t>废</w:t>
            </w:r>
            <w:r>
              <w:rPr>
                <w:rFonts w:hint="eastAsia"/>
                <w:color w:val="auto"/>
                <w:kern w:val="0"/>
                <w:sz w:val="24"/>
                <w:highlight w:val="none"/>
                <w:lang w:val="en-US" w:eastAsia="zh-CN"/>
              </w:rPr>
              <w:t>UV灯管</w:t>
            </w:r>
          </w:p>
          <w:p w14:paraId="4DDC72DE">
            <w:pPr>
              <w:keepNext w:val="0"/>
              <w:keepLines w:val="0"/>
              <w:pageBreakBefore w:val="0"/>
              <w:widowControl/>
              <w:suppressLineNumbers w:val="0"/>
              <w:kinsoku/>
              <w:wordWrap/>
              <w:overflowPunct/>
              <w:topLinePunct w:val="0"/>
              <w:autoSpaceDE/>
              <w:autoSpaceDN/>
              <w:bidi w:val="0"/>
              <w:adjustRightInd/>
              <w:snapToGrid/>
              <w:ind w:firstLine="480" w:firstLineChars="200"/>
              <w:jc w:val="left"/>
              <w:textAlignment w:val="auto"/>
              <w:rPr>
                <w:rFonts w:hint="default" w:ascii="Times New Roman" w:hAnsi="Times New Roman" w:eastAsia="宋体" w:cs="Times New Roman"/>
                <w:color w:val="auto"/>
                <w:kern w:val="0"/>
                <w:sz w:val="24"/>
                <w:highlight w:val="none"/>
                <w:lang w:eastAsia="zh-CN"/>
              </w:rPr>
            </w:pPr>
            <w:r>
              <w:rPr>
                <w:rFonts w:hint="default" w:ascii="Times New Roman" w:hAnsi="Times New Roman" w:eastAsia="宋体" w:cs="Times New Roman"/>
                <w:color w:val="auto"/>
                <w:kern w:val="0"/>
                <w:sz w:val="24"/>
                <w:szCs w:val="24"/>
                <w:lang w:val="en-US" w:eastAsia="zh-CN" w:bidi="ar"/>
              </w:rPr>
              <w:t>本项目设置7道</w:t>
            </w:r>
            <w:r>
              <w:rPr>
                <w:rFonts w:hint="eastAsia" w:ascii="Times New Roman" w:hAnsi="Times New Roman" w:eastAsia="宋体" w:cs="Times New Roman"/>
                <w:color w:val="auto"/>
                <w:sz w:val="24"/>
                <w:szCs w:val="24"/>
                <w:highlight w:val="none"/>
                <w:lang w:val="en-US" w:eastAsia="zh-CN"/>
              </w:rPr>
              <w:t>紫外光固化</w:t>
            </w:r>
            <w:r>
              <w:rPr>
                <w:rFonts w:hint="eastAsia" w:ascii="Times New Roman" w:hAnsi="Times New Roman" w:eastAsia="宋体" w:cs="Times New Roman"/>
                <w:color w:val="auto"/>
                <w:kern w:val="0"/>
                <w:sz w:val="24"/>
                <w:szCs w:val="24"/>
                <w:lang w:val="en-US" w:eastAsia="zh-CN" w:bidi="ar"/>
              </w:rPr>
              <w:t>机</w:t>
            </w:r>
            <w:r>
              <w:rPr>
                <w:rFonts w:hint="default" w:ascii="Times New Roman" w:hAnsi="Times New Roman" w:eastAsia="宋体" w:cs="Times New Roman"/>
                <w:color w:val="auto"/>
                <w:kern w:val="0"/>
                <w:sz w:val="24"/>
                <w:szCs w:val="24"/>
                <w:lang w:val="en-US" w:eastAsia="zh-CN" w:bidi="ar"/>
              </w:rPr>
              <w:t>，每台设备有8根紫外灯管，紫外灯管一年更换一次</w:t>
            </w:r>
            <w:r>
              <w:rPr>
                <w:rFonts w:hint="eastAsia" w:ascii="Times New Roman" w:hAnsi="Times New Roman" w:eastAsia="宋体"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年产生量为56根，约0.012t/a，对照《国家危险废物名录》</w:t>
            </w:r>
            <w:r>
              <w:rPr>
                <w:rFonts w:hint="eastAsia" w:ascii="Times New Roman" w:hAnsi="Times New Roman" w:eastAsia="宋体"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2025年版</w:t>
            </w:r>
            <w:r>
              <w:rPr>
                <w:rFonts w:hint="eastAsia" w:ascii="Times New Roman" w:hAnsi="Times New Roman" w:eastAsia="宋体"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，属于危险废物类别为HW29</w:t>
            </w:r>
            <w:r>
              <w:rPr>
                <w:rFonts w:hint="eastAsia" w:ascii="Times New Roman" w:hAnsi="Times New Roman" w:eastAsia="宋体"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废物代码为900-023-29</w:t>
            </w:r>
            <w:r>
              <w:rPr>
                <w:rFonts w:hint="eastAsia" w:ascii="Times New Roman" w:hAnsi="Times New Roman" w:eastAsia="宋体"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暂存在</w:t>
            </w:r>
            <w:r>
              <w:rPr>
                <w:rFonts w:hint="eastAsia" w:ascii="Times New Roman" w:hAnsi="Times New Roman" w:eastAsia="宋体" w:cs="Times New Roman"/>
                <w:color w:val="auto"/>
                <w:kern w:val="0"/>
                <w:sz w:val="24"/>
                <w:szCs w:val="24"/>
                <w:lang w:val="en-US" w:eastAsia="zh-CN" w:bidi="ar"/>
              </w:rPr>
              <w:t>危险废物贮存点</w:t>
            </w:r>
            <w:r>
              <w:rPr>
                <w:rFonts w:hint="default" w:ascii="Times New Roman" w:hAnsi="Times New Roman" w:eastAsia="宋体" w:cs="Times New Roman"/>
                <w:color w:val="auto"/>
                <w:kern w:val="0"/>
                <w:sz w:val="24"/>
                <w:szCs w:val="24"/>
                <w:lang w:val="en-US" w:eastAsia="zh-CN" w:bidi="ar"/>
              </w:rPr>
              <w:t>，</w:t>
            </w:r>
            <w:r>
              <w:rPr>
                <w:rFonts w:hint="eastAsia" w:ascii="Times New Roman" w:hAnsi="宋体" w:eastAsia="宋体" w:cs="Times New Roman"/>
                <w:color w:val="auto"/>
                <w:kern w:val="0"/>
                <w:sz w:val="24"/>
                <w:szCs w:val="24"/>
                <w:highlight w:val="none"/>
              </w:rPr>
              <w:t>委托</w:t>
            </w:r>
            <w:r>
              <w:rPr>
                <w:rFonts w:hint="eastAsia" w:ascii="Times New Roman" w:hAnsi="宋体" w:eastAsia="宋体" w:cs="Times New Roman"/>
                <w:color w:val="auto"/>
                <w:kern w:val="0"/>
                <w:sz w:val="24"/>
                <w:szCs w:val="24"/>
                <w:highlight w:val="none"/>
                <w:lang w:eastAsia="zh-CN"/>
              </w:rPr>
              <w:t>有</w:t>
            </w:r>
            <w:r>
              <w:rPr>
                <w:rFonts w:hint="eastAsia" w:ascii="Times New Roman" w:hAnsi="宋体" w:eastAsia="宋体" w:cs="Times New Roman"/>
                <w:color w:val="auto"/>
                <w:kern w:val="0"/>
                <w:sz w:val="24"/>
                <w:szCs w:val="24"/>
                <w:highlight w:val="none"/>
              </w:rPr>
              <w:t>资质单位处置</w:t>
            </w:r>
            <w:r>
              <w:rPr>
                <w:rFonts w:hint="default" w:ascii="Times New Roman" w:hAnsi="Times New Roman" w:eastAsia="宋体" w:cs="Times New Roman"/>
                <w:color w:val="auto"/>
                <w:kern w:val="0"/>
                <w:sz w:val="24"/>
                <w:szCs w:val="24"/>
                <w:lang w:val="en-US" w:eastAsia="zh-CN" w:bidi="ar"/>
              </w:rPr>
              <w:t>，严禁随意丢弃。</w:t>
            </w:r>
          </w:p>
          <w:p w14:paraId="53CFF0BA">
            <w:pPr>
              <w:pStyle w:val="41"/>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宋体" w:eastAsia="宋体" w:cs="Times New Roman"/>
                <w:color w:val="auto"/>
                <w:kern w:val="0"/>
                <w:sz w:val="24"/>
                <w:szCs w:val="24"/>
                <w:highlight w:val="none"/>
                <w:lang w:val="en-US" w:eastAsia="zh-CN"/>
              </w:rPr>
            </w:pPr>
            <w:r>
              <w:rPr>
                <w:rFonts w:ascii="Times New Roman" w:hAnsi="宋体" w:eastAsia="宋体" w:cs="Times New Roman"/>
                <w:color w:val="auto"/>
                <w:kern w:val="0"/>
                <w:sz w:val="24"/>
                <w:szCs w:val="24"/>
                <w:highlight w:val="none"/>
              </w:rPr>
              <w:t>③</w:t>
            </w:r>
            <w:r>
              <w:rPr>
                <w:rFonts w:hint="eastAsia" w:ascii="Times New Roman" w:hAnsi="宋体" w:eastAsia="宋体" w:cs="Times New Roman"/>
                <w:color w:val="auto"/>
                <w:kern w:val="0"/>
                <w:sz w:val="24"/>
                <w:szCs w:val="24"/>
                <w:highlight w:val="none"/>
                <w:lang w:val="en-US" w:eastAsia="zh-CN"/>
              </w:rPr>
              <w:t>废胶渣</w:t>
            </w:r>
          </w:p>
          <w:p w14:paraId="215E5F72">
            <w:pPr>
              <w:pStyle w:val="41"/>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eastAsia" w:ascii="Times New Roman" w:hAnsi="宋体" w:eastAsia="宋体" w:cs="Times New Roman"/>
                <w:color w:val="auto"/>
                <w:kern w:val="0"/>
                <w:sz w:val="24"/>
                <w:szCs w:val="24"/>
                <w:highlight w:val="none"/>
                <w:lang w:eastAsia="zh-CN"/>
              </w:rPr>
            </w:pPr>
            <w:r>
              <w:rPr>
                <w:rFonts w:hint="eastAsia" w:ascii="Times New Roman" w:hAnsi="宋体" w:eastAsia="宋体" w:cs="Times New Roman"/>
                <w:color w:val="auto"/>
                <w:kern w:val="0"/>
                <w:sz w:val="24"/>
                <w:szCs w:val="24"/>
                <w:highlight w:val="none"/>
                <w:lang w:eastAsia="zh-CN"/>
              </w:rPr>
              <w:t>本</w:t>
            </w:r>
            <w:r>
              <w:rPr>
                <w:rFonts w:hint="eastAsia" w:ascii="Times New Roman" w:hAnsi="宋体" w:eastAsia="宋体" w:cs="Times New Roman"/>
                <w:color w:val="auto"/>
                <w:kern w:val="0"/>
                <w:sz w:val="24"/>
                <w:szCs w:val="24"/>
                <w:highlight w:val="none"/>
              </w:rPr>
              <w:t>项目在</w:t>
            </w:r>
            <w:r>
              <w:rPr>
                <w:rFonts w:hint="eastAsia" w:ascii="Times New Roman" w:hAnsi="宋体" w:eastAsia="宋体" w:cs="Times New Roman"/>
                <w:color w:val="auto"/>
                <w:kern w:val="0"/>
                <w:sz w:val="24"/>
                <w:szCs w:val="24"/>
                <w:highlight w:val="none"/>
                <w:lang w:eastAsia="zh-CN"/>
              </w:rPr>
              <w:t>梳齿</w:t>
            </w:r>
            <w:r>
              <w:rPr>
                <w:rFonts w:hint="eastAsia" w:ascii="Times New Roman" w:hAnsi="宋体" w:eastAsia="宋体" w:cs="Times New Roman"/>
                <w:color w:val="auto"/>
                <w:kern w:val="0"/>
                <w:sz w:val="24"/>
                <w:szCs w:val="24"/>
                <w:highlight w:val="none"/>
              </w:rPr>
              <w:t>指接工段中有少量废胶渣产生，主要积聚在指接机下。项目废胶渣产生量按胶用量的1%计算，则废胶渣产生量为0.0</w:t>
            </w:r>
            <w:r>
              <w:rPr>
                <w:rFonts w:hint="eastAsia" w:ascii="Times New Roman" w:hAnsi="宋体" w:eastAsia="宋体" w:cs="Times New Roman"/>
                <w:color w:val="auto"/>
                <w:kern w:val="0"/>
                <w:sz w:val="24"/>
                <w:szCs w:val="24"/>
                <w:highlight w:val="none"/>
                <w:lang w:val="en-US" w:eastAsia="zh-CN"/>
              </w:rPr>
              <w:t>036</w:t>
            </w:r>
            <w:r>
              <w:rPr>
                <w:rFonts w:hint="eastAsia" w:ascii="Times New Roman" w:hAnsi="宋体" w:eastAsia="宋体" w:cs="Times New Roman"/>
                <w:color w:val="auto"/>
                <w:kern w:val="0"/>
                <w:sz w:val="24"/>
                <w:szCs w:val="24"/>
                <w:highlight w:val="none"/>
              </w:rPr>
              <w:t>t/a。属于危险废物HW13，废物代码为900-014-13，于厂内</w:t>
            </w:r>
            <w:r>
              <w:rPr>
                <w:rFonts w:hint="eastAsia" w:ascii="Times New Roman" w:hAnsi="宋体" w:eastAsia="宋体" w:cs="Times New Roman"/>
                <w:color w:val="auto"/>
                <w:kern w:val="0"/>
                <w:sz w:val="24"/>
                <w:szCs w:val="24"/>
                <w:highlight w:val="none"/>
                <w:lang w:eastAsia="zh-CN"/>
              </w:rPr>
              <w:t>危险废物贮存点</w:t>
            </w:r>
            <w:r>
              <w:rPr>
                <w:rFonts w:hint="eastAsia" w:ascii="Times New Roman" w:hAnsi="宋体" w:eastAsia="宋体" w:cs="Times New Roman"/>
                <w:color w:val="auto"/>
                <w:kern w:val="0"/>
                <w:sz w:val="24"/>
                <w:szCs w:val="24"/>
                <w:highlight w:val="none"/>
              </w:rPr>
              <w:t>暂存后委托</w:t>
            </w:r>
            <w:r>
              <w:rPr>
                <w:rFonts w:hint="eastAsia" w:ascii="Times New Roman" w:hAnsi="宋体" w:eastAsia="宋体" w:cs="Times New Roman"/>
                <w:color w:val="auto"/>
                <w:kern w:val="0"/>
                <w:sz w:val="24"/>
                <w:szCs w:val="24"/>
                <w:highlight w:val="none"/>
                <w:lang w:eastAsia="zh-CN"/>
              </w:rPr>
              <w:t>有</w:t>
            </w:r>
            <w:r>
              <w:rPr>
                <w:rFonts w:hint="eastAsia" w:ascii="Times New Roman" w:hAnsi="宋体" w:eastAsia="宋体" w:cs="Times New Roman"/>
                <w:color w:val="auto"/>
                <w:kern w:val="0"/>
                <w:sz w:val="24"/>
                <w:szCs w:val="24"/>
                <w:highlight w:val="none"/>
              </w:rPr>
              <w:t>资质单位处置。</w:t>
            </w:r>
          </w:p>
          <w:p w14:paraId="61AEF4D5">
            <w:pPr>
              <w:keepNext w:val="0"/>
              <w:keepLines w:val="0"/>
              <w:pageBreakBefore w:val="0"/>
              <w:widowControl/>
              <w:suppressLineNumbers w:val="0"/>
              <w:kinsoku/>
              <w:wordWrap/>
              <w:overflowPunct/>
              <w:topLinePunct w:val="0"/>
              <w:autoSpaceDE/>
              <w:autoSpaceDN/>
              <w:bidi w:val="0"/>
              <w:adjustRightInd/>
              <w:snapToGrid/>
              <w:spacing w:before="0" w:beforeLines="0"/>
              <w:ind w:left="0" w:leftChars="0" w:firstLine="480" w:firstLineChars="200"/>
              <w:jc w:val="left"/>
              <w:textAlignment w:val="auto"/>
              <w:rPr>
                <w:rFonts w:hint="eastAsia"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rPr>
              <w:t>④</w:t>
            </w:r>
            <w:r>
              <w:rPr>
                <w:rFonts w:hint="eastAsia"/>
                <w:color w:val="auto"/>
                <w:kern w:val="0"/>
                <w:sz w:val="24"/>
                <w:highlight w:val="none"/>
                <w:lang w:val="en-US" w:eastAsia="zh-CN"/>
              </w:rPr>
              <w:t>废漆（胶）桶</w:t>
            </w:r>
          </w:p>
          <w:p w14:paraId="6C55E000">
            <w:pPr>
              <w:keepNext w:val="0"/>
              <w:keepLines w:val="0"/>
              <w:pageBreakBefore w:val="0"/>
              <w:widowControl/>
              <w:suppressLineNumbers w:val="0"/>
              <w:kinsoku/>
              <w:wordWrap/>
              <w:overflowPunct/>
              <w:topLinePunct w:val="0"/>
              <w:autoSpaceDE/>
              <w:autoSpaceDN/>
              <w:bidi w:val="0"/>
              <w:adjustRightInd/>
              <w:snapToGrid/>
              <w:ind w:firstLine="480" w:firstLineChars="200"/>
              <w:jc w:val="left"/>
              <w:textAlignment w:val="auto"/>
              <w:rPr>
                <w:rFonts w:hint="default"/>
                <w:color w:val="auto"/>
                <w:kern w:val="0"/>
                <w:sz w:val="24"/>
                <w:highlight w:val="none"/>
                <w:lang w:val="en-US" w:eastAsia="zh-CN"/>
              </w:rPr>
            </w:pPr>
            <w:r>
              <w:rPr>
                <w:rFonts w:hint="eastAsia"/>
                <w:color w:val="auto"/>
                <w:kern w:val="0"/>
                <w:sz w:val="24"/>
                <w:highlight w:val="none"/>
                <w:lang w:eastAsia="zh-CN"/>
              </w:rPr>
              <w:t>本项目使用的漆（胶）为桶装，空桶</w:t>
            </w:r>
            <w:r>
              <w:rPr>
                <w:rFonts w:hint="eastAsia"/>
                <w:color w:val="auto"/>
                <w:kern w:val="0"/>
                <w:sz w:val="24"/>
                <w:highlight w:val="none"/>
                <w:lang w:val="en-US" w:eastAsia="zh-CN"/>
              </w:rPr>
              <w:t>桶重按2kg/桶计。UV底漆量为14.5t/a，580桶/a，UV面漆量为2.5t/a，125桶/a，木工胶量0.36t/a，20桶/a，共计725桶/a。则废漆（胶）桶产生量为1.45t/a，</w:t>
            </w:r>
            <w:r>
              <w:rPr>
                <w:rFonts w:hint="eastAsia" w:ascii="Times New Roman" w:hAnsi="宋体" w:eastAsia="宋体" w:cs="Times New Roman"/>
                <w:color w:val="auto"/>
                <w:kern w:val="0"/>
                <w:sz w:val="24"/>
                <w:szCs w:val="24"/>
                <w:highlight w:val="none"/>
              </w:rPr>
              <w:t>于厂内</w:t>
            </w:r>
            <w:r>
              <w:rPr>
                <w:rFonts w:hint="eastAsia" w:ascii="Times New Roman" w:hAnsi="宋体" w:eastAsia="宋体" w:cs="Times New Roman"/>
                <w:color w:val="auto"/>
                <w:kern w:val="0"/>
                <w:sz w:val="24"/>
                <w:szCs w:val="24"/>
                <w:highlight w:val="none"/>
                <w:lang w:eastAsia="zh-CN"/>
              </w:rPr>
              <w:t>危险废物贮存点</w:t>
            </w:r>
            <w:r>
              <w:rPr>
                <w:rFonts w:hint="eastAsia" w:ascii="Times New Roman" w:hAnsi="宋体" w:eastAsia="宋体" w:cs="Times New Roman"/>
                <w:color w:val="auto"/>
                <w:kern w:val="0"/>
                <w:sz w:val="24"/>
                <w:szCs w:val="24"/>
                <w:highlight w:val="none"/>
              </w:rPr>
              <w:t>暂存后委托</w:t>
            </w:r>
            <w:r>
              <w:rPr>
                <w:rFonts w:hint="eastAsia" w:ascii="Times New Roman" w:hAnsi="宋体" w:eastAsia="宋体" w:cs="Times New Roman"/>
                <w:color w:val="auto"/>
                <w:kern w:val="0"/>
                <w:sz w:val="24"/>
                <w:szCs w:val="24"/>
                <w:highlight w:val="none"/>
                <w:lang w:eastAsia="zh-CN"/>
              </w:rPr>
              <w:t>有</w:t>
            </w:r>
            <w:r>
              <w:rPr>
                <w:rFonts w:hint="eastAsia" w:ascii="Times New Roman" w:hAnsi="宋体" w:eastAsia="宋体" w:cs="Times New Roman"/>
                <w:color w:val="auto"/>
                <w:kern w:val="0"/>
                <w:sz w:val="24"/>
                <w:szCs w:val="24"/>
                <w:highlight w:val="none"/>
              </w:rPr>
              <w:t>资质单位处置。</w:t>
            </w:r>
          </w:p>
          <w:p w14:paraId="40D60EF6">
            <w:pPr>
              <w:keepNext w:val="0"/>
              <w:keepLines w:val="0"/>
              <w:pageBreakBefore w:val="0"/>
              <w:widowControl/>
              <w:suppressLineNumbers w:val="0"/>
              <w:kinsoku/>
              <w:wordWrap/>
              <w:overflowPunct/>
              <w:topLinePunct w:val="0"/>
              <w:autoSpaceDE/>
              <w:autoSpaceDN/>
              <w:bidi w:val="0"/>
              <w:adjustRightInd/>
              <w:snapToGrid/>
              <w:spacing w:before="0" w:beforeLines="0"/>
              <w:ind w:left="0" w:leftChars="0" w:firstLine="480" w:firstLineChars="200"/>
              <w:jc w:val="left"/>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fldChar w:fldCharType="begin"/>
            </w:r>
            <w:r>
              <w:rPr>
                <w:rFonts w:hint="eastAsia" w:ascii="Times New Roman" w:hAnsi="Times New Roman" w:eastAsia="宋体" w:cs="Times New Roman"/>
                <w:color w:val="auto"/>
                <w:sz w:val="24"/>
                <w:szCs w:val="24"/>
                <w:lang w:val="en-US" w:eastAsia="zh-CN"/>
              </w:rPr>
              <w:instrText xml:space="preserve"> = 5 \* GB3 \* MERGEFORMAT </w:instrText>
            </w:r>
            <w:r>
              <w:rPr>
                <w:rFonts w:hint="eastAsia" w:ascii="Times New Roman" w:hAnsi="Times New Roman" w:eastAsia="宋体" w:cs="Times New Roman"/>
                <w:color w:val="auto"/>
                <w:sz w:val="24"/>
                <w:szCs w:val="24"/>
                <w:lang w:val="en-US" w:eastAsia="zh-CN"/>
              </w:rPr>
              <w:fldChar w:fldCharType="separate"/>
            </w:r>
            <w:r>
              <w:rPr>
                <w:rFonts w:hint="eastAsia" w:ascii="Times New Roman" w:hAnsi="Times New Roman" w:eastAsia="宋体" w:cs="Times New Roman"/>
                <w:color w:val="auto"/>
                <w:sz w:val="24"/>
                <w:szCs w:val="24"/>
              </w:rPr>
              <w:t>⑤</w:t>
            </w:r>
            <w:r>
              <w:rPr>
                <w:rFonts w:hint="eastAsia" w:ascii="Times New Roman" w:hAnsi="Times New Roman" w:eastAsia="宋体" w:cs="Times New Roman"/>
                <w:color w:val="auto"/>
                <w:sz w:val="24"/>
                <w:szCs w:val="24"/>
                <w:lang w:val="en-US" w:eastAsia="zh-CN"/>
              </w:rPr>
              <w:fldChar w:fldCharType="end"/>
            </w:r>
            <w:r>
              <w:rPr>
                <w:rFonts w:hint="eastAsia" w:ascii="Times New Roman" w:hAnsi="Times New Roman" w:eastAsia="宋体" w:cs="Times New Roman"/>
                <w:color w:val="auto"/>
                <w:sz w:val="24"/>
                <w:szCs w:val="24"/>
                <w:lang w:val="en-US" w:eastAsia="zh-CN"/>
              </w:rPr>
              <w:t>漆渣</w:t>
            </w:r>
          </w:p>
          <w:p w14:paraId="6BF8F9A9">
            <w:pPr>
              <w:keepNext w:val="0"/>
              <w:keepLines w:val="0"/>
              <w:pageBreakBefore w:val="0"/>
              <w:widowControl/>
              <w:suppressLineNumbers w:val="0"/>
              <w:kinsoku/>
              <w:wordWrap/>
              <w:overflowPunct/>
              <w:topLinePunct w:val="0"/>
              <w:autoSpaceDE/>
              <w:autoSpaceDN/>
              <w:bidi w:val="0"/>
              <w:adjustRightInd/>
              <w:snapToGrid/>
              <w:spacing w:before="0" w:beforeLines="0"/>
              <w:ind w:left="0" w:leftChars="0" w:firstLine="480" w:firstLineChars="200"/>
              <w:jc w:val="left"/>
              <w:textAlignment w:val="auto"/>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辊涂是将涂料涂敷在被涂物的表面，不产生漆雾，没有漆雾飞溅。</w:t>
            </w:r>
            <w:r>
              <w:rPr>
                <w:rFonts w:hint="eastAsia" w:ascii="Times New Roman" w:hAnsi="Times New Roman" w:eastAsia="宋体" w:cs="Times New Roman"/>
                <w:color w:val="auto"/>
                <w:sz w:val="24"/>
                <w:szCs w:val="24"/>
                <w:lang w:eastAsia="zh-CN"/>
              </w:rPr>
              <w:t>因此</w:t>
            </w:r>
            <w:r>
              <w:rPr>
                <w:rFonts w:hint="eastAsia" w:ascii="Times New Roman" w:hAnsi="Times New Roman" w:eastAsia="宋体" w:cs="Times New Roman"/>
                <w:color w:val="auto"/>
                <w:sz w:val="24"/>
                <w:szCs w:val="24"/>
              </w:rPr>
              <w:t>辊涂过程中产生的漆渣很少，</w:t>
            </w:r>
            <w:r>
              <w:rPr>
                <w:rFonts w:hint="eastAsia" w:ascii="Times New Roman" w:hAnsi="Times New Roman" w:eastAsia="宋体" w:cs="Times New Roman"/>
                <w:color w:val="auto"/>
                <w:sz w:val="24"/>
                <w:szCs w:val="24"/>
                <w:lang w:eastAsia="zh-CN"/>
              </w:rPr>
              <w:t>根据企业提供资料，辊漆过程上漆率为</w:t>
            </w:r>
            <w:r>
              <w:rPr>
                <w:rFonts w:hint="eastAsia" w:ascii="Times New Roman" w:hAnsi="Times New Roman" w:eastAsia="宋体" w:cs="Times New Roman"/>
                <w:color w:val="auto"/>
                <w:sz w:val="24"/>
                <w:szCs w:val="24"/>
                <w:lang w:val="en-US" w:eastAsia="zh-CN"/>
              </w:rPr>
              <w:t>99%，则</w:t>
            </w:r>
            <w:r>
              <w:rPr>
                <w:rFonts w:hint="eastAsia" w:ascii="Times New Roman" w:hAnsi="Times New Roman" w:eastAsia="宋体" w:cs="Times New Roman"/>
                <w:color w:val="auto"/>
                <w:sz w:val="24"/>
                <w:szCs w:val="24"/>
                <w:lang w:eastAsia="zh-CN"/>
              </w:rPr>
              <w:t>辊漆</w:t>
            </w:r>
            <w:r>
              <w:rPr>
                <w:rFonts w:hint="eastAsia" w:ascii="Times New Roman" w:hAnsi="Times New Roman" w:eastAsia="宋体" w:cs="Times New Roman"/>
                <w:color w:val="auto"/>
                <w:sz w:val="24"/>
                <w:szCs w:val="24"/>
              </w:rPr>
              <w:t>漆渣产生量约</w:t>
            </w:r>
            <w:r>
              <w:rPr>
                <w:rFonts w:hint="eastAsia" w:ascii="Times New Roman" w:hAnsi="Times New Roman" w:eastAsia="宋体" w:cs="Times New Roman"/>
                <w:color w:val="auto"/>
                <w:sz w:val="24"/>
                <w:szCs w:val="24"/>
                <w:lang w:val="en-US" w:eastAsia="zh-CN"/>
              </w:rPr>
              <w:t>0.17</w:t>
            </w:r>
            <w:r>
              <w:rPr>
                <w:rFonts w:hint="eastAsia" w:ascii="Times New Roman" w:hAnsi="Times New Roman" w:eastAsia="宋体" w:cs="Times New Roman"/>
                <w:color w:val="auto"/>
                <w:sz w:val="24"/>
                <w:szCs w:val="24"/>
              </w:rPr>
              <w:t>t/a。属于危险废物HW12，危废代码900-252-12，于厂内</w:t>
            </w:r>
            <w:r>
              <w:rPr>
                <w:rFonts w:hint="eastAsia" w:ascii="Times New Roman" w:hAnsi="Times New Roman" w:eastAsia="宋体" w:cs="Times New Roman"/>
                <w:color w:val="auto"/>
                <w:sz w:val="24"/>
                <w:szCs w:val="24"/>
                <w:lang w:eastAsia="zh-CN"/>
              </w:rPr>
              <w:t>危险废物贮存点</w:t>
            </w:r>
            <w:r>
              <w:rPr>
                <w:rFonts w:hint="eastAsia" w:ascii="Times New Roman" w:hAnsi="Times New Roman" w:eastAsia="宋体" w:cs="Times New Roman"/>
                <w:color w:val="auto"/>
                <w:sz w:val="24"/>
                <w:szCs w:val="24"/>
              </w:rPr>
              <w:t>暂存后委托</w:t>
            </w:r>
            <w:r>
              <w:rPr>
                <w:rFonts w:hint="eastAsia" w:ascii="Times New Roman" w:hAnsi="Times New Roman" w:eastAsia="宋体" w:cs="Times New Roman"/>
                <w:color w:val="auto"/>
                <w:sz w:val="24"/>
                <w:szCs w:val="24"/>
                <w:lang w:eastAsia="zh-CN"/>
              </w:rPr>
              <w:t>有</w:t>
            </w:r>
            <w:r>
              <w:rPr>
                <w:rFonts w:hint="eastAsia" w:ascii="Times New Roman" w:hAnsi="Times New Roman" w:eastAsia="宋体" w:cs="Times New Roman"/>
                <w:color w:val="auto"/>
                <w:sz w:val="24"/>
                <w:szCs w:val="24"/>
              </w:rPr>
              <w:t>资质单位处置。</w:t>
            </w:r>
          </w:p>
          <w:p w14:paraId="3581B373">
            <w:pPr>
              <w:keepNext w:val="0"/>
              <w:keepLines w:val="0"/>
              <w:pageBreakBefore w:val="0"/>
              <w:widowControl/>
              <w:suppressLineNumbers w:val="0"/>
              <w:kinsoku/>
              <w:wordWrap/>
              <w:overflowPunct/>
              <w:topLinePunct w:val="0"/>
              <w:autoSpaceDE/>
              <w:autoSpaceDN/>
              <w:bidi w:val="0"/>
              <w:adjustRightInd/>
              <w:snapToGrid/>
              <w:spacing w:before="0" w:beforeLines="0"/>
              <w:ind w:left="0" w:leftChars="0" w:firstLine="480" w:firstLineChars="200"/>
              <w:jc w:val="left"/>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fldChar w:fldCharType="begin"/>
            </w:r>
            <w:r>
              <w:rPr>
                <w:rFonts w:hint="eastAsia" w:ascii="Times New Roman" w:hAnsi="Times New Roman" w:eastAsia="宋体" w:cs="Times New Roman"/>
                <w:color w:val="auto"/>
                <w:sz w:val="24"/>
                <w:szCs w:val="24"/>
                <w:lang w:val="en-US" w:eastAsia="zh-CN"/>
              </w:rPr>
              <w:instrText xml:space="preserve"> = 6 \* GB3 \* MERGEFORMAT </w:instrText>
            </w:r>
            <w:r>
              <w:rPr>
                <w:rFonts w:hint="eastAsia" w:ascii="Times New Roman" w:hAnsi="Times New Roman" w:eastAsia="宋体" w:cs="Times New Roman"/>
                <w:color w:val="auto"/>
                <w:sz w:val="24"/>
                <w:szCs w:val="24"/>
                <w:lang w:val="en-US" w:eastAsia="zh-CN"/>
              </w:rPr>
              <w:fldChar w:fldCharType="separate"/>
            </w:r>
            <w:r>
              <w:rPr>
                <w:rFonts w:hint="eastAsia" w:ascii="Times New Roman" w:hAnsi="Times New Roman" w:eastAsia="宋体" w:cs="Times New Roman"/>
                <w:color w:val="auto"/>
                <w:sz w:val="24"/>
                <w:szCs w:val="24"/>
                <w:lang w:val="en-US" w:eastAsia="zh-CN"/>
              </w:rPr>
              <w:t>⑥</w:t>
            </w:r>
            <w:r>
              <w:rPr>
                <w:rFonts w:hint="eastAsia" w:ascii="Times New Roman" w:hAnsi="Times New Roman" w:eastAsia="宋体" w:cs="Times New Roman"/>
                <w:color w:val="auto"/>
                <w:sz w:val="24"/>
                <w:szCs w:val="24"/>
                <w:lang w:val="en-US" w:eastAsia="zh-CN"/>
              </w:rPr>
              <w:fldChar w:fldCharType="end"/>
            </w:r>
            <w:r>
              <w:rPr>
                <w:rFonts w:hint="eastAsia" w:ascii="Times New Roman" w:hAnsi="Times New Roman" w:eastAsia="宋体" w:cs="Times New Roman"/>
                <w:color w:val="auto"/>
                <w:sz w:val="24"/>
                <w:szCs w:val="24"/>
                <w:lang w:val="en-US" w:eastAsia="zh-CN"/>
              </w:rPr>
              <w:t>废辊筒</w:t>
            </w:r>
          </w:p>
          <w:p w14:paraId="03B522D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ind w:firstLine="480" w:firstLineChars="200"/>
              <w:rPr>
                <w:rFonts w:hint="default"/>
                <w:bCs/>
                <w:color w:val="auto"/>
                <w:sz w:val="24"/>
                <w:highlight w:val="none"/>
                <w:lang w:val="en-US"/>
              </w:rPr>
            </w:pPr>
            <w:r>
              <w:rPr>
                <w:rFonts w:hint="default" w:ascii="Times New Roman" w:hAnsi="Times New Roman" w:eastAsia="宋体" w:cs="Times New Roman"/>
                <w:color w:val="auto"/>
                <w:kern w:val="0"/>
                <w:sz w:val="24"/>
                <w:szCs w:val="24"/>
                <w:lang w:val="en-US" w:eastAsia="zh-CN" w:bidi="ar"/>
              </w:rPr>
              <w:t>本项目设置7道</w:t>
            </w:r>
            <w:r>
              <w:rPr>
                <w:rFonts w:hint="eastAsia" w:ascii="Times New Roman" w:hAnsi="Times New Roman" w:eastAsia="宋体" w:cs="Times New Roman"/>
                <w:color w:val="auto"/>
                <w:sz w:val="24"/>
                <w:szCs w:val="24"/>
                <w:highlight w:val="none"/>
                <w:lang w:val="en-US" w:eastAsia="zh-CN"/>
              </w:rPr>
              <w:t>辊涂</w:t>
            </w:r>
            <w:r>
              <w:rPr>
                <w:rFonts w:hint="eastAsia" w:ascii="Times New Roman" w:hAnsi="Times New Roman" w:eastAsia="宋体" w:cs="Times New Roman"/>
                <w:color w:val="auto"/>
                <w:kern w:val="0"/>
                <w:sz w:val="24"/>
                <w:szCs w:val="24"/>
                <w:lang w:val="en-US" w:eastAsia="zh-CN" w:bidi="ar"/>
              </w:rPr>
              <w:t>机</w:t>
            </w:r>
            <w:r>
              <w:rPr>
                <w:rFonts w:hint="default" w:ascii="Times New Roman" w:hAnsi="Times New Roman" w:eastAsia="宋体" w:cs="Times New Roman"/>
                <w:color w:val="auto"/>
                <w:kern w:val="0"/>
                <w:sz w:val="24"/>
                <w:szCs w:val="24"/>
                <w:lang w:val="en-US" w:eastAsia="zh-CN" w:bidi="ar"/>
              </w:rPr>
              <w:t>，每台设备有</w:t>
            </w:r>
            <w:r>
              <w:rPr>
                <w:rFonts w:hint="eastAsia" w:ascii="Times New Roman" w:hAnsi="Times New Roman" w:eastAsia="宋体" w:cs="Times New Roman"/>
                <w:color w:val="auto"/>
                <w:kern w:val="0"/>
                <w:sz w:val="24"/>
                <w:szCs w:val="24"/>
                <w:lang w:val="en-US" w:eastAsia="zh-CN" w:bidi="ar"/>
              </w:rPr>
              <w:t>3</w:t>
            </w:r>
            <w:r>
              <w:rPr>
                <w:rFonts w:hint="default" w:ascii="Times New Roman" w:hAnsi="Times New Roman" w:eastAsia="宋体" w:cs="Times New Roman"/>
                <w:color w:val="auto"/>
                <w:kern w:val="0"/>
                <w:sz w:val="24"/>
                <w:szCs w:val="24"/>
                <w:lang w:val="en-US" w:eastAsia="zh-CN" w:bidi="ar"/>
              </w:rPr>
              <w:t>根</w:t>
            </w:r>
            <w:r>
              <w:rPr>
                <w:rFonts w:hint="eastAsia" w:ascii="Times New Roman" w:hAnsi="Times New Roman" w:eastAsia="宋体" w:cs="Times New Roman"/>
                <w:color w:val="auto"/>
                <w:kern w:val="0"/>
                <w:sz w:val="24"/>
                <w:szCs w:val="24"/>
                <w:lang w:val="en-US" w:eastAsia="zh-CN" w:bidi="ar"/>
              </w:rPr>
              <w:t>辊筒</w:t>
            </w:r>
            <w:r>
              <w:rPr>
                <w:rFonts w:hint="default" w:ascii="Times New Roman" w:hAnsi="Times New Roman" w:eastAsia="宋体" w:cs="Times New Roman"/>
                <w:color w:val="auto"/>
                <w:kern w:val="0"/>
                <w:sz w:val="24"/>
                <w:szCs w:val="24"/>
                <w:lang w:val="en-US" w:eastAsia="zh-CN" w:bidi="ar"/>
              </w:rPr>
              <w:t>，</w:t>
            </w:r>
            <w:r>
              <w:rPr>
                <w:rFonts w:hint="eastAsia" w:ascii="Times New Roman" w:hAnsi="Times New Roman" w:eastAsia="宋体" w:cs="Times New Roman"/>
                <w:color w:val="auto"/>
                <w:kern w:val="0"/>
                <w:sz w:val="24"/>
                <w:szCs w:val="24"/>
                <w:lang w:val="en-US" w:eastAsia="zh-CN" w:bidi="ar"/>
              </w:rPr>
              <w:t>废辊筒每五</w:t>
            </w:r>
            <w:r>
              <w:rPr>
                <w:rFonts w:hint="default" w:ascii="Times New Roman" w:hAnsi="Times New Roman" w:eastAsia="宋体" w:cs="Times New Roman"/>
                <w:color w:val="auto"/>
                <w:kern w:val="0"/>
                <w:sz w:val="24"/>
                <w:szCs w:val="24"/>
                <w:lang w:val="en-US" w:eastAsia="zh-CN" w:bidi="ar"/>
              </w:rPr>
              <w:t>年更换一次</w:t>
            </w:r>
            <w:r>
              <w:rPr>
                <w:rFonts w:hint="eastAsia" w:ascii="Times New Roman" w:hAnsi="Times New Roman" w:eastAsia="宋体"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产生量为</w:t>
            </w:r>
            <w:r>
              <w:rPr>
                <w:rFonts w:hint="eastAsia" w:ascii="Times New Roman" w:hAnsi="Times New Roman" w:eastAsia="宋体" w:cs="Times New Roman"/>
                <w:color w:val="auto"/>
                <w:kern w:val="0"/>
                <w:sz w:val="24"/>
                <w:szCs w:val="24"/>
                <w:lang w:val="en-US" w:eastAsia="zh-CN" w:bidi="ar"/>
              </w:rPr>
              <w:t>21</w:t>
            </w:r>
            <w:r>
              <w:rPr>
                <w:rFonts w:hint="default" w:ascii="Times New Roman" w:hAnsi="Times New Roman" w:eastAsia="宋体" w:cs="Times New Roman"/>
                <w:color w:val="auto"/>
                <w:kern w:val="0"/>
                <w:sz w:val="24"/>
                <w:szCs w:val="24"/>
                <w:lang w:val="en-US" w:eastAsia="zh-CN" w:bidi="ar"/>
              </w:rPr>
              <w:t>根，</w:t>
            </w:r>
            <w:r>
              <w:rPr>
                <w:rFonts w:hint="eastAsia" w:ascii="Times New Roman" w:hAnsi="Times New Roman" w:eastAsia="宋体" w:cs="Times New Roman"/>
                <w:color w:val="auto"/>
                <w:kern w:val="0"/>
                <w:sz w:val="24"/>
                <w:szCs w:val="24"/>
                <w:lang w:val="en-US" w:eastAsia="zh-CN" w:bidi="ar"/>
              </w:rPr>
              <w:t>每根辊筒约10kg，</w:t>
            </w:r>
            <w:r>
              <w:rPr>
                <w:rFonts w:hint="default" w:ascii="Times New Roman" w:hAnsi="Times New Roman" w:eastAsia="宋体" w:cs="Times New Roman"/>
                <w:color w:val="auto"/>
                <w:kern w:val="0"/>
                <w:sz w:val="24"/>
                <w:szCs w:val="24"/>
                <w:lang w:val="en-US" w:eastAsia="zh-CN" w:bidi="ar"/>
              </w:rPr>
              <w:t>约</w:t>
            </w:r>
            <w:r>
              <w:rPr>
                <w:rFonts w:hint="eastAsia" w:ascii="Times New Roman" w:hAnsi="Times New Roman" w:eastAsia="宋体" w:cs="Times New Roman"/>
                <w:color w:val="auto"/>
                <w:kern w:val="0"/>
                <w:sz w:val="24"/>
                <w:szCs w:val="24"/>
                <w:lang w:val="en-US" w:eastAsia="zh-CN" w:bidi="ar"/>
              </w:rPr>
              <w:t>0.21</w:t>
            </w:r>
            <w:r>
              <w:rPr>
                <w:rFonts w:hint="default" w:ascii="Times New Roman" w:hAnsi="Times New Roman" w:eastAsia="宋体" w:cs="Times New Roman"/>
                <w:color w:val="auto"/>
                <w:kern w:val="0"/>
                <w:sz w:val="24"/>
                <w:szCs w:val="24"/>
                <w:lang w:val="en-US" w:eastAsia="zh-CN" w:bidi="ar"/>
              </w:rPr>
              <w:t>t/</w:t>
            </w:r>
            <w:r>
              <w:rPr>
                <w:rFonts w:hint="eastAsia" w:ascii="Times New Roman" w:hAnsi="Times New Roman" w:eastAsia="宋体" w:cs="Times New Roman"/>
                <w:color w:val="auto"/>
                <w:kern w:val="0"/>
                <w:sz w:val="24"/>
                <w:szCs w:val="24"/>
                <w:lang w:val="en-US" w:eastAsia="zh-CN" w:bidi="ar"/>
              </w:rPr>
              <w:t>5</w:t>
            </w:r>
            <w:r>
              <w:rPr>
                <w:rFonts w:hint="default" w:ascii="Times New Roman" w:hAnsi="Times New Roman" w:eastAsia="宋体" w:cs="Times New Roman"/>
                <w:color w:val="auto"/>
                <w:kern w:val="0"/>
                <w:sz w:val="24"/>
                <w:szCs w:val="24"/>
                <w:lang w:val="en-US" w:eastAsia="zh-CN" w:bidi="ar"/>
              </w:rPr>
              <w:t>a，对照《国家危险废物名录》</w:t>
            </w:r>
            <w:r>
              <w:rPr>
                <w:rFonts w:hint="eastAsia" w:ascii="Times New Roman" w:hAnsi="Times New Roman" w:eastAsia="宋体"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2025年版</w:t>
            </w:r>
            <w:r>
              <w:rPr>
                <w:rFonts w:hint="eastAsia" w:ascii="Times New Roman" w:hAnsi="Times New Roman" w:eastAsia="宋体"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，属于危险废物类别为HW</w:t>
            </w:r>
            <w:r>
              <w:rPr>
                <w:rFonts w:hint="eastAsia" w:ascii="Times New Roman" w:hAnsi="Times New Roman" w:eastAsia="宋体" w:cs="Times New Roman"/>
                <w:color w:val="auto"/>
                <w:kern w:val="0"/>
                <w:sz w:val="24"/>
                <w:szCs w:val="24"/>
                <w:lang w:val="en-US" w:eastAsia="zh-CN" w:bidi="ar"/>
              </w:rPr>
              <w:t>49，</w:t>
            </w:r>
            <w:r>
              <w:rPr>
                <w:rFonts w:hint="default" w:ascii="Times New Roman" w:hAnsi="Times New Roman" w:eastAsia="宋体" w:cs="Times New Roman"/>
                <w:color w:val="auto"/>
                <w:kern w:val="0"/>
                <w:sz w:val="24"/>
                <w:szCs w:val="24"/>
                <w:lang w:val="en-US" w:eastAsia="zh-CN" w:bidi="ar"/>
              </w:rPr>
              <w:t>废物代码为900-0</w:t>
            </w:r>
            <w:r>
              <w:rPr>
                <w:rFonts w:hint="eastAsia" w:ascii="Times New Roman" w:hAnsi="Times New Roman" w:eastAsia="宋体" w:cs="Times New Roman"/>
                <w:color w:val="auto"/>
                <w:kern w:val="0"/>
                <w:sz w:val="24"/>
                <w:szCs w:val="24"/>
                <w:lang w:val="en-US" w:eastAsia="zh-CN" w:bidi="ar"/>
              </w:rPr>
              <w:t>41</w:t>
            </w:r>
            <w:r>
              <w:rPr>
                <w:rFonts w:hint="default" w:ascii="Times New Roman" w:hAnsi="Times New Roman" w:eastAsia="宋体" w:cs="Times New Roman"/>
                <w:color w:val="auto"/>
                <w:kern w:val="0"/>
                <w:sz w:val="24"/>
                <w:szCs w:val="24"/>
                <w:lang w:val="en-US" w:eastAsia="zh-CN" w:bidi="ar"/>
              </w:rPr>
              <w:t>-</w:t>
            </w:r>
            <w:r>
              <w:rPr>
                <w:rFonts w:hint="eastAsia" w:ascii="Times New Roman" w:hAnsi="Times New Roman" w:eastAsia="宋体" w:cs="Times New Roman"/>
                <w:color w:val="auto"/>
                <w:kern w:val="0"/>
                <w:sz w:val="24"/>
                <w:szCs w:val="24"/>
                <w:lang w:val="en-US" w:eastAsia="zh-CN" w:bidi="ar"/>
              </w:rPr>
              <w:t>4</w:t>
            </w:r>
            <w:r>
              <w:rPr>
                <w:rFonts w:hint="default" w:ascii="Times New Roman" w:hAnsi="Times New Roman" w:eastAsia="宋体" w:cs="Times New Roman"/>
                <w:color w:val="auto"/>
                <w:kern w:val="0"/>
                <w:sz w:val="24"/>
                <w:szCs w:val="24"/>
                <w:lang w:val="en-US" w:eastAsia="zh-CN" w:bidi="ar"/>
              </w:rPr>
              <w:t>9</w:t>
            </w:r>
            <w:r>
              <w:rPr>
                <w:rFonts w:hint="eastAsia" w:ascii="Times New Roman" w:hAnsi="Times New Roman" w:eastAsia="宋体" w:cs="Times New Roman"/>
                <w:color w:val="auto"/>
                <w:kern w:val="0"/>
                <w:sz w:val="24"/>
                <w:szCs w:val="24"/>
                <w:lang w:val="en-US" w:eastAsia="zh-CN" w:bidi="ar"/>
              </w:rPr>
              <w:t>，更换时不在厂内贮存</w:t>
            </w:r>
            <w:r>
              <w:rPr>
                <w:rFonts w:hint="default" w:ascii="Times New Roman" w:hAnsi="Times New Roman" w:eastAsia="宋体" w:cs="Times New Roman"/>
                <w:color w:val="auto"/>
                <w:kern w:val="0"/>
                <w:sz w:val="24"/>
                <w:szCs w:val="24"/>
                <w:lang w:val="en-US" w:eastAsia="zh-CN" w:bidi="ar"/>
              </w:rPr>
              <w:t>，</w:t>
            </w:r>
            <w:r>
              <w:rPr>
                <w:rFonts w:hint="eastAsia" w:ascii="Times New Roman" w:hAnsi="Times New Roman" w:eastAsia="宋体" w:cs="Times New Roman"/>
                <w:color w:val="auto"/>
                <w:kern w:val="0"/>
                <w:sz w:val="24"/>
                <w:szCs w:val="24"/>
                <w:lang w:val="en-US" w:eastAsia="zh-CN" w:bidi="ar"/>
              </w:rPr>
              <w:t>由</w:t>
            </w:r>
            <w:r>
              <w:rPr>
                <w:rFonts w:hint="eastAsia" w:ascii="Times New Roman" w:hAnsi="宋体" w:eastAsia="宋体" w:cs="Times New Roman"/>
                <w:color w:val="auto"/>
                <w:kern w:val="0"/>
                <w:sz w:val="24"/>
                <w:szCs w:val="24"/>
                <w:highlight w:val="none"/>
              </w:rPr>
              <w:t>委托</w:t>
            </w:r>
            <w:r>
              <w:rPr>
                <w:rFonts w:hint="eastAsia" w:ascii="Times New Roman" w:hAnsi="宋体" w:eastAsia="宋体" w:cs="Times New Roman"/>
                <w:color w:val="auto"/>
                <w:kern w:val="0"/>
                <w:sz w:val="24"/>
                <w:szCs w:val="24"/>
                <w:highlight w:val="none"/>
                <w:lang w:eastAsia="zh-CN"/>
              </w:rPr>
              <w:t>的</w:t>
            </w:r>
            <w:r>
              <w:rPr>
                <w:rFonts w:hint="eastAsia" w:ascii="Times New Roman" w:hAnsi="宋体" w:eastAsia="宋体" w:cs="Times New Roman"/>
                <w:color w:val="auto"/>
                <w:kern w:val="0"/>
                <w:sz w:val="24"/>
                <w:szCs w:val="24"/>
                <w:highlight w:val="none"/>
              </w:rPr>
              <w:t>资质单位</w:t>
            </w:r>
            <w:r>
              <w:rPr>
                <w:rFonts w:hint="eastAsia" w:ascii="Times New Roman" w:hAnsi="宋体" w:eastAsia="宋体" w:cs="Times New Roman"/>
                <w:color w:val="auto"/>
                <w:kern w:val="0"/>
                <w:sz w:val="24"/>
                <w:szCs w:val="24"/>
                <w:highlight w:val="none"/>
                <w:lang w:eastAsia="zh-CN"/>
              </w:rPr>
              <w:t>直接运走</w:t>
            </w:r>
            <w:r>
              <w:rPr>
                <w:rFonts w:hint="eastAsia" w:ascii="Times New Roman" w:hAnsi="宋体" w:eastAsia="宋体" w:cs="Times New Roman"/>
                <w:color w:val="auto"/>
                <w:kern w:val="0"/>
                <w:sz w:val="24"/>
                <w:szCs w:val="24"/>
                <w:highlight w:val="none"/>
              </w:rPr>
              <w:t>处置</w:t>
            </w:r>
            <w:r>
              <w:rPr>
                <w:rFonts w:hint="default" w:ascii="Times New Roman" w:hAnsi="Times New Roman" w:eastAsia="宋体" w:cs="Times New Roman"/>
                <w:color w:val="auto"/>
                <w:kern w:val="0"/>
                <w:sz w:val="24"/>
                <w:szCs w:val="24"/>
                <w:lang w:val="en-US" w:eastAsia="zh-CN" w:bidi="ar"/>
              </w:rPr>
              <w:t>，严禁随意丢弃。</w:t>
            </w:r>
          </w:p>
          <w:p w14:paraId="13D95EF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ind w:firstLine="480" w:firstLineChars="200"/>
              <w:rPr>
                <w:rFonts w:hint="eastAsia"/>
                <w:b/>
                <w:bCs/>
                <w:snapToGrid w:val="0"/>
                <w:color w:val="auto"/>
                <w:kern w:val="0"/>
                <w:szCs w:val="21"/>
                <w:highlight w:val="none"/>
              </w:rPr>
            </w:pPr>
            <w:r>
              <w:rPr>
                <w:rFonts w:hint="eastAsia"/>
                <w:bCs/>
                <w:color w:val="auto"/>
                <w:sz w:val="24"/>
                <w:highlight w:val="none"/>
              </w:rPr>
              <w:t>本项目固</w:t>
            </w:r>
            <w:r>
              <w:rPr>
                <w:rFonts w:hint="eastAsia"/>
                <w:color w:val="auto"/>
                <w:kern w:val="0"/>
                <w:sz w:val="24"/>
                <w:highlight w:val="none"/>
              </w:rPr>
              <w:t>体废物产生情况详见下表。</w:t>
            </w:r>
          </w:p>
          <w:p w14:paraId="2F436722">
            <w:pPr>
              <w:pStyle w:val="68"/>
              <w:numPr>
                <w:ilvl w:val="0"/>
                <w:numId w:val="19"/>
              </w:numPr>
              <w:spacing w:line="360" w:lineRule="auto"/>
              <w:ind w:left="0" w:leftChars="0" w:firstLine="0" w:firstLineChars="0"/>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  固体废物产生情况一览表</w:t>
            </w:r>
          </w:p>
          <w:tbl>
            <w:tblPr>
              <w:tblStyle w:val="25"/>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1"/>
              <w:gridCol w:w="867"/>
              <w:gridCol w:w="845"/>
              <w:gridCol w:w="425"/>
              <w:gridCol w:w="1315"/>
              <w:gridCol w:w="1195"/>
              <w:gridCol w:w="846"/>
              <w:gridCol w:w="796"/>
              <w:gridCol w:w="794"/>
              <w:gridCol w:w="902"/>
            </w:tblGrid>
            <w:tr w14:paraId="6C715F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278" w:type="pct"/>
                  <w:noWrap w:val="0"/>
                  <w:vAlign w:val="center"/>
                </w:tcPr>
                <w:p w14:paraId="2AC281D4">
                  <w:pPr>
                    <w:adjustRightInd w:val="0"/>
                    <w:snapToGrid w:val="0"/>
                    <w:spacing w:line="240" w:lineRule="auto"/>
                    <w:jc w:val="center"/>
                    <w:rPr>
                      <w:color w:val="auto"/>
                      <w:kern w:val="0"/>
                      <w:sz w:val="21"/>
                      <w:szCs w:val="21"/>
                      <w:highlight w:val="none"/>
                    </w:rPr>
                  </w:pPr>
                  <w:r>
                    <w:rPr>
                      <w:color w:val="auto"/>
                      <w:kern w:val="0"/>
                      <w:sz w:val="21"/>
                      <w:szCs w:val="21"/>
                      <w:highlight w:val="none"/>
                    </w:rPr>
                    <w:t>序号</w:t>
                  </w:r>
                </w:p>
              </w:tc>
              <w:tc>
                <w:tcPr>
                  <w:tcW w:w="512" w:type="pct"/>
                  <w:noWrap w:val="0"/>
                  <w:vAlign w:val="center"/>
                </w:tcPr>
                <w:p w14:paraId="6764F6E2">
                  <w:pPr>
                    <w:adjustRightInd w:val="0"/>
                    <w:snapToGrid w:val="0"/>
                    <w:spacing w:line="240" w:lineRule="auto"/>
                    <w:jc w:val="center"/>
                    <w:rPr>
                      <w:color w:val="auto"/>
                      <w:sz w:val="21"/>
                      <w:szCs w:val="21"/>
                      <w:highlight w:val="none"/>
                    </w:rPr>
                  </w:pPr>
                  <w:r>
                    <w:rPr>
                      <w:color w:val="auto"/>
                      <w:kern w:val="0"/>
                      <w:sz w:val="21"/>
                      <w:szCs w:val="21"/>
                      <w:highlight w:val="none"/>
                      <w:lang w:bidi="ar"/>
                    </w:rPr>
                    <w:t>污染物节点</w:t>
                  </w:r>
                </w:p>
              </w:tc>
              <w:tc>
                <w:tcPr>
                  <w:tcW w:w="499" w:type="pct"/>
                  <w:noWrap w:val="0"/>
                  <w:vAlign w:val="center"/>
                </w:tcPr>
                <w:p w14:paraId="0A12B20C">
                  <w:pPr>
                    <w:adjustRightInd w:val="0"/>
                    <w:snapToGrid w:val="0"/>
                    <w:spacing w:line="240" w:lineRule="auto"/>
                    <w:jc w:val="center"/>
                    <w:rPr>
                      <w:rFonts w:hint="eastAsia" w:eastAsia="宋体"/>
                      <w:color w:val="auto"/>
                      <w:sz w:val="21"/>
                      <w:szCs w:val="21"/>
                      <w:highlight w:val="none"/>
                      <w:lang w:val="en-US" w:eastAsia="zh-CN"/>
                    </w:rPr>
                  </w:pPr>
                  <w:r>
                    <w:rPr>
                      <w:rFonts w:hint="eastAsia"/>
                      <w:color w:val="auto"/>
                      <w:sz w:val="21"/>
                      <w:szCs w:val="21"/>
                      <w:highlight w:val="none"/>
                      <w:lang w:val="en-US" w:eastAsia="zh-CN"/>
                    </w:rPr>
                    <w:t>废物名称</w:t>
                  </w:r>
                </w:p>
              </w:tc>
              <w:tc>
                <w:tcPr>
                  <w:tcW w:w="1028" w:type="pct"/>
                  <w:gridSpan w:val="2"/>
                  <w:noWrap w:val="0"/>
                  <w:vAlign w:val="center"/>
                </w:tcPr>
                <w:p w14:paraId="4017D889">
                  <w:pPr>
                    <w:adjustRightInd w:val="0"/>
                    <w:snapToGrid w:val="0"/>
                    <w:spacing w:line="240" w:lineRule="auto"/>
                    <w:jc w:val="center"/>
                    <w:rPr>
                      <w:color w:val="auto"/>
                      <w:kern w:val="0"/>
                      <w:sz w:val="21"/>
                      <w:szCs w:val="21"/>
                      <w:highlight w:val="none"/>
                      <w:lang w:bidi="ar"/>
                    </w:rPr>
                  </w:pPr>
                  <w:r>
                    <w:rPr>
                      <w:color w:val="auto"/>
                      <w:kern w:val="0"/>
                      <w:sz w:val="21"/>
                      <w:szCs w:val="21"/>
                      <w:highlight w:val="none"/>
                      <w:lang w:bidi="ar"/>
                    </w:rPr>
                    <w:t>废物</w:t>
                  </w:r>
                  <w:r>
                    <w:rPr>
                      <w:color w:val="auto"/>
                      <w:kern w:val="0"/>
                      <w:sz w:val="21"/>
                      <w:szCs w:val="21"/>
                      <w:highlight w:val="none"/>
                    </w:rPr>
                    <w:t>类别</w:t>
                  </w:r>
                </w:p>
              </w:tc>
              <w:tc>
                <w:tcPr>
                  <w:tcW w:w="706" w:type="pct"/>
                  <w:noWrap w:val="0"/>
                  <w:vAlign w:val="center"/>
                </w:tcPr>
                <w:p w14:paraId="79F5ACF2">
                  <w:pPr>
                    <w:widowControl/>
                    <w:spacing w:line="240" w:lineRule="auto"/>
                    <w:jc w:val="center"/>
                    <w:textAlignment w:val="center"/>
                    <w:rPr>
                      <w:color w:val="auto"/>
                      <w:kern w:val="0"/>
                      <w:sz w:val="21"/>
                      <w:szCs w:val="21"/>
                      <w:highlight w:val="none"/>
                      <w:lang w:bidi="ar"/>
                    </w:rPr>
                  </w:pPr>
                  <w:r>
                    <w:rPr>
                      <w:color w:val="auto"/>
                      <w:kern w:val="0"/>
                      <w:sz w:val="21"/>
                      <w:szCs w:val="21"/>
                      <w:highlight w:val="none"/>
                      <w:lang w:bidi="ar"/>
                    </w:rPr>
                    <w:t>危险废物代码</w:t>
                  </w:r>
                </w:p>
              </w:tc>
              <w:tc>
                <w:tcPr>
                  <w:tcW w:w="500" w:type="pct"/>
                  <w:noWrap w:val="0"/>
                  <w:vAlign w:val="center"/>
                </w:tcPr>
                <w:p w14:paraId="403AFF2B">
                  <w:pPr>
                    <w:adjustRightInd w:val="0"/>
                    <w:snapToGrid w:val="0"/>
                    <w:spacing w:line="240" w:lineRule="auto"/>
                    <w:jc w:val="center"/>
                    <w:rPr>
                      <w:color w:val="auto"/>
                      <w:kern w:val="0"/>
                      <w:sz w:val="21"/>
                      <w:szCs w:val="21"/>
                      <w:highlight w:val="none"/>
                    </w:rPr>
                  </w:pPr>
                  <w:r>
                    <w:rPr>
                      <w:color w:val="auto"/>
                      <w:kern w:val="0"/>
                      <w:sz w:val="21"/>
                      <w:szCs w:val="21"/>
                      <w:highlight w:val="none"/>
                    </w:rPr>
                    <w:t>产生量（</w:t>
                  </w:r>
                  <w:r>
                    <w:rPr>
                      <w:bCs/>
                      <w:color w:val="auto"/>
                      <w:sz w:val="21"/>
                      <w:szCs w:val="21"/>
                      <w:highlight w:val="none"/>
                    </w:rPr>
                    <w:t>t/a</w:t>
                  </w:r>
                  <w:r>
                    <w:rPr>
                      <w:color w:val="auto"/>
                      <w:kern w:val="0"/>
                      <w:sz w:val="21"/>
                      <w:szCs w:val="21"/>
                      <w:highlight w:val="none"/>
                    </w:rPr>
                    <w:t>）</w:t>
                  </w:r>
                </w:p>
              </w:tc>
              <w:tc>
                <w:tcPr>
                  <w:tcW w:w="470" w:type="pct"/>
                  <w:noWrap w:val="0"/>
                  <w:vAlign w:val="center"/>
                </w:tcPr>
                <w:p w14:paraId="014D8124">
                  <w:pPr>
                    <w:adjustRightInd w:val="0"/>
                    <w:snapToGrid w:val="0"/>
                    <w:spacing w:line="240" w:lineRule="auto"/>
                    <w:jc w:val="center"/>
                    <w:rPr>
                      <w:rFonts w:hint="eastAsia" w:eastAsia="宋体"/>
                      <w:color w:val="auto"/>
                      <w:kern w:val="0"/>
                      <w:sz w:val="21"/>
                      <w:szCs w:val="21"/>
                      <w:highlight w:val="none"/>
                      <w:lang w:eastAsia="zh-CN"/>
                    </w:rPr>
                  </w:pPr>
                  <w:r>
                    <w:rPr>
                      <w:rFonts w:hint="eastAsia"/>
                      <w:color w:val="auto"/>
                      <w:kern w:val="0"/>
                      <w:sz w:val="21"/>
                      <w:szCs w:val="21"/>
                      <w:highlight w:val="none"/>
                      <w:lang w:eastAsia="zh-CN"/>
                    </w:rPr>
                    <w:t>贮存周期</w:t>
                  </w:r>
                </w:p>
              </w:tc>
              <w:tc>
                <w:tcPr>
                  <w:tcW w:w="469" w:type="pct"/>
                  <w:noWrap w:val="0"/>
                  <w:vAlign w:val="center"/>
                </w:tcPr>
                <w:p w14:paraId="74E84DF5">
                  <w:pPr>
                    <w:adjustRightInd w:val="0"/>
                    <w:snapToGrid w:val="0"/>
                    <w:spacing w:line="240" w:lineRule="auto"/>
                    <w:jc w:val="center"/>
                    <w:rPr>
                      <w:rFonts w:hint="eastAsia" w:eastAsia="宋体"/>
                      <w:color w:val="auto"/>
                      <w:kern w:val="0"/>
                      <w:sz w:val="21"/>
                      <w:szCs w:val="21"/>
                      <w:highlight w:val="none"/>
                      <w:lang w:eastAsia="zh-CN"/>
                    </w:rPr>
                  </w:pPr>
                  <w:r>
                    <w:rPr>
                      <w:rFonts w:hint="eastAsia"/>
                      <w:color w:val="auto"/>
                      <w:kern w:val="0"/>
                      <w:sz w:val="21"/>
                      <w:szCs w:val="21"/>
                      <w:highlight w:val="none"/>
                      <w:lang w:eastAsia="zh-CN"/>
                    </w:rPr>
                    <w:t>贮存量（</w:t>
                  </w:r>
                  <w:r>
                    <w:rPr>
                      <w:rFonts w:hint="eastAsia"/>
                      <w:color w:val="auto"/>
                      <w:kern w:val="0"/>
                      <w:sz w:val="21"/>
                      <w:szCs w:val="21"/>
                      <w:highlight w:val="none"/>
                      <w:lang w:val="en-US" w:eastAsia="zh-CN"/>
                    </w:rPr>
                    <w:t>t</w:t>
                  </w:r>
                  <w:r>
                    <w:rPr>
                      <w:rFonts w:hint="eastAsia"/>
                      <w:color w:val="auto"/>
                      <w:kern w:val="0"/>
                      <w:sz w:val="21"/>
                      <w:szCs w:val="21"/>
                      <w:highlight w:val="none"/>
                      <w:lang w:eastAsia="zh-CN"/>
                    </w:rPr>
                    <w:t>）</w:t>
                  </w:r>
                </w:p>
              </w:tc>
              <w:tc>
                <w:tcPr>
                  <w:tcW w:w="533" w:type="pct"/>
                  <w:noWrap w:val="0"/>
                  <w:vAlign w:val="center"/>
                </w:tcPr>
                <w:p w14:paraId="7AD80FF6">
                  <w:pPr>
                    <w:adjustRightInd w:val="0"/>
                    <w:snapToGrid w:val="0"/>
                    <w:spacing w:line="240" w:lineRule="auto"/>
                    <w:jc w:val="center"/>
                    <w:rPr>
                      <w:color w:val="auto"/>
                      <w:kern w:val="0"/>
                      <w:sz w:val="21"/>
                      <w:szCs w:val="21"/>
                      <w:highlight w:val="none"/>
                    </w:rPr>
                  </w:pPr>
                  <w:r>
                    <w:rPr>
                      <w:color w:val="auto"/>
                      <w:kern w:val="0"/>
                      <w:sz w:val="21"/>
                      <w:szCs w:val="21"/>
                      <w:highlight w:val="none"/>
                    </w:rPr>
                    <w:t>处理措施</w:t>
                  </w:r>
                </w:p>
              </w:tc>
            </w:tr>
            <w:tr w14:paraId="10682B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8" w:type="pct"/>
                  <w:noWrap w:val="0"/>
                  <w:vAlign w:val="center"/>
                </w:tcPr>
                <w:p w14:paraId="24BF5477">
                  <w:pPr>
                    <w:adjustRightInd w:val="0"/>
                    <w:snapToGrid w:val="0"/>
                    <w:spacing w:line="240" w:lineRule="auto"/>
                    <w:jc w:val="center"/>
                    <w:rPr>
                      <w:color w:val="auto"/>
                      <w:kern w:val="0"/>
                      <w:sz w:val="21"/>
                      <w:szCs w:val="21"/>
                      <w:highlight w:val="none"/>
                    </w:rPr>
                  </w:pPr>
                  <w:r>
                    <w:rPr>
                      <w:color w:val="auto"/>
                      <w:kern w:val="0"/>
                      <w:sz w:val="21"/>
                      <w:szCs w:val="21"/>
                      <w:highlight w:val="none"/>
                    </w:rPr>
                    <w:t>1</w:t>
                  </w:r>
                </w:p>
              </w:tc>
              <w:tc>
                <w:tcPr>
                  <w:tcW w:w="512" w:type="pct"/>
                  <w:noWrap w:val="0"/>
                  <w:vAlign w:val="center"/>
                </w:tcPr>
                <w:p w14:paraId="229ABBD0">
                  <w:pPr>
                    <w:keepNext w:val="0"/>
                    <w:keepLines w:val="0"/>
                    <w:pageBreakBefore w:val="0"/>
                    <w:widowControl w:val="0"/>
                    <w:kinsoku/>
                    <w:wordWrap/>
                    <w:overflowPunct/>
                    <w:topLinePunct w:val="0"/>
                    <w:autoSpaceDE/>
                    <w:autoSpaceDN/>
                    <w:bidi w:val="0"/>
                    <w:adjustRightInd/>
                    <w:snapToGrid/>
                    <w:spacing w:beforeLines="0" w:line="240" w:lineRule="auto"/>
                    <w:ind w:left="0" w:leftChars="0" w:right="0" w:rightChars="0" w:firstLine="0" w:firstLineChars="0"/>
                    <w:jc w:val="center"/>
                    <w:textAlignment w:val="auto"/>
                    <w:rPr>
                      <w:color w:val="auto"/>
                      <w:sz w:val="21"/>
                      <w:szCs w:val="21"/>
                      <w:highlight w:val="none"/>
                    </w:rPr>
                  </w:pPr>
                  <w:r>
                    <w:rPr>
                      <w:rFonts w:hint="default" w:ascii="Times New Roman" w:hAnsi="Times New Roman" w:eastAsia="宋体" w:cs="Times New Roman"/>
                      <w:color w:val="auto"/>
                      <w:spacing w:val="6"/>
                      <w:sz w:val="21"/>
                      <w:szCs w:val="21"/>
                    </w:rPr>
                    <w:t>员工日常生活</w:t>
                  </w:r>
                </w:p>
              </w:tc>
              <w:tc>
                <w:tcPr>
                  <w:tcW w:w="499" w:type="pct"/>
                  <w:noWrap w:val="0"/>
                  <w:vAlign w:val="center"/>
                </w:tcPr>
                <w:p w14:paraId="2B71DB1C">
                  <w:pPr>
                    <w:tabs>
                      <w:tab w:val="left" w:pos="4425"/>
                    </w:tabs>
                    <w:spacing w:line="240" w:lineRule="auto"/>
                    <w:jc w:val="center"/>
                    <w:rPr>
                      <w:rFonts w:hint="eastAsia" w:eastAsia="宋体"/>
                      <w:color w:val="auto"/>
                      <w:sz w:val="21"/>
                      <w:szCs w:val="21"/>
                      <w:highlight w:val="none"/>
                      <w:lang w:eastAsia="zh-CN"/>
                    </w:rPr>
                  </w:pPr>
                  <w:r>
                    <w:rPr>
                      <w:rFonts w:hint="eastAsia"/>
                      <w:color w:val="auto"/>
                      <w:sz w:val="21"/>
                      <w:szCs w:val="21"/>
                      <w:highlight w:val="none"/>
                      <w:lang w:eastAsia="zh-CN"/>
                    </w:rPr>
                    <w:t>生活垃圾</w:t>
                  </w:r>
                </w:p>
              </w:tc>
              <w:tc>
                <w:tcPr>
                  <w:tcW w:w="1028" w:type="pct"/>
                  <w:gridSpan w:val="2"/>
                  <w:noWrap w:val="0"/>
                  <w:vAlign w:val="center"/>
                </w:tcPr>
                <w:p w14:paraId="73C2C49F">
                  <w:pPr>
                    <w:tabs>
                      <w:tab w:val="left" w:pos="4425"/>
                    </w:tabs>
                    <w:spacing w:line="240" w:lineRule="auto"/>
                    <w:jc w:val="center"/>
                    <w:rPr>
                      <w:rFonts w:hint="eastAsia" w:eastAsia="宋体"/>
                      <w:color w:val="auto"/>
                      <w:kern w:val="0"/>
                      <w:sz w:val="21"/>
                      <w:szCs w:val="21"/>
                      <w:highlight w:val="none"/>
                      <w:lang w:val="en-US" w:eastAsia="zh-CN"/>
                    </w:rPr>
                  </w:pPr>
                  <w:r>
                    <w:rPr>
                      <w:rFonts w:hint="eastAsia"/>
                      <w:color w:val="auto"/>
                      <w:kern w:val="0"/>
                      <w:sz w:val="21"/>
                      <w:szCs w:val="21"/>
                      <w:highlight w:val="none"/>
                      <w:lang w:val="en-US" w:eastAsia="zh-CN"/>
                    </w:rPr>
                    <w:t>/</w:t>
                  </w:r>
                </w:p>
              </w:tc>
              <w:tc>
                <w:tcPr>
                  <w:tcW w:w="706" w:type="pct"/>
                  <w:noWrap w:val="0"/>
                  <w:vAlign w:val="center"/>
                </w:tcPr>
                <w:p w14:paraId="606265A4">
                  <w:pPr>
                    <w:tabs>
                      <w:tab w:val="left" w:pos="4425"/>
                    </w:tabs>
                    <w:spacing w:line="240" w:lineRule="auto"/>
                    <w:jc w:val="center"/>
                    <w:rPr>
                      <w:color w:val="auto"/>
                      <w:kern w:val="0"/>
                      <w:sz w:val="21"/>
                      <w:szCs w:val="21"/>
                      <w:highlight w:val="none"/>
                    </w:rPr>
                  </w:pPr>
                  <w:r>
                    <w:rPr>
                      <w:color w:val="auto"/>
                      <w:kern w:val="0"/>
                      <w:sz w:val="21"/>
                      <w:szCs w:val="21"/>
                      <w:highlight w:val="none"/>
                    </w:rPr>
                    <w:t>/</w:t>
                  </w:r>
                </w:p>
              </w:tc>
              <w:tc>
                <w:tcPr>
                  <w:tcW w:w="500" w:type="pct"/>
                  <w:noWrap w:val="0"/>
                  <w:vAlign w:val="center"/>
                </w:tcPr>
                <w:p w14:paraId="1A6D62CA">
                  <w:pPr>
                    <w:tabs>
                      <w:tab w:val="left" w:pos="4425"/>
                    </w:tabs>
                    <w:spacing w:line="240" w:lineRule="auto"/>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3.3</w:t>
                  </w:r>
                </w:p>
              </w:tc>
              <w:tc>
                <w:tcPr>
                  <w:tcW w:w="470" w:type="pct"/>
                  <w:noWrap w:val="0"/>
                  <w:vAlign w:val="center"/>
                </w:tcPr>
                <w:p w14:paraId="0861760C">
                  <w:pPr>
                    <w:tabs>
                      <w:tab w:val="left" w:pos="4425"/>
                    </w:tabs>
                    <w:spacing w:line="240" w:lineRule="auto"/>
                    <w:jc w:val="center"/>
                    <w:rPr>
                      <w:rFonts w:hint="default"/>
                      <w:color w:val="auto"/>
                      <w:sz w:val="21"/>
                      <w:szCs w:val="21"/>
                      <w:highlight w:val="none"/>
                      <w:lang w:val="en-US" w:eastAsia="zh-CN"/>
                    </w:rPr>
                  </w:pPr>
                  <w:r>
                    <w:rPr>
                      <w:rFonts w:hint="eastAsia"/>
                      <w:color w:val="auto"/>
                      <w:sz w:val="21"/>
                      <w:szCs w:val="21"/>
                      <w:highlight w:val="none"/>
                      <w:lang w:val="en-US" w:eastAsia="zh-CN"/>
                    </w:rPr>
                    <w:t>1</w:t>
                  </w:r>
                  <w:r>
                    <w:rPr>
                      <w:rFonts w:hint="eastAsia"/>
                      <w:color w:val="auto"/>
                      <w:kern w:val="0"/>
                      <w:sz w:val="21"/>
                      <w:szCs w:val="21"/>
                      <w:highlight w:val="none"/>
                      <w:lang w:val="en-US" w:eastAsia="zh-CN"/>
                    </w:rPr>
                    <w:t>d</w:t>
                  </w:r>
                </w:p>
              </w:tc>
              <w:tc>
                <w:tcPr>
                  <w:tcW w:w="469" w:type="pct"/>
                  <w:noWrap w:val="0"/>
                  <w:vAlign w:val="center"/>
                </w:tcPr>
                <w:p w14:paraId="770E7E74">
                  <w:pPr>
                    <w:tabs>
                      <w:tab w:val="left" w:pos="4425"/>
                    </w:tabs>
                    <w:spacing w:line="240" w:lineRule="auto"/>
                    <w:jc w:val="center"/>
                    <w:rPr>
                      <w:rFonts w:hint="default"/>
                      <w:color w:val="auto"/>
                      <w:sz w:val="21"/>
                      <w:szCs w:val="21"/>
                      <w:highlight w:val="none"/>
                      <w:lang w:val="en-US" w:eastAsia="zh-CN"/>
                    </w:rPr>
                  </w:pPr>
                  <w:r>
                    <w:rPr>
                      <w:rFonts w:hint="eastAsia"/>
                      <w:color w:val="auto"/>
                      <w:sz w:val="21"/>
                      <w:szCs w:val="21"/>
                      <w:highlight w:val="none"/>
                      <w:lang w:val="en-US" w:eastAsia="zh-CN"/>
                    </w:rPr>
                    <w:t>0.01</w:t>
                  </w:r>
                </w:p>
              </w:tc>
              <w:tc>
                <w:tcPr>
                  <w:tcW w:w="533" w:type="pct"/>
                  <w:noWrap w:val="0"/>
                  <w:vAlign w:val="center"/>
                </w:tcPr>
                <w:p w14:paraId="61F40221">
                  <w:pPr>
                    <w:adjustRightInd w:val="0"/>
                    <w:snapToGrid w:val="0"/>
                    <w:spacing w:line="240" w:lineRule="auto"/>
                    <w:jc w:val="center"/>
                    <w:rPr>
                      <w:color w:val="auto"/>
                      <w:kern w:val="0"/>
                      <w:sz w:val="21"/>
                      <w:szCs w:val="21"/>
                      <w:highlight w:val="none"/>
                    </w:rPr>
                  </w:pPr>
                  <w:r>
                    <w:rPr>
                      <w:rFonts w:hint="default" w:ascii="Times New Roman" w:hAnsi="Times New Roman" w:eastAsia="宋体" w:cs="Times New Roman"/>
                      <w:color w:val="auto"/>
                      <w:spacing w:val="7"/>
                      <w:sz w:val="21"/>
                      <w:szCs w:val="21"/>
                      <w:lang w:eastAsia="zh-CN"/>
                    </w:rPr>
                    <w:t>交由环卫部门统一处理</w:t>
                  </w:r>
                </w:p>
              </w:tc>
            </w:tr>
            <w:tr w14:paraId="38D4F3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8" w:type="pct"/>
                  <w:noWrap w:val="0"/>
                  <w:vAlign w:val="center"/>
                </w:tcPr>
                <w:p w14:paraId="09398043">
                  <w:pPr>
                    <w:adjustRightInd w:val="0"/>
                    <w:snapToGrid w:val="0"/>
                    <w:spacing w:line="240" w:lineRule="auto"/>
                    <w:jc w:val="center"/>
                    <w:rPr>
                      <w:color w:val="auto"/>
                      <w:kern w:val="0"/>
                      <w:sz w:val="21"/>
                      <w:szCs w:val="21"/>
                      <w:highlight w:val="none"/>
                    </w:rPr>
                  </w:pPr>
                  <w:r>
                    <w:rPr>
                      <w:rFonts w:hint="eastAsia"/>
                      <w:color w:val="auto"/>
                      <w:kern w:val="0"/>
                      <w:sz w:val="21"/>
                      <w:szCs w:val="21"/>
                      <w:highlight w:val="none"/>
                    </w:rPr>
                    <w:t>2</w:t>
                  </w:r>
                </w:p>
              </w:tc>
              <w:tc>
                <w:tcPr>
                  <w:tcW w:w="512" w:type="pct"/>
                  <w:noWrap w:val="0"/>
                  <w:vAlign w:val="center"/>
                </w:tcPr>
                <w:p w14:paraId="4F2627C0">
                  <w:pPr>
                    <w:tabs>
                      <w:tab w:val="left" w:pos="4425"/>
                    </w:tabs>
                    <w:spacing w:line="240" w:lineRule="auto"/>
                    <w:jc w:val="center"/>
                    <w:rPr>
                      <w:rFonts w:hint="eastAsia" w:eastAsia="宋体"/>
                      <w:color w:val="auto"/>
                      <w:sz w:val="21"/>
                      <w:szCs w:val="21"/>
                      <w:highlight w:val="none"/>
                      <w:lang w:eastAsia="zh-CN"/>
                    </w:rPr>
                  </w:pPr>
                  <w:r>
                    <w:rPr>
                      <w:rFonts w:hint="eastAsia" w:eastAsia="宋体"/>
                      <w:color w:val="auto"/>
                      <w:sz w:val="21"/>
                      <w:szCs w:val="21"/>
                      <w:highlight w:val="none"/>
                      <w:lang w:eastAsia="zh-CN"/>
                    </w:rPr>
                    <w:t>木加工</w:t>
                  </w:r>
                </w:p>
              </w:tc>
              <w:tc>
                <w:tcPr>
                  <w:tcW w:w="499" w:type="pct"/>
                  <w:noWrap w:val="0"/>
                  <w:vAlign w:val="center"/>
                </w:tcPr>
                <w:p w14:paraId="200776F9">
                  <w:pPr>
                    <w:tabs>
                      <w:tab w:val="left" w:pos="4425"/>
                    </w:tabs>
                    <w:spacing w:line="240" w:lineRule="auto"/>
                    <w:jc w:val="center"/>
                    <w:rPr>
                      <w:rFonts w:hint="eastAsia"/>
                      <w:color w:val="auto"/>
                      <w:kern w:val="2"/>
                      <w:sz w:val="21"/>
                      <w:szCs w:val="21"/>
                      <w:highlight w:val="none"/>
                      <w:lang w:val="en-US" w:eastAsia="zh-CN" w:bidi="ar-SA"/>
                    </w:rPr>
                  </w:pPr>
                  <w:r>
                    <w:rPr>
                      <w:rFonts w:hint="eastAsia"/>
                      <w:color w:val="auto"/>
                      <w:kern w:val="0"/>
                      <w:sz w:val="21"/>
                      <w:szCs w:val="21"/>
                      <w:highlight w:val="none"/>
                      <w:lang w:eastAsia="zh-CN"/>
                    </w:rPr>
                    <w:t>废木料</w:t>
                  </w:r>
                </w:p>
              </w:tc>
              <w:tc>
                <w:tcPr>
                  <w:tcW w:w="251" w:type="pct"/>
                  <w:vMerge w:val="restart"/>
                  <w:noWrap w:val="0"/>
                  <w:vAlign w:val="center"/>
                </w:tcPr>
                <w:p w14:paraId="5E5850E4">
                  <w:pPr>
                    <w:tabs>
                      <w:tab w:val="left" w:pos="4425"/>
                    </w:tabs>
                    <w:spacing w:line="240" w:lineRule="auto"/>
                    <w:jc w:val="center"/>
                    <w:rPr>
                      <w:color w:val="auto"/>
                      <w:kern w:val="0"/>
                      <w:sz w:val="21"/>
                      <w:szCs w:val="21"/>
                      <w:highlight w:val="none"/>
                    </w:rPr>
                  </w:pPr>
                  <w:r>
                    <w:rPr>
                      <w:rFonts w:hint="eastAsia"/>
                      <w:color w:val="auto"/>
                      <w:kern w:val="0"/>
                      <w:sz w:val="21"/>
                      <w:szCs w:val="21"/>
                      <w:highlight w:val="none"/>
                    </w:rPr>
                    <w:t>一般固废</w:t>
                  </w:r>
                </w:p>
              </w:tc>
              <w:tc>
                <w:tcPr>
                  <w:tcW w:w="776" w:type="pct"/>
                  <w:noWrap w:val="0"/>
                  <w:vAlign w:val="center"/>
                </w:tcPr>
                <w:p w14:paraId="28EE7073">
                  <w:pPr>
                    <w:tabs>
                      <w:tab w:val="left" w:pos="4425"/>
                    </w:tabs>
                    <w:spacing w:line="240" w:lineRule="auto"/>
                    <w:jc w:val="center"/>
                    <w:rPr>
                      <w:rFonts w:hint="default" w:eastAsia="宋体"/>
                      <w:color w:val="auto"/>
                      <w:kern w:val="0"/>
                      <w:sz w:val="21"/>
                      <w:szCs w:val="21"/>
                      <w:highlight w:val="none"/>
                      <w:lang w:val="en-US" w:eastAsia="zh-CN"/>
                    </w:rPr>
                  </w:pPr>
                  <w:r>
                    <w:rPr>
                      <w:rFonts w:hint="eastAsia"/>
                      <w:color w:val="auto"/>
                      <w:kern w:val="0"/>
                      <w:sz w:val="21"/>
                      <w:szCs w:val="21"/>
                      <w:highlight w:val="none"/>
                      <w:lang w:val="en-US" w:eastAsia="zh-CN"/>
                    </w:rPr>
                    <w:t>900-009-S17</w:t>
                  </w:r>
                </w:p>
              </w:tc>
              <w:tc>
                <w:tcPr>
                  <w:tcW w:w="706" w:type="pct"/>
                  <w:noWrap w:val="0"/>
                  <w:vAlign w:val="center"/>
                </w:tcPr>
                <w:p w14:paraId="61584A74">
                  <w:pPr>
                    <w:tabs>
                      <w:tab w:val="left" w:pos="4425"/>
                    </w:tabs>
                    <w:spacing w:line="240" w:lineRule="auto"/>
                    <w:jc w:val="center"/>
                    <w:rPr>
                      <w:color w:val="auto"/>
                      <w:kern w:val="0"/>
                      <w:sz w:val="21"/>
                      <w:szCs w:val="21"/>
                      <w:highlight w:val="none"/>
                    </w:rPr>
                  </w:pPr>
                  <w:r>
                    <w:rPr>
                      <w:color w:val="auto"/>
                      <w:kern w:val="0"/>
                      <w:sz w:val="21"/>
                      <w:szCs w:val="21"/>
                      <w:highlight w:val="none"/>
                    </w:rPr>
                    <w:t>/</w:t>
                  </w:r>
                </w:p>
              </w:tc>
              <w:tc>
                <w:tcPr>
                  <w:tcW w:w="500" w:type="pct"/>
                  <w:noWrap w:val="0"/>
                  <w:vAlign w:val="center"/>
                </w:tcPr>
                <w:p w14:paraId="29F82643">
                  <w:pPr>
                    <w:tabs>
                      <w:tab w:val="left" w:pos="4425"/>
                    </w:tabs>
                    <w:spacing w:line="240" w:lineRule="auto"/>
                    <w:jc w:val="center"/>
                    <w:rPr>
                      <w:rFonts w:hint="default" w:eastAsia="宋体"/>
                      <w:color w:val="auto"/>
                      <w:sz w:val="21"/>
                      <w:szCs w:val="21"/>
                      <w:highlight w:val="none"/>
                      <w:lang w:val="en-US" w:eastAsia="zh-CN"/>
                    </w:rPr>
                  </w:pPr>
                  <w:r>
                    <w:rPr>
                      <w:rFonts w:hint="eastAsia"/>
                      <w:color w:val="auto"/>
                      <w:lang w:val="en-US" w:eastAsia="zh-CN"/>
                    </w:rPr>
                    <w:t>122.2</w:t>
                  </w:r>
                </w:p>
              </w:tc>
              <w:tc>
                <w:tcPr>
                  <w:tcW w:w="470" w:type="pct"/>
                  <w:vMerge w:val="restart"/>
                  <w:noWrap w:val="0"/>
                  <w:vAlign w:val="center"/>
                </w:tcPr>
                <w:p w14:paraId="33F96FEB">
                  <w:pPr>
                    <w:tabs>
                      <w:tab w:val="left" w:pos="4425"/>
                    </w:tabs>
                    <w:spacing w:line="240" w:lineRule="auto"/>
                    <w:jc w:val="center"/>
                    <w:rPr>
                      <w:rFonts w:hint="default"/>
                      <w:color w:val="auto"/>
                      <w:lang w:val="en-US" w:eastAsia="zh-CN"/>
                    </w:rPr>
                  </w:pPr>
                  <w:r>
                    <w:rPr>
                      <w:rFonts w:hint="eastAsia"/>
                      <w:color w:val="auto"/>
                      <w:lang w:val="en-US" w:eastAsia="zh-CN"/>
                    </w:rPr>
                    <w:t>30</w:t>
                  </w:r>
                  <w:r>
                    <w:rPr>
                      <w:rFonts w:hint="eastAsia"/>
                      <w:color w:val="auto"/>
                      <w:kern w:val="0"/>
                      <w:sz w:val="21"/>
                      <w:szCs w:val="21"/>
                      <w:highlight w:val="none"/>
                      <w:lang w:val="en-US" w:eastAsia="zh-CN"/>
                    </w:rPr>
                    <w:t>d</w:t>
                  </w:r>
                </w:p>
              </w:tc>
              <w:tc>
                <w:tcPr>
                  <w:tcW w:w="469" w:type="pct"/>
                  <w:noWrap w:val="0"/>
                  <w:vAlign w:val="center"/>
                </w:tcPr>
                <w:p w14:paraId="2C3B9EC2">
                  <w:pPr>
                    <w:tabs>
                      <w:tab w:val="left" w:pos="4425"/>
                    </w:tabs>
                    <w:spacing w:line="240" w:lineRule="auto"/>
                    <w:jc w:val="center"/>
                    <w:rPr>
                      <w:rFonts w:hint="default"/>
                      <w:color w:val="auto"/>
                      <w:lang w:val="en-US" w:eastAsia="zh-CN"/>
                    </w:rPr>
                  </w:pPr>
                  <w:r>
                    <w:rPr>
                      <w:rFonts w:hint="eastAsia"/>
                      <w:color w:val="auto"/>
                      <w:lang w:val="en-US" w:eastAsia="zh-CN"/>
                    </w:rPr>
                    <w:t>11.11</w:t>
                  </w:r>
                </w:p>
              </w:tc>
              <w:tc>
                <w:tcPr>
                  <w:tcW w:w="533" w:type="pct"/>
                  <w:vMerge w:val="restart"/>
                  <w:noWrap w:val="0"/>
                  <w:vAlign w:val="center"/>
                </w:tcPr>
                <w:p w14:paraId="38B6CA75">
                  <w:pPr>
                    <w:adjustRightInd w:val="0"/>
                    <w:snapToGrid w:val="0"/>
                    <w:spacing w:line="240" w:lineRule="auto"/>
                    <w:jc w:val="center"/>
                    <w:rPr>
                      <w:rFonts w:hint="eastAsia"/>
                      <w:color w:val="auto"/>
                      <w:kern w:val="0"/>
                      <w:sz w:val="21"/>
                      <w:szCs w:val="21"/>
                      <w:highlight w:val="none"/>
                    </w:rPr>
                  </w:pPr>
                  <w:r>
                    <w:rPr>
                      <w:rFonts w:hint="eastAsia"/>
                      <w:color w:val="auto"/>
                      <w:kern w:val="0"/>
                      <w:sz w:val="21"/>
                      <w:szCs w:val="21"/>
                      <w:highlight w:val="none"/>
                      <w:lang w:eastAsia="zh-CN"/>
                    </w:rPr>
                    <w:t>于厂内一般固废暂存间暂存后定期外售</w:t>
                  </w:r>
                </w:p>
              </w:tc>
            </w:tr>
            <w:tr w14:paraId="3BCD61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6" w:hRule="atLeast"/>
                <w:jc w:val="center"/>
              </w:trPr>
              <w:tc>
                <w:tcPr>
                  <w:tcW w:w="278" w:type="pct"/>
                  <w:noWrap w:val="0"/>
                  <w:vAlign w:val="center"/>
                </w:tcPr>
                <w:p w14:paraId="223E0EE0">
                  <w:pPr>
                    <w:adjustRightInd w:val="0"/>
                    <w:snapToGrid w:val="0"/>
                    <w:spacing w:line="240" w:lineRule="auto"/>
                    <w:jc w:val="center"/>
                    <w:rPr>
                      <w:color w:val="auto"/>
                      <w:kern w:val="0"/>
                      <w:sz w:val="21"/>
                      <w:szCs w:val="21"/>
                      <w:highlight w:val="none"/>
                    </w:rPr>
                  </w:pPr>
                  <w:r>
                    <w:rPr>
                      <w:rFonts w:hint="eastAsia"/>
                      <w:color w:val="auto"/>
                      <w:kern w:val="0"/>
                      <w:sz w:val="21"/>
                      <w:szCs w:val="21"/>
                      <w:highlight w:val="none"/>
                    </w:rPr>
                    <w:t>3</w:t>
                  </w:r>
                </w:p>
              </w:tc>
              <w:tc>
                <w:tcPr>
                  <w:tcW w:w="512" w:type="pct"/>
                  <w:noWrap w:val="0"/>
                  <w:vAlign w:val="center"/>
                </w:tcPr>
                <w:p w14:paraId="5E51BD82">
                  <w:pPr>
                    <w:tabs>
                      <w:tab w:val="left" w:pos="4425"/>
                    </w:tabs>
                    <w:spacing w:line="240" w:lineRule="auto"/>
                    <w:jc w:val="center"/>
                    <w:rPr>
                      <w:rFonts w:hint="eastAsia" w:eastAsia="宋体"/>
                      <w:color w:val="auto"/>
                      <w:sz w:val="21"/>
                      <w:szCs w:val="21"/>
                      <w:highlight w:val="none"/>
                      <w:lang w:eastAsia="zh-CN"/>
                    </w:rPr>
                  </w:pPr>
                  <w:r>
                    <w:rPr>
                      <w:rFonts w:hint="eastAsia"/>
                      <w:color w:val="auto"/>
                      <w:sz w:val="21"/>
                      <w:szCs w:val="21"/>
                      <w:highlight w:val="none"/>
                      <w:lang w:eastAsia="zh-CN"/>
                    </w:rPr>
                    <w:t>除尘器</w:t>
                  </w:r>
                </w:p>
              </w:tc>
              <w:tc>
                <w:tcPr>
                  <w:tcW w:w="499" w:type="pct"/>
                  <w:noWrap w:val="0"/>
                  <w:vAlign w:val="center"/>
                </w:tcPr>
                <w:p w14:paraId="6259C18D">
                  <w:pPr>
                    <w:tabs>
                      <w:tab w:val="left" w:pos="4425"/>
                    </w:tabs>
                    <w:spacing w:line="240" w:lineRule="auto"/>
                    <w:jc w:val="center"/>
                    <w:rPr>
                      <w:rFonts w:hint="eastAsia"/>
                      <w:color w:val="auto"/>
                      <w:kern w:val="2"/>
                      <w:sz w:val="21"/>
                      <w:szCs w:val="21"/>
                      <w:highlight w:val="none"/>
                      <w:lang w:val="en-US" w:eastAsia="zh-CN" w:bidi="ar-SA"/>
                    </w:rPr>
                  </w:pPr>
                  <w:r>
                    <w:rPr>
                      <w:rFonts w:hint="eastAsia"/>
                      <w:color w:val="auto"/>
                      <w:kern w:val="0"/>
                      <w:sz w:val="21"/>
                      <w:szCs w:val="21"/>
                      <w:highlight w:val="none"/>
                      <w:lang w:eastAsia="zh-CN"/>
                    </w:rPr>
                    <w:t>除尘器收尘灰</w:t>
                  </w:r>
                </w:p>
              </w:tc>
              <w:tc>
                <w:tcPr>
                  <w:tcW w:w="251" w:type="pct"/>
                  <w:vMerge w:val="continue"/>
                  <w:noWrap w:val="0"/>
                  <w:vAlign w:val="center"/>
                </w:tcPr>
                <w:p w14:paraId="7188180C">
                  <w:pPr>
                    <w:tabs>
                      <w:tab w:val="left" w:pos="4425"/>
                    </w:tabs>
                    <w:spacing w:line="240" w:lineRule="auto"/>
                    <w:jc w:val="center"/>
                    <w:rPr>
                      <w:rFonts w:hint="eastAsia"/>
                      <w:color w:val="auto"/>
                      <w:kern w:val="0"/>
                      <w:sz w:val="21"/>
                      <w:szCs w:val="21"/>
                      <w:highlight w:val="none"/>
                    </w:rPr>
                  </w:pPr>
                </w:p>
              </w:tc>
              <w:tc>
                <w:tcPr>
                  <w:tcW w:w="776" w:type="pct"/>
                  <w:noWrap w:val="0"/>
                  <w:vAlign w:val="center"/>
                </w:tcPr>
                <w:p w14:paraId="74759E61">
                  <w:pPr>
                    <w:tabs>
                      <w:tab w:val="left" w:pos="4425"/>
                    </w:tabs>
                    <w:spacing w:line="240" w:lineRule="auto"/>
                    <w:jc w:val="center"/>
                    <w:rPr>
                      <w:color w:val="auto"/>
                      <w:kern w:val="0"/>
                      <w:sz w:val="21"/>
                      <w:szCs w:val="21"/>
                      <w:highlight w:val="none"/>
                    </w:rPr>
                  </w:pPr>
                  <w:r>
                    <w:rPr>
                      <w:rFonts w:hint="eastAsia" w:ascii="Times New Roman" w:hAnsi="Times New Roman" w:cs="Times New Roman"/>
                      <w:color w:val="auto"/>
                      <w:sz w:val="21"/>
                      <w:szCs w:val="21"/>
                      <w:lang w:val="en-US" w:eastAsia="zh-CN"/>
                    </w:rPr>
                    <w:t>900</w:t>
                  </w:r>
                  <w:r>
                    <w:rPr>
                      <w:rFonts w:ascii="Times New Roman" w:hAnsi="Times New Roman" w:cs="Times New Roman"/>
                      <w:color w:val="auto"/>
                      <w:sz w:val="21"/>
                      <w:szCs w:val="21"/>
                    </w:rPr>
                    <w:t>-0</w:t>
                  </w:r>
                  <w:r>
                    <w:rPr>
                      <w:rFonts w:hint="eastAsia" w:ascii="Times New Roman" w:hAnsi="Times New Roman" w:cs="Times New Roman"/>
                      <w:color w:val="auto"/>
                      <w:sz w:val="21"/>
                      <w:szCs w:val="21"/>
                      <w:lang w:val="en-US" w:eastAsia="zh-CN"/>
                    </w:rPr>
                    <w:t>99</w:t>
                  </w:r>
                  <w:r>
                    <w:rPr>
                      <w:rFonts w:ascii="Times New Roman" w:hAnsi="Times New Roman" w:cs="Times New Roman"/>
                      <w:color w:val="auto"/>
                      <w:sz w:val="21"/>
                      <w:szCs w:val="21"/>
                    </w:rPr>
                    <w:t>-</w:t>
                  </w:r>
                  <w:r>
                    <w:rPr>
                      <w:rFonts w:hint="eastAsia" w:ascii="Times New Roman" w:hAnsi="Times New Roman" w:cs="Times New Roman"/>
                      <w:color w:val="auto"/>
                      <w:sz w:val="21"/>
                      <w:szCs w:val="21"/>
                      <w:lang w:val="en-US" w:eastAsia="zh-CN"/>
                    </w:rPr>
                    <w:t>S59</w:t>
                  </w:r>
                </w:p>
              </w:tc>
              <w:tc>
                <w:tcPr>
                  <w:tcW w:w="706" w:type="pct"/>
                  <w:noWrap w:val="0"/>
                  <w:vAlign w:val="center"/>
                </w:tcPr>
                <w:p w14:paraId="1B0E6855">
                  <w:pPr>
                    <w:tabs>
                      <w:tab w:val="left" w:pos="4425"/>
                    </w:tabs>
                    <w:spacing w:line="240" w:lineRule="auto"/>
                    <w:jc w:val="center"/>
                    <w:rPr>
                      <w:color w:val="auto"/>
                      <w:kern w:val="0"/>
                      <w:sz w:val="21"/>
                      <w:szCs w:val="21"/>
                      <w:highlight w:val="none"/>
                    </w:rPr>
                  </w:pPr>
                  <w:r>
                    <w:rPr>
                      <w:rFonts w:hint="eastAsia"/>
                      <w:color w:val="auto"/>
                      <w:kern w:val="0"/>
                      <w:sz w:val="21"/>
                      <w:szCs w:val="21"/>
                      <w:highlight w:val="none"/>
                    </w:rPr>
                    <w:t>/</w:t>
                  </w:r>
                </w:p>
              </w:tc>
              <w:tc>
                <w:tcPr>
                  <w:tcW w:w="500" w:type="pct"/>
                  <w:noWrap w:val="0"/>
                  <w:vAlign w:val="center"/>
                </w:tcPr>
                <w:p w14:paraId="36F60BBA">
                  <w:pPr>
                    <w:tabs>
                      <w:tab w:val="left" w:pos="4425"/>
                    </w:tabs>
                    <w:spacing w:line="240" w:lineRule="auto"/>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22.47</w:t>
                  </w:r>
                </w:p>
              </w:tc>
              <w:tc>
                <w:tcPr>
                  <w:tcW w:w="470" w:type="pct"/>
                  <w:vMerge w:val="continue"/>
                  <w:noWrap w:val="0"/>
                  <w:vAlign w:val="center"/>
                </w:tcPr>
                <w:p w14:paraId="7D7DC60A">
                  <w:pPr>
                    <w:tabs>
                      <w:tab w:val="left" w:pos="4425"/>
                    </w:tabs>
                    <w:spacing w:line="240" w:lineRule="auto"/>
                    <w:jc w:val="center"/>
                    <w:rPr>
                      <w:rFonts w:hint="eastAsia"/>
                      <w:color w:val="auto"/>
                      <w:sz w:val="21"/>
                      <w:szCs w:val="21"/>
                      <w:highlight w:val="none"/>
                      <w:lang w:val="en-US" w:eastAsia="zh-CN"/>
                    </w:rPr>
                  </w:pPr>
                </w:p>
              </w:tc>
              <w:tc>
                <w:tcPr>
                  <w:tcW w:w="469" w:type="pct"/>
                  <w:noWrap w:val="0"/>
                  <w:vAlign w:val="center"/>
                </w:tcPr>
                <w:p w14:paraId="1354A4C2">
                  <w:pPr>
                    <w:tabs>
                      <w:tab w:val="left" w:pos="4425"/>
                    </w:tabs>
                    <w:spacing w:line="240" w:lineRule="auto"/>
                    <w:jc w:val="center"/>
                    <w:rPr>
                      <w:rFonts w:hint="default"/>
                      <w:color w:val="auto"/>
                      <w:sz w:val="21"/>
                      <w:szCs w:val="21"/>
                      <w:highlight w:val="none"/>
                      <w:lang w:val="en-US" w:eastAsia="zh-CN"/>
                    </w:rPr>
                  </w:pPr>
                  <w:r>
                    <w:rPr>
                      <w:rFonts w:hint="eastAsia"/>
                      <w:color w:val="auto"/>
                      <w:sz w:val="21"/>
                      <w:szCs w:val="21"/>
                      <w:highlight w:val="none"/>
                      <w:lang w:val="en-US" w:eastAsia="zh-CN"/>
                    </w:rPr>
                    <w:t>2.04</w:t>
                  </w:r>
                </w:p>
              </w:tc>
              <w:tc>
                <w:tcPr>
                  <w:tcW w:w="533" w:type="pct"/>
                  <w:vMerge w:val="continue"/>
                  <w:noWrap w:val="0"/>
                  <w:vAlign w:val="center"/>
                </w:tcPr>
                <w:p w14:paraId="27685219">
                  <w:pPr>
                    <w:adjustRightInd w:val="0"/>
                    <w:snapToGrid w:val="0"/>
                    <w:spacing w:line="240" w:lineRule="auto"/>
                    <w:jc w:val="center"/>
                    <w:rPr>
                      <w:rFonts w:hint="eastAsia"/>
                      <w:color w:val="auto"/>
                      <w:kern w:val="0"/>
                      <w:sz w:val="21"/>
                      <w:szCs w:val="21"/>
                      <w:highlight w:val="none"/>
                    </w:rPr>
                  </w:pPr>
                </w:p>
              </w:tc>
            </w:tr>
            <w:tr w14:paraId="7E19EF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6" w:hRule="atLeast"/>
                <w:jc w:val="center"/>
              </w:trPr>
              <w:tc>
                <w:tcPr>
                  <w:tcW w:w="278" w:type="pct"/>
                  <w:noWrap w:val="0"/>
                  <w:vAlign w:val="center"/>
                </w:tcPr>
                <w:p w14:paraId="76F6D589">
                  <w:pPr>
                    <w:adjustRightInd w:val="0"/>
                    <w:snapToGrid w:val="0"/>
                    <w:spacing w:line="240" w:lineRule="auto"/>
                    <w:jc w:val="center"/>
                    <w:rPr>
                      <w:rFonts w:hint="eastAsia" w:eastAsia="宋体"/>
                      <w:color w:val="auto"/>
                      <w:kern w:val="0"/>
                      <w:sz w:val="21"/>
                      <w:szCs w:val="21"/>
                      <w:highlight w:val="none"/>
                      <w:lang w:val="en-US" w:eastAsia="zh-CN"/>
                    </w:rPr>
                  </w:pPr>
                  <w:r>
                    <w:rPr>
                      <w:rFonts w:hint="eastAsia"/>
                      <w:color w:val="auto"/>
                      <w:kern w:val="0"/>
                      <w:sz w:val="21"/>
                      <w:szCs w:val="21"/>
                      <w:highlight w:val="none"/>
                      <w:lang w:val="en-US" w:eastAsia="zh-CN"/>
                    </w:rPr>
                    <w:t>4</w:t>
                  </w:r>
                </w:p>
              </w:tc>
              <w:tc>
                <w:tcPr>
                  <w:tcW w:w="512" w:type="pct"/>
                  <w:noWrap w:val="0"/>
                  <w:vAlign w:val="center"/>
                </w:tcPr>
                <w:p w14:paraId="0DDC83B8">
                  <w:pPr>
                    <w:tabs>
                      <w:tab w:val="left" w:pos="4425"/>
                    </w:tabs>
                    <w:spacing w:line="240" w:lineRule="auto"/>
                    <w:jc w:val="center"/>
                    <w:rPr>
                      <w:rFonts w:hint="eastAsia" w:eastAsia="宋体"/>
                      <w:color w:val="auto"/>
                      <w:sz w:val="21"/>
                      <w:szCs w:val="21"/>
                      <w:highlight w:val="none"/>
                      <w:lang w:eastAsia="zh-CN"/>
                    </w:rPr>
                  </w:pPr>
                  <w:r>
                    <w:rPr>
                      <w:rFonts w:hint="eastAsia"/>
                      <w:color w:val="auto"/>
                      <w:sz w:val="21"/>
                      <w:szCs w:val="21"/>
                      <w:highlight w:val="none"/>
                      <w:lang w:eastAsia="zh-CN"/>
                    </w:rPr>
                    <w:t>包装</w:t>
                  </w:r>
                </w:p>
              </w:tc>
              <w:tc>
                <w:tcPr>
                  <w:tcW w:w="499" w:type="pct"/>
                  <w:noWrap w:val="0"/>
                  <w:vAlign w:val="center"/>
                </w:tcPr>
                <w:p w14:paraId="6305369B">
                  <w:pPr>
                    <w:tabs>
                      <w:tab w:val="left" w:pos="4425"/>
                    </w:tabs>
                    <w:spacing w:line="240" w:lineRule="auto"/>
                    <w:jc w:val="center"/>
                    <w:rPr>
                      <w:rFonts w:hint="eastAsia"/>
                      <w:color w:val="auto"/>
                      <w:kern w:val="2"/>
                      <w:sz w:val="21"/>
                      <w:szCs w:val="21"/>
                      <w:highlight w:val="none"/>
                      <w:lang w:val="en-US" w:eastAsia="zh-CN" w:bidi="ar-SA"/>
                    </w:rPr>
                  </w:pPr>
                  <w:r>
                    <w:rPr>
                      <w:rFonts w:hint="eastAsia"/>
                      <w:color w:val="auto"/>
                      <w:kern w:val="0"/>
                      <w:sz w:val="21"/>
                      <w:szCs w:val="21"/>
                      <w:highlight w:val="none"/>
                      <w:lang w:eastAsia="zh-CN"/>
                    </w:rPr>
                    <w:t>废包装膜</w:t>
                  </w:r>
                </w:p>
              </w:tc>
              <w:tc>
                <w:tcPr>
                  <w:tcW w:w="251" w:type="pct"/>
                  <w:vMerge w:val="continue"/>
                  <w:noWrap w:val="0"/>
                  <w:vAlign w:val="center"/>
                </w:tcPr>
                <w:p w14:paraId="012E97AF">
                  <w:pPr>
                    <w:tabs>
                      <w:tab w:val="left" w:pos="4425"/>
                    </w:tabs>
                    <w:spacing w:line="240" w:lineRule="auto"/>
                    <w:jc w:val="center"/>
                    <w:rPr>
                      <w:rFonts w:hint="eastAsia"/>
                      <w:color w:val="auto"/>
                      <w:kern w:val="0"/>
                      <w:sz w:val="21"/>
                      <w:szCs w:val="21"/>
                      <w:highlight w:val="none"/>
                    </w:rPr>
                  </w:pPr>
                </w:p>
              </w:tc>
              <w:tc>
                <w:tcPr>
                  <w:tcW w:w="776" w:type="pct"/>
                  <w:noWrap w:val="0"/>
                  <w:vAlign w:val="center"/>
                </w:tcPr>
                <w:p w14:paraId="2B3450DC">
                  <w:pPr>
                    <w:tabs>
                      <w:tab w:val="left" w:pos="4425"/>
                    </w:tabs>
                    <w:spacing w:line="240" w:lineRule="auto"/>
                    <w:jc w:val="center"/>
                    <w:rPr>
                      <w:rFonts w:hint="default" w:eastAsia="宋体"/>
                      <w:color w:val="auto"/>
                      <w:kern w:val="0"/>
                      <w:sz w:val="21"/>
                      <w:szCs w:val="21"/>
                      <w:highlight w:val="none"/>
                      <w:lang w:val="en-US" w:eastAsia="zh-CN"/>
                    </w:rPr>
                  </w:pPr>
                  <w:r>
                    <w:rPr>
                      <w:rFonts w:hint="eastAsia"/>
                      <w:color w:val="auto"/>
                      <w:kern w:val="0"/>
                      <w:sz w:val="21"/>
                      <w:szCs w:val="21"/>
                      <w:highlight w:val="none"/>
                      <w:lang w:val="en-US" w:eastAsia="zh-CN"/>
                    </w:rPr>
                    <w:t>900-003-S17</w:t>
                  </w:r>
                </w:p>
              </w:tc>
              <w:tc>
                <w:tcPr>
                  <w:tcW w:w="706" w:type="pct"/>
                  <w:noWrap w:val="0"/>
                  <w:vAlign w:val="center"/>
                </w:tcPr>
                <w:p w14:paraId="067DE213">
                  <w:pPr>
                    <w:tabs>
                      <w:tab w:val="left" w:pos="4425"/>
                    </w:tabs>
                    <w:spacing w:line="240" w:lineRule="auto"/>
                    <w:jc w:val="center"/>
                    <w:rPr>
                      <w:rFonts w:hint="eastAsia"/>
                      <w:color w:val="auto"/>
                      <w:kern w:val="0"/>
                      <w:sz w:val="21"/>
                      <w:szCs w:val="21"/>
                      <w:highlight w:val="none"/>
                    </w:rPr>
                  </w:pPr>
                  <w:r>
                    <w:rPr>
                      <w:color w:val="auto"/>
                      <w:kern w:val="0"/>
                      <w:sz w:val="21"/>
                      <w:szCs w:val="21"/>
                      <w:highlight w:val="none"/>
                    </w:rPr>
                    <w:t>/</w:t>
                  </w:r>
                </w:p>
              </w:tc>
              <w:tc>
                <w:tcPr>
                  <w:tcW w:w="500" w:type="pct"/>
                  <w:noWrap w:val="0"/>
                  <w:vAlign w:val="center"/>
                </w:tcPr>
                <w:p w14:paraId="53CB57D1">
                  <w:pPr>
                    <w:tabs>
                      <w:tab w:val="left" w:pos="4425"/>
                    </w:tabs>
                    <w:spacing w:line="240" w:lineRule="auto"/>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0.1</w:t>
                  </w:r>
                </w:p>
              </w:tc>
              <w:tc>
                <w:tcPr>
                  <w:tcW w:w="470" w:type="pct"/>
                  <w:vMerge w:val="continue"/>
                  <w:noWrap w:val="0"/>
                  <w:vAlign w:val="center"/>
                </w:tcPr>
                <w:p w14:paraId="49A74FFD">
                  <w:pPr>
                    <w:tabs>
                      <w:tab w:val="left" w:pos="4425"/>
                    </w:tabs>
                    <w:spacing w:line="240" w:lineRule="auto"/>
                    <w:jc w:val="center"/>
                    <w:rPr>
                      <w:rFonts w:hint="eastAsia"/>
                      <w:color w:val="auto"/>
                      <w:sz w:val="21"/>
                      <w:szCs w:val="21"/>
                      <w:highlight w:val="none"/>
                      <w:lang w:val="en-US" w:eastAsia="zh-CN"/>
                    </w:rPr>
                  </w:pPr>
                </w:p>
              </w:tc>
              <w:tc>
                <w:tcPr>
                  <w:tcW w:w="469" w:type="pct"/>
                  <w:noWrap w:val="0"/>
                  <w:vAlign w:val="center"/>
                </w:tcPr>
                <w:p w14:paraId="3E77B778">
                  <w:pPr>
                    <w:tabs>
                      <w:tab w:val="left" w:pos="4425"/>
                    </w:tabs>
                    <w:spacing w:line="240" w:lineRule="auto"/>
                    <w:jc w:val="center"/>
                    <w:rPr>
                      <w:rFonts w:hint="default"/>
                      <w:color w:val="auto"/>
                      <w:sz w:val="21"/>
                      <w:szCs w:val="21"/>
                      <w:highlight w:val="none"/>
                      <w:lang w:val="en-US" w:eastAsia="zh-CN"/>
                    </w:rPr>
                  </w:pPr>
                  <w:r>
                    <w:rPr>
                      <w:rFonts w:hint="eastAsia"/>
                      <w:color w:val="auto"/>
                      <w:sz w:val="21"/>
                      <w:szCs w:val="21"/>
                      <w:highlight w:val="none"/>
                      <w:lang w:val="en-US" w:eastAsia="zh-CN"/>
                    </w:rPr>
                    <w:t>0.009</w:t>
                  </w:r>
                </w:p>
              </w:tc>
              <w:tc>
                <w:tcPr>
                  <w:tcW w:w="533" w:type="pct"/>
                  <w:vMerge w:val="continue"/>
                  <w:noWrap w:val="0"/>
                  <w:vAlign w:val="center"/>
                </w:tcPr>
                <w:p w14:paraId="53B1D28F">
                  <w:pPr>
                    <w:adjustRightInd w:val="0"/>
                    <w:snapToGrid w:val="0"/>
                    <w:spacing w:line="240" w:lineRule="auto"/>
                    <w:jc w:val="center"/>
                    <w:rPr>
                      <w:rFonts w:hint="eastAsia"/>
                      <w:color w:val="auto"/>
                      <w:kern w:val="0"/>
                      <w:sz w:val="21"/>
                      <w:szCs w:val="21"/>
                      <w:highlight w:val="none"/>
                    </w:rPr>
                  </w:pPr>
                </w:p>
              </w:tc>
            </w:tr>
            <w:tr w14:paraId="5BC85E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6" w:hRule="atLeast"/>
                <w:jc w:val="center"/>
              </w:trPr>
              <w:tc>
                <w:tcPr>
                  <w:tcW w:w="278" w:type="pct"/>
                  <w:noWrap w:val="0"/>
                  <w:vAlign w:val="center"/>
                </w:tcPr>
                <w:p w14:paraId="564EB501">
                  <w:pPr>
                    <w:adjustRightInd w:val="0"/>
                    <w:snapToGrid w:val="0"/>
                    <w:spacing w:line="240" w:lineRule="auto"/>
                    <w:jc w:val="center"/>
                    <w:rPr>
                      <w:rFonts w:hint="eastAsia" w:eastAsia="宋体"/>
                      <w:color w:val="auto"/>
                      <w:kern w:val="0"/>
                      <w:sz w:val="21"/>
                      <w:szCs w:val="21"/>
                      <w:highlight w:val="none"/>
                      <w:lang w:val="en-US" w:eastAsia="zh-CN" w:bidi="ar-SA"/>
                    </w:rPr>
                  </w:pPr>
                  <w:r>
                    <w:rPr>
                      <w:rFonts w:hint="eastAsia"/>
                      <w:color w:val="auto"/>
                      <w:kern w:val="0"/>
                      <w:sz w:val="21"/>
                      <w:szCs w:val="21"/>
                      <w:highlight w:val="none"/>
                      <w:lang w:val="en-US" w:eastAsia="zh-CN"/>
                    </w:rPr>
                    <w:t>5</w:t>
                  </w:r>
                </w:p>
              </w:tc>
              <w:tc>
                <w:tcPr>
                  <w:tcW w:w="512" w:type="pct"/>
                  <w:noWrap w:val="0"/>
                  <w:vAlign w:val="center"/>
                </w:tcPr>
                <w:p w14:paraId="5A730242">
                  <w:pPr>
                    <w:tabs>
                      <w:tab w:val="left" w:pos="4425"/>
                    </w:tabs>
                    <w:spacing w:line="240" w:lineRule="auto"/>
                    <w:jc w:val="center"/>
                    <w:rPr>
                      <w:rFonts w:hint="eastAsia"/>
                      <w:color w:val="auto"/>
                      <w:kern w:val="2"/>
                      <w:sz w:val="21"/>
                      <w:szCs w:val="21"/>
                      <w:highlight w:val="none"/>
                      <w:lang w:val="en-US" w:eastAsia="zh-CN" w:bidi="ar-SA"/>
                    </w:rPr>
                  </w:pPr>
                  <w:r>
                    <w:rPr>
                      <w:rFonts w:hint="eastAsia"/>
                      <w:color w:val="auto"/>
                      <w:kern w:val="2"/>
                      <w:sz w:val="21"/>
                      <w:szCs w:val="21"/>
                      <w:highlight w:val="none"/>
                      <w:lang w:val="en-US" w:eastAsia="zh-CN" w:bidi="ar-SA"/>
                    </w:rPr>
                    <w:t>地板生产</w:t>
                  </w:r>
                </w:p>
              </w:tc>
              <w:tc>
                <w:tcPr>
                  <w:tcW w:w="499" w:type="pct"/>
                  <w:noWrap w:val="0"/>
                  <w:vAlign w:val="center"/>
                </w:tcPr>
                <w:p w14:paraId="6933208E">
                  <w:pPr>
                    <w:tabs>
                      <w:tab w:val="left" w:pos="4425"/>
                    </w:tabs>
                    <w:spacing w:line="240" w:lineRule="auto"/>
                    <w:jc w:val="center"/>
                    <w:rPr>
                      <w:rFonts w:hint="eastAsia"/>
                      <w:color w:val="auto"/>
                      <w:kern w:val="0"/>
                      <w:sz w:val="21"/>
                      <w:szCs w:val="21"/>
                      <w:highlight w:val="none"/>
                      <w:lang w:val="en-US" w:eastAsia="zh-CN" w:bidi="ar-SA"/>
                    </w:rPr>
                  </w:pPr>
                  <w:r>
                    <w:rPr>
                      <w:rFonts w:hint="eastAsia"/>
                      <w:color w:val="auto"/>
                      <w:sz w:val="21"/>
                      <w:szCs w:val="21"/>
                      <w:highlight w:val="none"/>
                      <w:lang w:eastAsia="zh-CN"/>
                    </w:rPr>
                    <w:t>地面收集尘</w:t>
                  </w:r>
                </w:p>
              </w:tc>
              <w:tc>
                <w:tcPr>
                  <w:tcW w:w="251" w:type="pct"/>
                  <w:vMerge w:val="continue"/>
                  <w:noWrap w:val="0"/>
                  <w:vAlign w:val="center"/>
                </w:tcPr>
                <w:p w14:paraId="0CBB300C">
                  <w:pPr>
                    <w:tabs>
                      <w:tab w:val="left" w:pos="4425"/>
                    </w:tabs>
                    <w:spacing w:line="240" w:lineRule="auto"/>
                    <w:jc w:val="center"/>
                    <w:rPr>
                      <w:rFonts w:hint="eastAsia"/>
                      <w:color w:val="auto"/>
                      <w:kern w:val="0"/>
                      <w:sz w:val="21"/>
                      <w:szCs w:val="21"/>
                      <w:highlight w:val="none"/>
                      <w:lang w:val="en-US" w:eastAsia="zh-CN" w:bidi="ar-SA"/>
                    </w:rPr>
                  </w:pPr>
                </w:p>
              </w:tc>
              <w:tc>
                <w:tcPr>
                  <w:tcW w:w="776" w:type="pct"/>
                  <w:noWrap w:val="0"/>
                  <w:vAlign w:val="center"/>
                </w:tcPr>
                <w:p w14:paraId="61ECA22D">
                  <w:pPr>
                    <w:tabs>
                      <w:tab w:val="left" w:pos="4425"/>
                    </w:tabs>
                    <w:spacing w:line="240" w:lineRule="auto"/>
                    <w:jc w:val="center"/>
                    <w:rPr>
                      <w:rFonts w:hint="eastAsia" w:eastAsia="宋体"/>
                      <w:color w:val="auto"/>
                      <w:kern w:val="2"/>
                      <w:sz w:val="21"/>
                      <w:szCs w:val="21"/>
                      <w:lang w:val="en-US" w:eastAsia="zh-CN" w:bidi="ar-SA"/>
                    </w:rPr>
                  </w:pPr>
                  <w:r>
                    <w:rPr>
                      <w:rFonts w:hint="eastAsia" w:eastAsia="宋体"/>
                      <w:color w:val="auto"/>
                      <w:sz w:val="21"/>
                      <w:szCs w:val="21"/>
                      <w:lang w:eastAsia="zh-CN"/>
                    </w:rPr>
                    <w:t>900-009-S59</w:t>
                  </w:r>
                </w:p>
              </w:tc>
              <w:tc>
                <w:tcPr>
                  <w:tcW w:w="706" w:type="pct"/>
                  <w:noWrap w:val="0"/>
                  <w:vAlign w:val="center"/>
                </w:tcPr>
                <w:p w14:paraId="6363A840">
                  <w:pPr>
                    <w:tabs>
                      <w:tab w:val="left" w:pos="4425"/>
                    </w:tabs>
                    <w:spacing w:line="240" w:lineRule="auto"/>
                    <w:jc w:val="center"/>
                    <w:rPr>
                      <w:color w:val="auto"/>
                      <w:kern w:val="0"/>
                      <w:sz w:val="21"/>
                      <w:szCs w:val="21"/>
                      <w:highlight w:val="none"/>
                      <w:lang w:val="en-US" w:eastAsia="zh-CN" w:bidi="ar-SA"/>
                    </w:rPr>
                  </w:pPr>
                  <w:r>
                    <w:rPr>
                      <w:color w:val="auto"/>
                      <w:kern w:val="0"/>
                      <w:sz w:val="21"/>
                      <w:szCs w:val="21"/>
                      <w:highlight w:val="none"/>
                    </w:rPr>
                    <w:t>/</w:t>
                  </w:r>
                </w:p>
              </w:tc>
              <w:tc>
                <w:tcPr>
                  <w:tcW w:w="500" w:type="pct"/>
                  <w:noWrap w:val="0"/>
                  <w:vAlign w:val="center"/>
                </w:tcPr>
                <w:p w14:paraId="37803D63">
                  <w:pPr>
                    <w:tabs>
                      <w:tab w:val="left" w:pos="4425"/>
                    </w:tabs>
                    <w:spacing w:line="240" w:lineRule="auto"/>
                    <w:jc w:val="center"/>
                    <w:rPr>
                      <w:rFonts w:hint="default"/>
                      <w:color w:val="auto"/>
                      <w:kern w:val="2"/>
                      <w:sz w:val="21"/>
                      <w:szCs w:val="21"/>
                      <w:highlight w:val="none"/>
                      <w:lang w:val="en-US" w:eastAsia="zh-CN" w:bidi="ar-SA"/>
                    </w:rPr>
                  </w:pPr>
                  <w:r>
                    <w:rPr>
                      <w:rFonts w:hint="eastAsia"/>
                      <w:color w:val="auto"/>
                      <w:sz w:val="21"/>
                      <w:szCs w:val="21"/>
                      <w:highlight w:val="none"/>
                      <w:lang w:val="en-US" w:eastAsia="zh-CN"/>
                    </w:rPr>
                    <w:t>5.1057</w:t>
                  </w:r>
                </w:p>
              </w:tc>
              <w:tc>
                <w:tcPr>
                  <w:tcW w:w="470" w:type="pct"/>
                  <w:vMerge w:val="continue"/>
                  <w:noWrap w:val="0"/>
                  <w:vAlign w:val="center"/>
                </w:tcPr>
                <w:p w14:paraId="6B79A490">
                  <w:pPr>
                    <w:tabs>
                      <w:tab w:val="left" w:pos="4425"/>
                    </w:tabs>
                    <w:spacing w:line="240" w:lineRule="auto"/>
                    <w:jc w:val="center"/>
                    <w:rPr>
                      <w:rFonts w:hint="eastAsia"/>
                      <w:color w:val="auto"/>
                      <w:sz w:val="21"/>
                      <w:szCs w:val="21"/>
                      <w:highlight w:val="none"/>
                      <w:lang w:val="en-US" w:eastAsia="zh-CN"/>
                    </w:rPr>
                  </w:pPr>
                </w:p>
              </w:tc>
              <w:tc>
                <w:tcPr>
                  <w:tcW w:w="469" w:type="pct"/>
                  <w:noWrap w:val="0"/>
                  <w:vAlign w:val="center"/>
                </w:tcPr>
                <w:p w14:paraId="5E19E97A">
                  <w:pPr>
                    <w:tabs>
                      <w:tab w:val="left" w:pos="4425"/>
                    </w:tabs>
                    <w:spacing w:line="240" w:lineRule="auto"/>
                    <w:jc w:val="center"/>
                    <w:rPr>
                      <w:rFonts w:hint="default"/>
                      <w:color w:val="auto"/>
                      <w:sz w:val="21"/>
                      <w:szCs w:val="21"/>
                      <w:highlight w:val="none"/>
                      <w:lang w:val="en-US" w:eastAsia="zh-CN"/>
                    </w:rPr>
                  </w:pPr>
                  <w:r>
                    <w:rPr>
                      <w:rFonts w:hint="eastAsia"/>
                      <w:color w:val="auto"/>
                      <w:sz w:val="21"/>
                      <w:szCs w:val="21"/>
                      <w:highlight w:val="none"/>
                      <w:lang w:val="en-US" w:eastAsia="zh-CN"/>
                    </w:rPr>
                    <w:t>0.464</w:t>
                  </w:r>
                </w:p>
              </w:tc>
              <w:tc>
                <w:tcPr>
                  <w:tcW w:w="533" w:type="pct"/>
                  <w:vMerge w:val="continue"/>
                  <w:noWrap w:val="0"/>
                  <w:vAlign w:val="center"/>
                </w:tcPr>
                <w:p w14:paraId="4AEF2508">
                  <w:pPr>
                    <w:adjustRightInd w:val="0"/>
                    <w:snapToGrid w:val="0"/>
                    <w:spacing w:line="240" w:lineRule="auto"/>
                    <w:jc w:val="center"/>
                    <w:rPr>
                      <w:rFonts w:hint="eastAsia"/>
                      <w:color w:val="auto"/>
                      <w:kern w:val="0"/>
                      <w:sz w:val="21"/>
                      <w:szCs w:val="21"/>
                      <w:highlight w:val="none"/>
                    </w:rPr>
                  </w:pPr>
                </w:p>
              </w:tc>
            </w:tr>
            <w:tr w14:paraId="662A3C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6" w:hRule="atLeast"/>
                <w:jc w:val="center"/>
              </w:trPr>
              <w:tc>
                <w:tcPr>
                  <w:tcW w:w="278" w:type="pct"/>
                  <w:noWrap w:val="0"/>
                  <w:vAlign w:val="center"/>
                </w:tcPr>
                <w:p w14:paraId="122E400F">
                  <w:pPr>
                    <w:adjustRightInd w:val="0"/>
                    <w:snapToGrid w:val="0"/>
                    <w:spacing w:line="240" w:lineRule="auto"/>
                    <w:jc w:val="center"/>
                    <w:rPr>
                      <w:rFonts w:hint="eastAsia" w:eastAsia="宋体"/>
                      <w:color w:val="auto"/>
                      <w:kern w:val="0"/>
                      <w:sz w:val="21"/>
                      <w:szCs w:val="21"/>
                      <w:highlight w:val="none"/>
                      <w:lang w:val="en-US" w:eastAsia="zh-CN" w:bidi="ar-SA"/>
                    </w:rPr>
                  </w:pPr>
                  <w:r>
                    <w:rPr>
                      <w:rFonts w:hint="eastAsia"/>
                      <w:color w:val="auto"/>
                      <w:kern w:val="0"/>
                      <w:sz w:val="21"/>
                      <w:szCs w:val="21"/>
                      <w:highlight w:val="none"/>
                      <w:lang w:val="en-US" w:eastAsia="zh-CN"/>
                    </w:rPr>
                    <w:t>6</w:t>
                  </w:r>
                </w:p>
              </w:tc>
              <w:tc>
                <w:tcPr>
                  <w:tcW w:w="512" w:type="pct"/>
                  <w:noWrap w:val="0"/>
                  <w:vAlign w:val="center"/>
                </w:tcPr>
                <w:p w14:paraId="7E8BD31B">
                  <w:pPr>
                    <w:tabs>
                      <w:tab w:val="left" w:pos="4425"/>
                    </w:tabs>
                    <w:spacing w:line="240" w:lineRule="auto"/>
                    <w:jc w:val="center"/>
                    <w:rPr>
                      <w:rFonts w:hint="eastAsia"/>
                      <w:color w:val="auto"/>
                      <w:sz w:val="21"/>
                      <w:szCs w:val="21"/>
                      <w:highlight w:val="none"/>
                      <w:lang w:eastAsia="zh-CN"/>
                    </w:rPr>
                  </w:pPr>
                  <w:r>
                    <w:rPr>
                      <w:rFonts w:hint="eastAsia"/>
                      <w:color w:val="auto"/>
                      <w:sz w:val="21"/>
                      <w:szCs w:val="21"/>
                      <w:highlight w:val="none"/>
                      <w:lang w:eastAsia="zh-CN"/>
                    </w:rPr>
                    <w:t>布袋除尘</w:t>
                  </w:r>
                </w:p>
              </w:tc>
              <w:tc>
                <w:tcPr>
                  <w:tcW w:w="499" w:type="pct"/>
                  <w:noWrap w:val="0"/>
                  <w:vAlign w:val="center"/>
                </w:tcPr>
                <w:p w14:paraId="179F7F36">
                  <w:pPr>
                    <w:tabs>
                      <w:tab w:val="left" w:pos="4425"/>
                    </w:tabs>
                    <w:spacing w:line="240" w:lineRule="auto"/>
                    <w:jc w:val="center"/>
                    <w:rPr>
                      <w:rFonts w:hint="eastAsia"/>
                      <w:color w:val="auto"/>
                      <w:kern w:val="0"/>
                      <w:sz w:val="21"/>
                      <w:szCs w:val="21"/>
                      <w:highlight w:val="none"/>
                      <w:lang w:eastAsia="zh-CN"/>
                    </w:rPr>
                  </w:pPr>
                  <w:r>
                    <w:rPr>
                      <w:rFonts w:hint="eastAsia"/>
                      <w:color w:val="auto"/>
                      <w:kern w:val="0"/>
                      <w:sz w:val="21"/>
                      <w:szCs w:val="21"/>
                      <w:highlight w:val="none"/>
                      <w:lang w:eastAsia="zh-CN"/>
                    </w:rPr>
                    <w:t>废布袋</w:t>
                  </w:r>
                </w:p>
              </w:tc>
              <w:tc>
                <w:tcPr>
                  <w:tcW w:w="251" w:type="pct"/>
                  <w:vMerge w:val="continue"/>
                  <w:noWrap w:val="0"/>
                  <w:vAlign w:val="center"/>
                </w:tcPr>
                <w:p w14:paraId="63801255">
                  <w:pPr>
                    <w:tabs>
                      <w:tab w:val="left" w:pos="4425"/>
                    </w:tabs>
                    <w:spacing w:line="240" w:lineRule="auto"/>
                    <w:jc w:val="center"/>
                    <w:rPr>
                      <w:rFonts w:hint="eastAsia"/>
                      <w:color w:val="auto"/>
                      <w:kern w:val="0"/>
                      <w:sz w:val="21"/>
                      <w:szCs w:val="21"/>
                      <w:highlight w:val="none"/>
                    </w:rPr>
                  </w:pPr>
                </w:p>
              </w:tc>
              <w:tc>
                <w:tcPr>
                  <w:tcW w:w="776" w:type="pct"/>
                  <w:noWrap w:val="0"/>
                  <w:vAlign w:val="center"/>
                </w:tcPr>
                <w:p w14:paraId="099800E8">
                  <w:pPr>
                    <w:tabs>
                      <w:tab w:val="left" w:pos="4425"/>
                    </w:tabs>
                    <w:spacing w:line="240" w:lineRule="auto"/>
                    <w:jc w:val="center"/>
                    <w:rPr>
                      <w:rFonts w:hint="eastAsia" w:ascii="Times New Roman" w:hAnsi="Times New Roman" w:cs="Times New Roman"/>
                      <w:color w:val="auto"/>
                      <w:sz w:val="21"/>
                      <w:szCs w:val="21"/>
                      <w:lang w:val="en-US" w:eastAsia="zh-CN"/>
                    </w:rPr>
                  </w:pPr>
                  <w:r>
                    <w:rPr>
                      <w:rFonts w:hint="eastAsia" w:eastAsia="宋体"/>
                      <w:color w:val="auto"/>
                      <w:sz w:val="21"/>
                      <w:szCs w:val="21"/>
                      <w:lang w:eastAsia="zh-CN"/>
                    </w:rPr>
                    <w:t>900-009-S59</w:t>
                  </w:r>
                </w:p>
              </w:tc>
              <w:tc>
                <w:tcPr>
                  <w:tcW w:w="706" w:type="pct"/>
                  <w:noWrap w:val="0"/>
                  <w:vAlign w:val="center"/>
                </w:tcPr>
                <w:p w14:paraId="44EB5338">
                  <w:pPr>
                    <w:tabs>
                      <w:tab w:val="left" w:pos="4425"/>
                    </w:tabs>
                    <w:spacing w:line="240" w:lineRule="auto"/>
                    <w:jc w:val="center"/>
                    <w:rPr>
                      <w:color w:val="auto"/>
                      <w:kern w:val="0"/>
                      <w:sz w:val="21"/>
                      <w:szCs w:val="21"/>
                      <w:highlight w:val="none"/>
                    </w:rPr>
                  </w:pPr>
                  <w:r>
                    <w:rPr>
                      <w:color w:val="auto"/>
                      <w:kern w:val="0"/>
                      <w:sz w:val="21"/>
                      <w:szCs w:val="21"/>
                      <w:highlight w:val="none"/>
                    </w:rPr>
                    <w:t>/</w:t>
                  </w:r>
                </w:p>
              </w:tc>
              <w:tc>
                <w:tcPr>
                  <w:tcW w:w="500" w:type="pct"/>
                  <w:noWrap w:val="0"/>
                  <w:vAlign w:val="center"/>
                </w:tcPr>
                <w:p w14:paraId="3246393E">
                  <w:pPr>
                    <w:tabs>
                      <w:tab w:val="left" w:pos="4425"/>
                    </w:tabs>
                    <w:spacing w:line="240" w:lineRule="auto"/>
                    <w:jc w:val="center"/>
                    <w:rPr>
                      <w:rFonts w:hint="default"/>
                      <w:color w:val="auto"/>
                      <w:sz w:val="21"/>
                      <w:szCs w:val="21"/>
                      <w:highlight w:val="none"/>
                      <w:lang w:val="en-US" w:eastAsia="zh-CN"/>
                    </w:rPr>
                  </w:pPr>
                  <w:r>
                    <w:rPr>
                      <w:rFonts w:hint="eastAsia"/>
                      <w:color w:val="auto"/>
                      <w:sz w:val="21"/>
                      <w:szCs w:val="21"/>
                      <w:highlight w:val="none"/>
                      <w:lang w:val="en-US" w:eastAsia="zh-CN"/>
                    </w:rPr>
                    <w:t>0.2</w:t>
                  </w:r>
                </w:p>
              </w:tc>
              <w:tc>
                <w:tcPr>
                  <w:tcW w:w="470" w:type="pct"/>
                  <w:noWrap w:val="0"/>
                  <w:vAlign w:val="center"/>
                </w:tcPr>
                <w:p w14:paraId="0AAFC1C9">
                  <w:pPr>
                    <w:tabs>
                      <w:tab w:val="left" w:pos="4425"/>
                    </w:tabs>
                    <w:spacing w:line="240" w:lineRule="auto"/>
                    <w:jc w:val="center"/>
                    <w:rPr>
                      <w:rFonts w:hint="default"/>
                      <w:color w:val="auto"/>
                      <w:sz w:val="21"/>
                      <w:szCs w:val="21"/>
                      <w:highlight w:val="none"/>
                      <w:lang w:val="en-US" w:eastAsia="zh-CN"/>
                    </w:rPr>
                  </w:pPr>
                  <w:r>
                    <w:rPr>
                      <w:rFonts w:hint="eastAsia"/>
                      <w:color w:val="auto"/>
                      <w:sz w:val="21"/>
                      <w:szCs w:val="21"/>
                      <w:highlight w:val="none"/>
                      <w:lang w:val="en-US" w:eastAsia="zh-CN"/>
                    </w:rPr>
                    <w:t>/</w:t>
                  </w:r>
                </w:p>
              </w:tc>
              <w:tc>
                <w:tcPr>
                  <w:tcW w:w="469" w:type="pct"/>
                  <w:noWrap w:val="0"/>
                  <w:vAlign w:val="center"/>
                </w:tcPr>
                <w:p w14:paraId="4FE5F96E">
                  <w:pPr>
                    <w:tabs>
                      <w:tab w:val="left" w:pos="4425"/>
                    </w:tabs>
                    <w:spacing w:line="240" w:lineRule="auto"/>
                    <w:jc w:val="center"/>
                    <w:rPr>
                      <w:rFonts w:hint="default"/>
                      <w:color w:val="auto"/>
                      <w:sz w:val="21"/>
                      <w:szCs w:val="21"/>
                      <w:highlight w:val="none"/>
                      <w:lang w:val="en-US" w:eastAsia="zh-CN"/>
                    </w:rPr>
                  </w:pPr>
                  <w:r>
                    <w:rPr>
                      <w:rFonts w:hint="eastAsia"/>
                      <w:color w:val="auto"/>
                      <w:sz w:val="21"/>
                      <w:szCs w:val="21"/>
                      <w:highlight w:val="none"/>
                      <w:lang w:val="en-US" w:eastAsia="zh-CN"/>
                    </w:rPr>
                    <w:t>/</w:t>
                  </w:r>
                </w:p>
              </w:tc>
              <w:tc>
                <w:tcPr>
                  <w:tcW w:w="533" w:type="pct"/>
                  <w:noWrap w:val="0"/>
                  <w:vAlign w:val="center"/>
                </w:tcPr>
                <w:p w14:paraId="53B9C809">
                  <w:pPr>
                    <w:adjustRightInd w:val="0"/>
                    <w:snapToGrid w:val="0"/>
                    <w:spacing w:line="240" w:lineRule="auto"/>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由厂家更换回收</w:t>
                  </w:r>
                </w:p>
              </w:tc>
            </w:tr>
            <w:tr w14:paraId="375CED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6" w:hRule="atLeast"/>
                <w:jc w:val="center"/>
              </w:trPr>
              <w:tc>
                <w:tcPr>
                  <w:tcW w:w="278" w:type="pct"/>
                  <w:noWrap w:val="0"/>
                  <w:vAlign w:val="center"/>
                </w:tcPr>
                <w:p w14:paraId="7CA054DD">
                  <w:pPr>
                    <w:adjustRightInd w:val="0"/>
                    <w:snapToGrid w:val="0"/>
                    <w:spacing w:line="240" w:lineRule="auto"/>
                    <w:jc w:val="center"/>
                    <w:rPr>
                      <w:rFonts w:hint="eastAsia" w:eastAsia="宋体"/>
                      <w:color w:val="auto"/>
                      <w:kern w:val="0"/>
                      <w:sz w:val="21"/>
                      <w:szCs w:val="21"/>
                      <w:highlight w:val="none"/>
                      <w:lang w:val="en-US" w:eastAsia="zh-CN" w:bidi="ar-SA"/>
                    </w:rPr>
                  </w:pPr>
                  <w:r>
                    <w:rPr>
                      <w:rFonts w:hint="eastAsia"/>
                      <w:color w:val="auto"/>
                      <w:kern w:val="0"/>
                      <w:sz w:val="21"/>
                      <w:szCs w:val="21"/>
                      <w:highlight w:val="none"/>
                      <w:lang w:val="en-US" w:eastAsia="zh-CN"/>
                    </w:rPr>
                    <w:t>7</w:t>
                  </w:r>
                </w:p>
              </w:tc>
              <w:tc>
                <w:tcPr>
                  <w:tcW w:w="512" w:type="pct"/>
                  <w:noWrap w:val="0"/>
                  <w:vAlign w:val="center"/>
                </w:tcPr>
                <w:p w14:paraId="7885FA5B">
                  <w:pPr>
                    <w:tabs>
                      <w:tab w:val="left" w:pos="4425"/>
                    </w:tabs>
                    <w:spacing w:line="240" w:lineRule="auto"/>
                    <w:jc w:val="center"/>
                    <w:rPr>
                      <w:rFonts w:hint="eastAsia" w:eastAsia="宋体"/>
                      <w:color w:val="auto"/>
                      <w:sz w:val="21"/>
                      <w:szCs w:val="21"/>
                      <w:highlight w:val="none"/>
                      <w:lang w:eastAsia="zh-CN"/>
                    </w:rPr>
                  </w:pPr>
                  <w:r>
                    <w:rPr>
                      <w:rFonts w:hint="eastAsia"/>
                      <w:color w:val="auto"/>
                      <w:sz w:val="21"/>
                      <w:szCs w:val="21"/>
                      <w:highlight w:val="none"/>
                      <w:lang w:eastAsia="zh-CN"/>
                    </w:rPr>
                    <w:t>活性炭吸附</w:t>
                  </w:r>
                </w:p>
              </w:tc>
              <w:tc>
                <w:tcPr>
                  <w:tcW w:w="499" w:type="pct"/>
                  <w:noWrap w:val="0"/>
                  <w:vAlign w:val="center"/>
                </w:tcPr>
                <w:p w14:paraId="07A94AD0">
                  <w:pPr>
                    <w:tabs>
                      <w:tab w:val="left" w:pos="4425"/>
                    </w:tabs>
                    <w:spacing w:line="240" w:lineRule="auto"/>
                    <w:jc w:val="center"/>
                    <w:rPr>
                      <w:rFonts w:hint="eastAsia"/>
                      <w:color w:val="auto"/>
                      <w:kern w:val="2"/>
                      <w:sz w:val="21"/>
                      <w:szCs w:val="21"/>
                      <w:highlight w:val="none"/>
                      <w:lang w:val="en-US" w:eastAsia="zh-CN" w:bidi="ar-SA"/>
                    </w:rPr>
                  </w:pPr>
                  <w:r>
                    <w:rPr>
                      <w:rFonts w:hint="eastAsia" w:ascii="Times New Roman" w:hAnsi="Times New Roman" w:eastAsia="宋体" w:cs="Times New Roman"/>
                      <w:color w:val="auto"/>
                      <w:sz w:val="21"/>
                      <w:szCs w:val="21"/>
                      <w:lang w:eastAsia="zh-CN"/>
                    </w:rPr>
                    <w:t>废活性炭</w:t>
                  </w:r>
                </w:p>
              </w:tc>
              <w:tc>
                <w:tcPr>
                  <w:tcW w:w="251" w:type="pct"/>
                  <w:vMerge w:val="restart"/>
                  <w:noWrap w:val="0"/>
                  <w:vAlign w:val="center"/>
                </w:tcPr>
                <w:p w14:paraId="62FDD071">
                  <w:pPr>
                    <w:tabs>
                      <w:tab w:val="left" w:pos="4425"/>
                    </w:tabs>
                    <w:spacing w:line="240" w:lineRule="auto"/>
                    <w:jc w:val="center"/>
                    <w:rPr>
                      <w:rFonts w:hint="eastAsia" w:eastAsia="宋体"/>
                      <w:color w:val="auto"/>
                      <w:kern w:val="0"/>
                      <w:sz w:val="21"/>
                      <w:szCs w:val="21"/>
                      <w:highlight w:val="none"/>
                      <w:lang w:eastAsia="zh-CN"/>
                    </w:rPr>
                  </w:pPr>
                  <w:r>
                    <w:rPr>
                      <w:rFonts w:hint="eastAsia"/>
                      <w:color w:val="auto"/>
                      <w:kern w:val="0"/>
                      <w:sz w:val="21"/>
                      <w:szCs w:val="21"/>
                      <w:highlight w:val="none"/>
                      <w:lang w:eastAsia="zh-CN"/>
                    </w:rPr>
                    <w:t>危险废物</w:t>
                  </w:r>
                </w:p>
              </w:tc>
              <w:tc>
                <w:tcPr>
                  <w:tcW w:w="776" w:type="pct"/>
                  <w:noWrap w:val="0"/>
                  <w:vAlign w:val="center"/>
                </w:tcPr>
                <w:p w14:paraId="50D2E51E">
                  <w:pPr>
                    <w:tabs>
                      <w:tab w:val="left" w:pos="4425"/>
                    </w:tabs>
                    <w:spacing w:line="240" w:lineRule="auto"/>
                    <w:jc w:val="center"/>
                    <w:rPr>
                      <w:rFonts w:hint="eastAsia"/>
                      <w:color w:val="auto"/>
                      <w:kern w:val="0"/>
                      <w:sz w:val="21"/>
                      <w:szCs w:val="21"/>
                      <w:highlight w:val="none"/>
                    </w:rPr>
                  </w:pPr>
                  <w:r>
                    <w:rPr>
                      <w:rFonts w:hint="eastAsia"/>
                      <w:color w:val="auto"/>
                      <w:kern w:val="0"/>
                      <w:sz w:val="21"/>
                      <w:szCs w:val="21"/>
                      <w:highlight w:val="none"/>
                      <w:lang w:val="en-US" w:eastAsia="zh-CN"/>
                    </w:rPr>
                    <w:t>HW49</w:t>
                  </w:r>
                </w:p>
              </w:tc>
              <w:tc>
                <w:tcPr>
                  <w:tcW w:w="706" w:type="pct"/>
                  <w:noWrap w:val="0"/>
                  <w:vAlign w:val="center"/>
                </w:tcPr>
                <w:p w14:paraId="21483CDF">
                  <w:pPr>
                    <w:tabs>
                      <w:tab w:val="left" w:pos="4425"/>
                    </w:tabs>
                    <w:spacing w:line="240" w:lineRule="auto"/>
                    <w:jc w:val="center"/>
                    <w:rPr>
                      <w:rFonts w:hint="eastAsia"/>
                      <w:color w:val="auto"/>
                      <w:kern w:val="0"/>
                      <w:sz w:val="21"/>
                      <w:szCs w:val="21"/>
                      <w:highlight w:val="none"/>
                    </w:rPr>
                  </w:pPr>
                  <w:r>
                    <w:rPr>
                      <w:rFonts w:hint="eastAsia"/>
                      <w:color w:val="auto"/>
                      <w:kern w:val="0"/>
                      <w:sz w:val="21"/>
                      <w:szCs w:val="21"/>
                      <w:highlight w:val="none"/>
                      <w:lang w:val="en-US" w:eastAsia="zh-CN"/>
                    </w:rPr>
                    <w:t>900-039-49</w:t>
                  </w:r>
                </w:p>
              </w:tc>
              <w:tc>
                <w:tcPr>
                  <w:tcW w:w="500" w:type="pct"/>
                  <w:noWrap w:val="0"/>
                  <w:vAlign w:val="center"/>
                </w:tcPr>
                <w:p w14:paraId="345C59CF">
                  <w:pPr>
                    <w:tabs>
                      <w:tab w:val="left" w:pos="4425"/>
                    </w:tabs>
                    <w:spacing w:line="240" w:lineRule="auto"/>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1.3</w:t>
                  </w:r>
                </w:p>
              </w:tc>
              <w:tc>
                <w:tcPr>
                  <w:tcW w:w="470" w:type="pct"/>
                  <w:vMerge w:val="restart"/>
                  <w:noWrap w:val="0"/>
                  <w:vAlign w:val="center"/>
                </w:tcPr>
                <w:p w14:paraId="0CBA16D1">
                  <w:pPr>
                    <w:tabs>
                      <w:tab w:val="left" w:pos="4425"/>
                    </w:tabs>
                    <w:spacing w:line="240" w:lineRule="auto"/>
                    <w:jc w:val="center"/>
                    <w:rPr>
                      <w:rFonts w:hint="default"/>
                      <w:color w:val="auto"/>
                      <w:sz w:val="21"/>
                      <w:szCs w:val="21"/>
                      <w:highlight w:val="none"/>
                      <w:lang w:val="en-US" w:eastAsia="zh-CN"/>
                    </w:rPr>
                  </w:pPr>
                  <w:r>
                    <w:rPr>
                      <w:rFonts w:hint="eastAsia"/>
                      <w:color w:val="auto"/>
                      <w:sz w:val="21"/>
                      <w:szCs w:val="21"/>
                      <w:highlight w:val="none"/>
                      <w:lang w:val="en-US" w:eastAsia="zh-CN"/>
                    </w:rPr>
                    <w:t>1a</w:t>
                  </w:r>
                </w:p>
              </w:tc>
              <w:tc>
                <w:tcPr>
                  <w:tcW w:w="469" w:type="pct"/>
                  <w:noWrap w:val="0"/>
                  <w:vAlign w:val="center"/>
                </w:tcPr>
                <w:p w14:paraId="00F5AD7E">
                  <w:pPr>
                    <w:tabs>
                      <w:tab w:val="left" w:pos="4425"/>
                    </w:tabs>
                    <w:spacing w:line="240" w:lineRule="auto"/>
                    <w:jc w:val="center"/>
                    <w:rPr>
                      <w:rFonts w:hint="default"/>
                      <w:color w:val="auto"/>
                      <w:sz w:val="21"/>
                      <w:szCs w:val="21"/>
                      <w:highlight w:val="none"/>
                      <w:lang w:val="en-US" w:eastAsia="zh-CN"/>
                    </w:rPr>
                  </w:pPr>
                  <w:r>
                    <w:rPr>
                      <w:rFonts w:hint="eastAsia"/>
                      <w:color w:val="auto"/>
                      <w:sz w:val="21"/>
                      <w:szCs w:val="21"/>
                      <w:highlight w:val="none"/>
                      <w:lang w:val="en-US" w:eastAsia="zh-CN"/>
                    </w:rPr>
                    <w:t>1.3</w:t>
                  </w:r>
                </w:p>
              </w:tc>
              <w:tc>
                <w:tcPr>
                  <w:tcW w:w="533" w:type="pct"/>
                  <w:vMerge w:val="restart"/>
                  <w:noWrap w:val="0"/>
                  <w:vAlign w:val="center"/>
                </w:tcPr>
                <w:p w14:paraId="180F38F2">
                  <w:pPr>
                    <w:adjustRightInd w:val="0"/>
                    <w:snapToGrid w:val="0"/>
                    <w:spacing w:line="240" w:lineRule="auto"/>
                    <w:jc w:val="center"/>
                    <w:rPr>
                      <w:rFonts w:hint="eastAsia" w:eastAsia="宋体"/>
                      <w:color w:val="auto"/>
                      <w:kern w:val="0"/>
                      <w:sz w:val="21"/>
                      <w:szCs w:val="21"/>
                      <w:highlight w:val="none"/>
                      <w:lang w:eastAsia="zh-CN"/>
                    </w:rPr>
                  </w:pPr>
                  <w:r>
                    <w:rPr>
                      <w:rFonts w:hint="eastAsia"/>
                      <w:color w:val="auto"/>
                      <w:kern w:val="0"/>
                      <w:sz w:val="21"/>
                      <w:szCs w:val="21"/>
                      <w:highlight w:val="none"/>
                      <w:lang w:eastAsia="zh-CN"/>
                    </w:rPr>
                    <w:t>于厂内危险废物贮存点暂存后委托有资质单位处置</w:t>
                  </w:r>
                </w:p>
              </w:tc>
            </w:tr>
            <w:tr w14:paraId="11B552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6" w:hRule="atLeast"/>
                <w:jc w:val="center"/>
              </w:trPr>
              <w:tc>
                <w:tcPr>
                  <w:tcW w:w="278" w:type="pct"/>
                  <w:noWrap w:val="0"/>
                  <w:vAlign w:val="center"/>
                </w:tcPr>
                <w:p w14:paraId="74CB9E05">
                  <w:pPr>
                    <w:adjustRightInd w:val="0"/>
                    <w:snapToGrid w:val="0"/>
                    <w:spacing w:line="240" w:lineRule="auto"/>
                    <w:jc w:val="center"/>
                    <w:rPr>
                      <w:rFonts w:hint="default"/>
                      <w:color w:val="auto"/>
                      <w:kern w:val="0"/>
                      <w:sz w:val="21"/>
                      <w:szCs w:val="21"/>
                      <w:highlight w:val="none"/>
                      <w:lang w:val="en-US" w:eastAsia="zh-CN" w:bidi="ar-SA"/>
                    </w:rPr>
                  </w:pPr>
                  <w:r>
                    <w:rPr>
                      <w:rFonts w:hint="eastAsia"/>
                      <w:color w:val="auto"/>
                      <w:kern w:val="0"/>
                      <w:sz w:val="21"/>
                      <w:szCs w:val="21"/>
                      <w:highlight w:val="none"/>
                      <w:lang w:val="en-US" w:eastAsia="zh-CN"/>
                    </w:rPr>
                    <w:t>8</w:t>
                  </w:r>
                </w:p>
              </w:tc>
              <w:tc>
                <w:tcPr>
                  <w:tcW w:w="512" w:type="pct"/>
                  <w:noWrap w:val="0"/>
                  <w:vAlign w:val="center"/>
                </w:tcPr>
                <w:p w14:paraId="10A6F3FA">
                  <w:pPr>
                    <w:tabs>
                      <w:tab w:val="left" w:pos="4425"/>
                    </w:tabs>
                    <w:spacing w:line="240" w:lineRule="auto"/>
                    <w:jc w:val="center"/>
                    <w:rPr>
                      <w:rFonts w:hint="default" w:eastAsia="宋体"/>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紫外光固化</w:t>
                  </w:r>
                </w:p>
              </w:tc>
              <w:tc>
                <w:tcPr>
                  <w:tcW w:w="499" w:type="pct"/>
                  <w:noWrap w:val="0"/>
                  <w:vAlign w:val="center"/>
                </w:tcPr>
                <w:p w14:paraId="24CDF27A">
                  <w:pPr>
                    <w:tabs>
                      <w:tab w:val="left" w:pos="4425"/>
                    </w:tabs>
                    <w:spacing w:line="240" w:lineRule="auto"/>
                    <w:jc w:val="center"/>
                    <w:rPr>
                      <w:rFonts w:hint="eastAsia"/>
                      <w:color w:val="auto"/>
                      <w:kern w:val="2"/>
                      <w:sz w:val="21"/>
                      <w:szCs w:val="21"/>
                      <w:highlight w:val="none"/>
                      <w:lang w:val="en-US" w:eastAsia="zh-CN" w:bidi="ar-SA"/>
                    </w:rPr>
                  </w:pPr>
                  <w:r>
                    <w:rPr>
                      <w:rFonts w:hint="eastAsia"/>
                      <w:color w:val="auto"/>
                      <w:kern w:val="0"/>
                      <w:sz w:val="21"/>
                      <w:szCs w:val="21"/>
                      <w:highlight w:val="none"/>
                      <w:lang w:eastAsia="zh-CN"/>
                    </w:rPr>
                    <w:t>废</w:t>
                  </w:r>
                  <w:r>
                    <w:rPr>
                      <w:rFonts w:hint="eastAsia"/>
                      <w:color w:val="auto"/>
                      <w:kern w:val="0"/>
                      <w:sz w:val="21"/>
                      <w:szCs w:val="21"/>
                      <w:highlight w:val="none"/>
                      <w:lang w:val="en-US" w:eastAsia="zh-CN"/>
                    </w:rPr>
                    <w:t>UV灯管</w:t>
                  </w:r>
                </w:p>
              </w:tc>
              <w:tc>
                <w:tcPr>
                  <w:tcW w:w="251" w:type="pct"/>
                  <w:vMerge w:val="continue"/>
                  <w:noWrap w:val="0"/>
                  <w:vAlign w:val="center"/>
                </w:tcPr>
                <w:p w14:paraId="6B675976">
                  <w:pPr>
                    <w:tabs>
                      <w:tab w:val="left" w:pos="4425"/>
                    </w:tabs>
                    <w:spacing w:line="240" w:lineRule="auto"/>
                    <w:jc w:val="center"/>
                    <w:rPr>
                      <w:rFonts w:hint="eastAsia"/>
                      <w:color w:val="auto"/>
                      <w:kern w:val="0"/>
                      <w:sz w:val="21"/>
                      <w:szCs w:val="21"/>
                      <w:highlight w:val="none"/>
                    </w:rPr>
                  </w:pPr>
                </w:p>
              </w:tc>
              <w:tc>
                <w:tcPr>
                  <w:tcW w:w="776" w:type="pct"/>
                  <w:noWrap w:val="0"/>
                  <w:vAlign w:val="center"/>
                </w:tcPr>
                <w:p w14:paraId="5D3732B5">
                  <w:pPr>
                    <w:tabs>
                      <w:tab w:val="left" w:pos="4425"/>
                    </w:tabs>
                    <w:spacing w:line="240" w:lineRule="auto"/>
                    <w:jc w:val="center"/>
                    <w:rPr>
                      <w:rFonts w:hint="eastAsia"/>
                      <w:color w:val="auto"/>
                      <w:kern w:val="0"/>
                      <w:sz w:val="21"/>
                      <w:szCs w:val="21"/>
                      <w:highlight w:val="none"/>
                    </w:rPr>
                  </w:pPr>
                  <w:r>
                    <w:rPr>
                      <w:rFonts w:hint="eastAsia"/>
                      <w:color w:val="auto"/>
                      <w:kern w:val="0"/>
                      <w:sz w:val="21"/>
                      <w:szCs w:val="21"/>
                      <w:highlight w:val="none"/>
                      <w:lang w:val="en-US" w:eastAsia="zh-CN"/>
                    </w:rPr>
                    <w:t>HW29</w:t>
                  </w:r>
                </w:p>
              </w:tc>
              <w:tc>
                <w:tcPr>
                  <w:tcW w:w="706" w:type="pct"/>
                  <w:noWrap w:val="0"/>
                  <w:vAlign w:val="center"/>
                </w:tcPr>
                <w:p w14:paraId="050BFBA8">
                  <w:pPr>
                    <w:tabs>
                      <w:tab w:val="left" w:pos="4425"/>
                    </w:tabs>
                    <w:spacing w:line="240" w:lineRule="auto"/>
                    <w:jc w:val="center"/>
                    <w:rPr>
                      <w:rFonts w:hint="eastAsia"/>
                      <w:color w:val="auto"/>
                      <w:kern w:val="0"/>
                      <w:sz w:val="21"/>
                      <w:szCs w:val="21"/>
                      <w:highlight w:val="none"/>
                    </w:rPr>
                  </w:pPr>
                  <w:r>
                    <w:rPr>
                      <w:rFonts w:hint="eastAsia"/>
                      <w:color w:val="auto"/>
                      <w:kern w:val="0"/>
                      <w:sz w:val="21"/>
                      <w:szCs w:val="21"/>
                      <w:highlight w:val="none"/>
                      <w:lang w:val="en-US" w:eastAsia="zh-CN"/>
                    </w:rPr>
                    <w:t>900-023-29</w:t>
                  </w:r>
                </w:p>
              </w:tc>
              <w:tc>
                <w:tcPr>
                  <w:tcW w:w="500" w:type="pct"/>
                  <w:noWrap w:val="0"/>
                  <w:vAlign w:val="center"/>
                </w:tcPr>
                <w:p w14:paraId="784235C0">
                  <w:pPr>
                    <w:tabs>
                      <w:tab w:val="left" w:pos="4425"/>
                    </w:tabs>
                    <w:spacing w:line="240" w:lineRule="auto"/>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0.012</w:t>
                  </w:r>
                </w:p>
              </w:tc>
              <w:tc>
                <w:tcPr>
                  <w:tcW w:w="470" w:type="pct"/>
                  <w:vMerge w:val="continue"/>
                  <w:noWrap w:val="0"/>
                  <w:vAlign w:val="center"/>
                </w:tcPr>
                <w:p w14:paraId="29B55454">
                  <w:pPr>
                    <w:tabs>
                      <w:tab w:val="left" w:pos="4425"/>
                    </w:tabs>
                    <w:spacing w:line="240" w:lineRule="auto"/>
                    <w:jc w:val="center"/>
                    <w:rPr>
                      <w:rFonts w:hint="eastAsia"/>
                      <w:color w:val="auto"/>
                      <w:sz w:val="21"/>
                      <w:szCs w:val="21"/>
                      <w:highlight w:val="none"/>
                      <w:lang w:val="en-US" w:eastAsia="zh-CN"/>
                    </w:rPr>
                  </w:pPr>
                </w:p>
              </w:tc>
              <w:tc>
                <w:tcPr>
                  <w:tcW w:w="469" w:type="pct"/>
                  <w:noWrap w:val="0"/>
                  <w:vAlign w:val="center"/>
                </w:tcPr>
                <w:p w14:paraId="6DFC8D4A">
                  <w:pPr>
                    <w:tabs>
                      <w:tab w:val="left" w:pos="4425"/>
                    </w:tabs>
                    <w:spacing w:line="240" w:lineRule="auto"/>
                    <w:jc w:val="center"/>
                    <w:rPr>
                      <w:rFonts w:hint="default"/>
                      <w:color w:val="auto"/>
                      <w:sz w:val="21"/>
                      <w:szCs w:val="21"/>
                      <w:highlight w:val="none"/>
                      <w:lang w:val="en-US" w:eastAsia="zh-CN"/>
                    </w:rPr>
                  </w:pPr>
                  <w:r>
                    <w:rPr>
                      <w:rFonts w:hint="eastAsia"/>
                      <w:color w:val="auto"/>
                      <w:sz w:val="21"/>
                      <w:szCs w:val="21"/>
                      <w:highlight w:val="none"/>
                      <w:lang w:val="en-US" w:eastAsia="zh-CN"/>
                    </w:rPr>
                    <w:t>0.012</w:t>
                  </w:r>
                </w:p>
              </w:tc>
              <w:tc>
                <w:tcPr>
                  <w:tcW w:w="533" w:type="pct"/>
                  <w:vMerge w:val="continue"/>
                  <w:noWrap w:val="0"/>
                  <w:vAlign w:val="center"/>
                </w:tcPr>
                <w:p w14:paraId="557008C3">
                  <w:pPr>
                    <w:adjustRightInd w:val="0"/>
                    <w:snapToGrid w:val="0"/>
                    <w:spacing w:line="240" w:lineRule="auto"/>
                    <w:jc w:val="center"/>
                    <w:rPr>
                      <w:rFonts w:hint="eastAsia"/>
                      <w:color w:val="auto"/>
                      <w:kern w:val="0"/>
                      <w:sz w:val="21"/>
                      <w:szCs w:val="21"/>
                      <w:highlight w:val="none"/>
                    </w:rPr>
                  </w:pPr>
                </w:p>
              </w:tc>
            </w:tr>
            <w:tr w14:paraId="5885D3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6" w:hRule="atLeast"/>
                <w:jc w:val="center"/>
              </w:trPr>
              <w:tc>
                <w:tcPr>
                  <w:tcW w:w="278" w:type="pct"/>
                  <w:noWrap w:val="0"/>
                  <w:vAlign w:val="center"/>
                </w:tcPr>
                <w:p w14:paraId="6C80FE0D">
                  <w:pPr>
                    <w:adjustRightInd w:val="0"/>
                    <w:snapToGrid w:val="0"/>
                    <w:spacing w:line="240" w:lineRule="auto"/>
                    <w:jc w:val="center"/>
                    <w:rPr>
                      <w:rFonts w:hint="default"/>
                      <w:color w:val="auto"/>
                      <w:kern w:val="0"/>
                      <w:sz w:val="21"/>
                      <w:szCs w:val="21"/>
                      <w:highlight w:val="none"/>
                      <w:lang w:val="en-US" w:eastAsia="zh-CN" w:bidi="ar-SA"/>
                    </w:rPr>
                  </w:pPr>
                  <w:r>
                    <w:rPr>
                      <w:rFonts w:hint="eastAsia"/>
                      <w:color w:val="auto"/>
                      <w:kern w:val="0"/>
                      <w:sz w:val="21"/>
                      <w:szCs w:val="21"/>
                      <w:highlight w:val="none"/>
                      <w:lang w:val="en-US" w:eastAsia="zh-CN"/>
                    </w:rPr>
                    <w:t>9</w:t>
                  </w:r>
                </w:p>
              </w:tc>
              <w:tc>
                <w:tcPr>
                  <w:tcW w:w="512" w:type="pct"/>
                  <w:noWrap w:val="0"/>
                  <w:vAlign w:val="center"/>
                </w:tcPr>
                <w:p w14:paraId="67483767">
                  <w:pPr>
                    <w:tabs>
                      <w:tab w:val="left" w:pos="4425"/>
                    </w:tabs>
                    <w:spacing w:line="240" w:lineRule="auto"/>
                    <w:jc w:val="center"/>
                    <w:rPr>
                      <w:rFonts w:hint="eastAsia"/>
                      <w:color w:val="auto"/>
                      <w:sz w:val="21"/>
                      <w:szCs w:val="21"/>
                      <w:highlight w:val="none"/>
                      <w:lang w:eastAsia="zh-CN"/>
                    </w:rPr>
                  </w:pPr>
                  <w:r>
                    <w:rPr>
                      <w:rFonts w:hint="eastAsia"/>
                      <w:color w:val="auto"/>
                      <w:sz w:val="21"/>
                      <w:szCs w:val="21"/>
                      <w:highlight w:val="none"/>
                      <w:lang w:eastAsia="zh-CN"/>
                    </w:rPr>
                    <w:t>指接</w:t>
                  </w:r>
                </w:p>
              </w:tc>
              <w:tc>
                <w:tcPr>
                  <w:tcW w:w="499" w:type="pct"/>
                  <w:noWrap w:val="0"/>
                  <w:vAlign w:val="center"/>
                </w:tcPr>
                <w:p w14:paraId="26EAEFDB">
                  <w:pPr>
                    <w:tabs>
                      <w:tab w:val="left" w:pos="4425"/>
                    </w:tabs>
                    <w:spacing w:line="240" w:lineRule="auto"/>
                    <w:jc w:val="center"/>
                    <w:rPr>
                      <w:rFonts w:hint="eastAsia"/>
                      <w:color w:val="auto"/>
                      <w:kern w:val="0"/>
                      <w:sz w:val="21"/>
                      <w:szCs w:val="21"/>
                      <w:highlight w:val="none"/>
                      <w:lang w:eastAsia="zh-CN"/>
                    </w:rPr>
                  </w:pPr>
                  <w:r>
                    <w:rPr>
                      <w:rFonts w:hint="eastAsia"/>
                      <w:color w:val="auto"/>
                      <w:kern w:val="0"/>
                      <w:sz w:val="21"/>
                      <w:szCs w:val="21"/>
                      <w:highlight w:val="none"/>
                      <w:lang w:eastAsia="zh-CN"/>
                    </w:rPr>
                    <w:t>废胶渣</w:t>
                  </w:r>
                </w:p>
              </w:tc>
              <w:tc>
                <w:tcPr>
                  <w:tcW w:w="251" w:type="pct"/>
                  <w:vMerge w:val="continue"/>
                  <w:noWrap w:val="0"/>
                  <w:vAlign w:val="center"/>
                </w:tcPr>
                <w:p w14:paraId="7EEDE175">
                  <w:pPr>
                    <w:tabs>
                      <w:tab w:val="left" w:pos="4425"/>
                    </w:tabs>
                    <w:spacing w:line="240" w:lineRule="auto"/>
                    <w:jc w:val="center"/>
                    <w:rPr>
                      <w:rFonts w:hint="eastAsia"/>
                      <w:color w:val="auto"/>
                      <w:kern w:val="0"/>
                      <w:sz w:val="21"/>
                      <w:szCs w:val="21"/>
                      <w:highlight w:val="none"/>
                    </w:rPr>
                  </w:pPr>
                </w:p>
              </w:tc>
              <w:tc>
                <w:tcPr>
                  <w:tcW w:w="776" w:type="pct"/>
                  <w:noWrap w:val="0"/>
                  <w:vAlign w:val="center"/>
                </w:tcPr>
                <w:p w14:paraId="68FB3F1E">
                  <w:pPr>
                    <w:tabs>
                      <w:tab w:val="left" w:pos="4425"/>
                    </w:tabs>
                    <w:spacing w:line="240" w:lineRule="auto"/>
                    <w:jc w:val="center"/>
                    <w:rPr>
                      <w:rFonts w:hint="eastAsia"/>
                      <w:color w:val="auto"/>
                      <w:kern w:val="0"/>
                      <w:sz w:val="21"/>
                      <w:szCs w:val="21"/>
                      <w:highlight w:val="none"/>
                      <w:lang w:val="en-US" w:eastAsia="zh-CN"/>
                    </w:rPr>
                  </w:pPr>
                  <w:r>
                    <w:rPr>
                      <w:rFonts w:hint="eastAsia" w:ascii="Times New Roman" w:hAnsi="宋体" w:eastAsia="宋体" w:cs="Times New Roman"/>
                      <w:color w:val="auto"/>
                      <w:kern w:val="0"/>
                      <w:sz w:val="21"/>
                      <w:szCs w:val="21"/>
                      <w:highlight w:val="none"/>
                    </w:rPr>
                    <w:t>HW13</w:t>
                  </w:r>
                </w:p>
              </w:tc>
              <w:tc>
                <w:tcPr>
                  <w:tcW w:w="706" w:type="pct"/>
                  <w:noWrap w:val="0"/>
                  <w:vAlign w:val="center"/>
                </w:tcPr>
                <w:p w14:paraId="5D2791B9">
                  <w:pPr>
                    <w:tabs>
                      <w:tab w:val="left" w:pos="4425"/>
                    </w:tabs>
                    <w:spacing w:line="240" w:lineRule="auto"/>
                    <w:jc w:val="center"/>
                    <w:rPr>
                      <w:rFonts w:hint="eastAsia"/>
                      <w:color w:val="auto"/>
                      <w:kern w:val="0"/>
                      <w:sz w:val="21"/>
                      <w:szCs w:val="21"/>
                      <w:highlight w:val="none"/>
                      <w:lang w:val="en-US" w:eastAsia="zh-CN"/>
                    </w:rPr>
                  </w:pPr>
                  <w:r>
                    <w:rPr>
                      <w:rFonts w:hint="eastAsia" w:ascii="Times New Roman" w:hAnsi="宋体" w:eastAsia="宋体" w:cs="Times New Roman"/>
                      <w:color w:val="auto"/>
                      <w:kern w:val="0"/>
                      <w:sz w:val="21"/>
                      <w:szCs w:val="21"/>
                      <w:highlight w:val="none"/>
                    </w:rPr>
                    <w:t>900-014-13</w:t>
                  </w:r>
                </w:p>
              </w:tc>
              <w:tc>
                <w:tcPr>
                  <w:tcW w:w="500" w:type="pct"/>
                  <w:noWrap w:val="0"/>
                  <w:vAlign w:val="center"/>
                </w:tcPr>
                <w:p w14:paraId="653AD5BE">
                  <w:pPr>
                    <w:tabs>
                      <w:tab w:val="left" w:pos="4425"/>
                    </w:tabs>
                    <w:spacing w:line="240" w:lineRule="auto"/>
                    <w:jc w:val="center"/>
                    <w:rPr>
                      <w:rFonts w:hint="default"/>
                      <w:color w:val="auto"/>
                      <w:sz w:val="21"/>
                      <w:szCs w:val="21"/>
                      <w:highlight w:val="none"/>
                      <w:lang w:val="en-US" w:eastAsia="zh-CN"/>
                    </w:rPr>
                  </w:pPr>
                  <w:r>
                    <w:rPr>
                      <w:rFonts w:hint="eastAsia"/>
                      <w:color w:val="auto"/>
                      <w:sz w:val="21"/>
                      <w:szCs w:val="21"/>
                      <w:highlight w:val="none"/>
                      <w:lang w:val="en-US" w:eastAsia="zh-CN"/>
                    </w:rPr>
                    <w:t>0.0036</w:t>
                  </w:r>
                </w:p>
              </w:tc>
              <w:tc>
                <w:tcPr>
                  <w:tcW w:w="470" w:type="pct"/>
                  <w:vMerge w:val="continue"/>
                  <w:noWrap w:val="0"/>
                  <w:vAlign w:val="center"/>
                </w:tcPr>
                <w:p w14:paraId="77E91AB5">
                  <w:pPr>
                    <w:tabs>
                      <w:tab w:val="left" w:pos="4425"/>
                    </w:tabs>
                    <w:spacing w:line="240" w:lineRule="auto"/>
                    <w:jc w:val="center"/>
                    <w:rPr>
                      <w:rFonts w:hint="eastAsia"/>
                      <w:color w:val="auto"/>
                      <w:sz w:val="21"/>
                      <w:szCs w:val="21"/>
                      <w:highlight w:val="none"/>
                      <w:lang w:val="en-US" w:eastAsia="zh-CN"/>
                    </w:rPr>
                  </w:pPr>
                </w:p>
              </w:tc>
              <w:tc>
                <w:tcPr>
                  <w:tcW w:w="469" w:type="pct"/>
                  <w:noWrap w:val="0"/>
                  <w:vAlign w:val="center"/>
                </w:tcPr>
                <w:p w14:paraId="4965DC5C">
                  <w:pPr>
                    <w:tabs>
                      <w:tab w:val="left" w:pos="4425"/>
                    </w:tabs>
                    <w:spacing w:line="240" w:lineRule="auto"/>
                    <w:jc w:val="center"/>
                    <w:rPr>
                      <w:rFonts w:hint="default"/>
                      <w:color w:val="auto"/>
                      <w:sz w:val="21"/>
                      <w:szCs w:val="21"/>
                      <w:highlight w:val="none"/>
                      <w:lang w:val="en-US" w:eastAsia="zh-CN"/>
                    </w:rPr>
                  </w:pPr>
                  <w:r>
                    <w:rPr>
                      <w:rFonts w:hint="eastAsia"/>
                      <w:color w:val="auto"/>
                      <w:sz w:val="21"/>
                      <w:szCs w:val="21"/>
                      <w:highlight w:val="none"/>
                      <w:lang w:val="en-US" w:eastAsia="zh-CN"/>
                    </w:rPr>
                    <w:t>0.0036</w:t>
                  </w:r>
                </w:p>
              </w:tc>
              <w:tc>
                <w:tcPr>
                  <w:tcW w:w="533" w:type="pct"/>
                  <w:vMerge w:val="continue"/>
                  <w:noWrap w:val="0"/>
                  <w:vAlign w:val="center"/>
                </w:tcPr>
                <w:p w14:paraId="3159697E">
                  <w:pPr>
                    <w:adjustRightInd w:val="0"/>
                    <w:snapToGrid w:val="0"/>
                    <w:spacing w:line="240" w:lineRule="auto"/>
                    <w:jc w:val="center"/>
                    <w:rPr>
                      <w:rFonts w:hint="eastAsia"/>
                      <w:color w:val="auto"/>
                      <w:kern w:val="0"/>
                      <w:sz w:val="21"/>
                      <w:szCs w:val="21"/>
                      <w:highlight w:val="none"/>
                    </w:rPr>
                  </w:pPr>
                </w:p>
              </w:tc>
            </w:tr>
            <w:tr w14:paraId="3DF117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6" w:hRule="atLeast"/>
                <w:jc w:val="center"/>
              </w:trPr>
              <w:tc>
                <w:tcPr>
                  <w:tcW w:w="278" w:type="pct"/>
                  <w:noWrap w:val="0"/>
                  <w:vAlign w:val="center"/>
                </w:tcPr>
                <w:p w14:paraId="2CE19C63">
                  <w:pPr>
                    <w:adjustRightInd w:val="0"/>
                    <w:snapToGrid w:val="0"/>
                    <w:spacing w:line="240" w:lineRule="auto"/>
                    <w:jc w:val="center"/>
                    <w:rPr>
                      <w:rFonts w:hint="default"/>
                      <w:color w:val="auto"/>
                      <w:kern w:val="0"/>
                      <w:sz w:val="21"/>
                      <w:szCs w:val="21"/>
                      <w:highlight w:val="none"/>
                      <w:lang w:val="en-US" w:eastAsia="zh-CN" w:bidi="ar-SA"/>
                    </w:rPr>
                  </w:pPr>
                  <w:r>
                    <w:rPr>
                      <w:rFonts w:hint="eastAsia"/>
                      <w:color w:val="auto"/>
                      <w:kern w:val="0"/>
                      <w:sz w:val="21"/>
                      <w:szCs w:val="21"/>
                      <w:highlight w:val="none"/>
                      <w:lang w:val="en-US" w:eastAsia="zh-CN"/>
                    </w:rPr>
                    <w:t>10</w:t>
                  </w:r>
                </w:p>
              </w:tc>
              <w:tc>
                <w:tcPr>
                  <w:tcW w:w="512" w:type="pct"/>
                  <w:noWrap w:val="0"/>
                  <w:vAlign w:val="center"/>
                </w:tcPr>
                <w:p w14:paraId="3E1C2490">
                  <w:pPr>
                    <w:tabs>
                      <w:tab w:val="left" w:pos="4425"/>
                    </w:tabs>
                    <w:spacing w:line="240" w:lineRule="auto"/>
                    <w:jc w:val="center"/>
                    <w:rPr>
                      <w:rFonts w:hint="eastAsia" w:ascii="Times New Roman" w:hAnsi="Times New Roman" w:eastAsia="宋体" w:cs="Times New Roman"/>
                      <w:color w:val="auto"/>
                      <w:kern w:val="0"/>
                      <w:sz w:val="21"/>
                      <w:szCs w:val="21"/>
                      <w:highlight w:val="none"/>
                      <w:lang w:eastAsia="zh-CN"/>
                    </w:rPr>
                  </w:pPr>
                  <w:r>
                    <w:rPr>
                      <w:rFonts w:hint="eastAsia" w:ascii="Times New Roman" w:hAnsi="Times New Roman" w:eastAsia="宋体" w:cs="Times New Roman"/>
                      <w:color w:val="auto"/>
                      <w:kern w:val="0"/>
                      <w:sz w:val="21"/>
                      <w:szCs w:val="21"/>
                      <w:highlight w:val="none"/>
                      <w:lang w:eastAsia="zh-CN"/>
                    </w:rPr>
                    <w:t>指接、辊漆</w:t>
                  </w:r>
                </w:p>
              </w:tc>
              <w:tc>
                <w:tcPr>
                  <w:tcW w:w="499" w:type="pct"/>
                  <w:noWrap w:val="0"/>
                  <w:vAlign w:val="center"/>
                </w:tcPr>
                <w:p w14:paraId="2646988E">
                  <w:pPr>
                    <w:tabs>
                      <w:tab w:val="left" w:pos="4425"/>
                    </w:tabs>
                    <w:spacing w:line="240" w:lineRule="auto"/>
                    <w:jc w:val="center"/>
                    <w:rPr>
                      <w:rFonts w:hint="eastAsia" w:ascii="Times New Roman" w:hAnsi="Times New Roman" w:eastAsia="宋体" w:cs="Times New Roman"/>
                      <w:color w:val="auto"/>
                      <w:kern w:val="0"/>
                      <w:sz w:val="21"/>
                      <w:szCs w:val="21"/>
                      <w:highlight w:val="none"/>
                      <w:lang w:eastAsia="zh-CN"/>
                    </w:rPr>
                  </w:pPr>
                  <w:r>
                    <w:rPr>
                      <w:rFonts w:hint="eastAsia" w:ascii="Times New Roman" w:hAnsi="Times New Roman" w:eastAsia="宋体" w:cs="Times New Roman"/>
                      <w:color w:val="auto"/>
                      <w:kern w:val="0"/>
                      <w:sz w:val="21"/>
                      <w:szCs w:val="21"/>
                      <w:highlight w:val="none"/>
                      <w:lang w:val="en-US" w:eastAsia="zh-CN"/>
                    </w:rPr>
                    <w:t>废漆（胶）桶</w:t>
                  </w:r>
                </w:p>
              </w:tc>
              <w:tc>
                <w:tcPr>
                  <w:tcW w:w="251" w:type="pct"/>
                  <w:vMerge w:val="continue"/>
                  <w:noWrap w:val="0"/>
                  <w:vAlign w:val="center"/>
                </w:tcPr>
                <w:p w14:paraId="1B4E9AEF">
                  <w:pPr>
                    <w:tabs>
                      <w:tab w:val="left" w:pos="4425"/>
                    </w:tabs>
                    <w:spacing w:line="240" w:lineRule="auto"/>
                    <w:jc w:val="center"/>
                    <w:rPr>
                      <w:rFonts w:hint="eastAsia"/>
                      <w:color w:val="auto"/>
                      <w:kern w:val="0"/>
                      <w:sz w:val="21"/>
                      <w:szCs w:val="21"/>
                      <w:highlight w:val="none"/>
                    </w:rPr>
                  </w:pPr>
                </w:p>
              </w:tc>
              <w:tc>
                <w:tcPr>
                  <w:tcW w:w="776" w:type="pct"/>
                  <w:noWrap w:val="0"/>
                  <w:vAlign w:val="center"/>
                </w:tcPr>
                <w:p w14:paraId="446D0230">
                  <w:pPr>
                    <w:tabs>
                      <w:tab w:val="left" w:pos="4425"/>
                    </w:tabs>
                    <w:spacing w:line="240" w:lineRule="auto"/>
                    <w:jc w:val="center"/>
                    <w:rPr>
                      <w:rFonts w:hint="eastAsia"/>
                      <w:color w:val="auto"/>
                      <w:kern w:val="0"/>
                      <w:sz w:val="21"/>
                      <w:szCs w:val="21"/>
                      <w:highlight w:val="none"/>
                      <w:lang w:val="en-US" w:eastAsia="zh-CN"/>
                    </w:rPr>
                  </w:pPr>
                  <w:r>
                    <w:rPr>
                      <w:rFonts w:hint="eastAsia"/>
                      <w:color w:val="auto"/>
                    </w:rPr>
                    <w:t>HW49</w:t>
                  </w:r>
                </w:p>
              </w:tc>
              <w:tc>
                <w:tcPr>
                  <w:tcW w:w="706" w:type="pct"/>
                  <w:noWrap w:val="0"/>
                  <w:vAlign w:val="center"/>
                </w:tcPr>
                <w:p w14:paraId="63A721C9">
                  <w:pPr>
                    <w:tabs>
                      <w:tab w:val="left" w:pos="4425"/>
                    </w:tabs>
                    <w:spacing w:line="240" w:lineRule="auto"/>
                    <w:jc w:val="center"/>
                    <w:rPr>
                      <w:rFonts w:hint="eastAsia"/>
                      <w:color w:val="auto"/>
                      <w:kern w:val="0"/>
                      <w:sz w:val="21"/>
                      <w:szCs w:val="21"/>
                      <w:highlight w:val="none"/>
                      <w:lang w:val="en-US" w:eastAsia="zh-CN"/>
                    </w:rPr>
                  </w:pPr>
                  <w:r>
                    <w:rPr>
                      <w:rFonts w:hint="eastAsia"/>
                      <w:color w:val="auto"/>
                    </w:rPr>
                    <w:t>900-041-49</w:t>
                  </w:r>
                </w:p>
              </w:tc>
              <w:tc>
                <w:tcPr>
                  <w:tcW w:w="500" w:type="pct"/>
                  <w:noWrap w:val="0"/>
                  <w:vAlign w:val="center"/>
                </w:tcPr>
                <w:p w14:paraId="403EEB5A">
                  <w:pPr>
                    <w:tabs>
                      <w:tab w:val="left" w:pos="4425"/>
                    </w:tabs>
                    <w:spacing w:line="240" w:lineRule="auto"/>
                    <w:jc w:val="center"/>
                    <w:rPr>
                      <w:rFonts w:hint="default"/>
                      <w:color w:val="auto"/>
                      <w:sz w:val="21"/>
                      <w:szCs w:val="21"/>
                      <w:highlight w:val="none"/>
                      <w:lang w:val="en-US" w:eastAsia="zh-CN"/>
                    </w:rPr>
                  </w:pPr>
                  <w:r>
                    <w:rPr>
                      <w:rFonts w:hint="eastAsia"/>
                      <w:color w:val="auto"/>
                      <w:sz w:val="21"/>
                      <w:szCs w:val="21"/>
                      <w:highlight w:val="none"/>
                      <w:lang w:val="en-US" w:eastAsia="zh-CN"/>
                    </w:rPr>
                    <w:t>1.45</w:t>
                  </w:r>
                </w:p>
              </w:tc>
              <w:tc>
                <w:tcPr>
                  <w:tcW w:w="470" w:type="pct"/>
                  <w:vMerge w:val="continue"/>
                  <w:noWrap w:val="0"/>
                  <w:vAlign w:val="center"/>
                </w:tcPr>
                <w:p w14:paraId="5AF6CDAA">
                  <w:pPr>
                    <w:tabs>
                      <w:tab w:val="left" w:pos="4425"/>
                    </w:tabs>
                    <w:spacing w:line="240" w:lineRule="auto"/>
                    <w:jc w:val="center"/>
                    <w:rPr>
                      <w:rFonts w:hint="eastAsia"/>
                      <w:color w:val="auto"/>
                      <w:sz w:val="21"/>
                      <w:szCs w:val="21"/>
                      <w:highlight w:val="none"/>
                      <w:lang w:val="en-US" w:eastAsia="zh-CN"/>
                    </w:rPr>
                  </w:pPr>
                </w:p>
              </w:tc>
              <w:tc>
                <w:tcPr>
                  <w:tcW w:w="469" w:type="pct"/>
                  <w:noWrap w:val="0"/>
                  <w:vAlign w:val="center"/>
                </w:tcPr>
                <w:p w14:paraId="01B3829F">
                  <w:pPr>
                    <w:tabs>
                      <w:tab w:val="left" w:pos="4425"/>
                    </w:tabs>
                    <w:spacing w:line="240" w:lineRule="auto"/>
                    <w:jc w:val="center"/>
                    <w:rPr>
                      <w:rFonts w:hint="default"/>
                      <w:color w:val="auto"/>
                      <w:sz w:val="21"/>
                      <w:szCs w:val="21"/>
                      <w:highlight w:val="none"/>
                      <w:lang w:val="en-US" w:eastAsia="zh-CN"/>
                    </w:rPr>
                  </w:pPr>
                  <w:r>
                    <w:rPr>
                      <w:rFonts w:hint="eastAsia"/>
                      <w:color w:val="auto"/>
                      <w:sz w:val="21"/>
                      <w:szCs w:val="21"/>
                      <w:highlight w:val="none"/>
                      <w:lang w:val="en-US" w:eastAsia="zh-CN"/>
                    </w:rPr>
                    <w:t>1.45</w:t>
                  </w:r>
                </w:p>
              </w:tc>
              <w:tc>
                <w:tcPr>
                  <w:tcW w:w="533" w:type="pct"/>
                  <w:vMerge w:val="continue"/>
                  <w:noWrap w:val="0"/>
                  <w:vAlign w:val="center"/>
                </w:tcPr>
                <w:p w14:paraId="7BEA2148">
                  <w:pPr>
                    <w:adjustRightInd w:val="0"/>
                    <w:snapToGrid w:val="0"/>
                    <w:spacing w:line="240" w:lineRule="auto"/>
                    <w:jc w:val="center"/>
                    <w:rPr>
                      <w:rFonts w:hint="eastAsia"/>
                      <w:color w:val="auto"/>
                      <w:kern w:val="0"/>
                      <w:sz w:val="21"/>
                      <w:szCs w:val="21"/>
                      <w:highlight w:val="none"/>
                    </w:rPr>
                  </w:pPr>
                </w:p>
              </w:tc>
            </w:tr>
            <w:tr w14:paraId="00D876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6" w:hRule="atLeast"/>
                <w:jc w:val="center"/>
              </w:trPr>
              <w:tc>
                <w:tcPr>
                  <w:tcW w:w="278" w:type="pct"/>
                  <w:noWrap w:val="0"/>
                  <w:vAlign w:val="center"/>
                </w:tcPr>
                <w:p w14:paraId="20E587BB">
                  <w:pPr>
                    <w:adjustRightInd w:val="0"/>
                    <w:snapToGrid w:val="0"/>
                    <w:spacing w:line="240" w:lineRule="auto"/>
                    <w:jc w:val="center"/>
                    <w:rPr>
                      <w:rFonts w:hint="default"/>
                      <w:color w:val="auto"/>
                      <w:kern w:val="0"/>
                      <w:sz w:val="21"/>
                      <w:szCs w:val="21"/>
                      <w:highlight w:val="none"/>
                      <w:lang w:val="en-US" w:eastAsia="zh-CN"/>
                    </w:rPr>
                  </w:pPr>
                  <w:r>
                    <w:rPr>
                      <w:rFonts w:hint="eastAsia"/>
                      <w:color w:val="auto"/>
                      <w:kern w:val="0"/>
                      <w:sz w:val="21"/>
                      <w:szCs w:val="21"/>
                      <w:highlight w:val="none"/>
                      <w:lang w:val="en-US" w:eastAsia="zh-CN"/>
                    </w:rPr>
                    <w:t>11</w:t>
                  </w:r>
                </w:p>
              </w:tc>
              <w:tc>
                <w:tcPr>
                  <w:tcW w:w="512" w:type="pct"/>
                  <w:noWrap w:val="0"/>
                  <w:vAlign w:val="center"/>
                </w:tcPr>
                <w:p w14:paraId="7DD003F9">
                  <w:pPr>
                    <w:tabs>
                      <w:tab w:val="left" w:pos="4425"/>
                    </w:tabs>
                    <w:spacing w:line="240" w:lineRule="auto"/>
                    <w:jc w:val="center"/>
                    <w:rPr>
                      <w:rFonts w:hint="eastAsia"/>
                      <w:color w:val="auto"/>
                      <w:sz w:val="21"/>
                      <w:szCs w:val="21"/>
                      <w:highlight w:val="none"/>
                      <w:lang w:eastAsia="zh-CN"/>
                    </w:rPr>
                  </w:pPr>
                  <w:r>
                    <w:rPr>
                      <w:rFonts w:hint="eastAsia" w:ascii="Times New Roman" w:hAnsi="Times New Roman" w:eastAsia="宋体" w:cs="Times New Roman"/>
                      <w:color w:val="auto"/>
                      <w:kern w:val="0"/>
                      <w:sz w:val="21"/>
                      <w:szCs w:val="21"/>
                      <w:highlight w:val="none"/>
                      <w:lang w:eastAsia="zh-CN"/>
                    </w:rPr>
                    <w:t>辊漆</w:t>
                  </w:r>
                </w:p>
              </w:tc>
              <w:tc>
                <w:tcPr>
                  <w:tcW w:w="499" w:type="pct"/>
                  <w:noWrap w:val="0"/>
                  <w:vAlign w:val="center"/>
                </w:tcPr>
                <w:p w14:paraId="2BF02A4E">
                  <w:pPr>
                    <w:tabs>
                      <w:tab w:val="left" w:pos="4425"/>
                    </w:tabs>
                    <w:spacing w:line="240" w:lineRule="auto"/>
                    <w:jc w:val="center"/>
                    <w:rPr>
                      <w:rFonts w:hint="eastAsia"/>
                      <w:color w:val="auto"/>
                      <w:kern w:val="0"/>
                      <w:sz w:val="21"/>
                      <w:szCs w:val="21"/>
                      <w:highlight w:val="none"/>
                      <w:lang w:eastAsia="zh-CN"/>
                    </w:rPr>
                  </w:pPr>
                  <w:r>
                    <w:rPr>
                      <w:rFonts w:hint="eastAsia"/>
                      <w:color w:val="auto"/>
                      <w:kern w:val="0"/>
                      <w:sz w:val="21"/>
                      <w:szCs w:val="21"/>
                      <w:highlight w:val="none"/>
                      <w:lang w:eastAsia="zh-CN"/>
                    </w:rPr>
                    <w:t>漆渣</w:t>
                  </w:r>
                </w:p>
              </w:tc>
              <w:tc>
                <w:tcPr>
                  <w:tcW w:w="251" w:type="pct"/>
                  <w:vMerge w:val="continue"/>
                  <w:noWrap w:val="0"/>
                  <w:vAlign w:val="center"/>
                </w:tcPr>
                <w:p w14:paraId="0D6A7EFA">
                  <w:pPr>
                    <w:tabs>
                      <w:tab w:val="left" w:pos="4425"/>
                    </w:tabs>
                    <w:spacing w:line="240" w:lineRule="auto"/>
                    <w:jc w:val="center"/>
                    <w:rPr>
                      <w:rFonts w:hint="eastAsia"/>
                      <w:color w:val="auto"/>
                      <w:kern w:val="0"/>
                      <w:sz w:val="21"/>
                      <w:szCs w:val="21"/>
                      <w:highlight w:val="none"/>
                    </w:rPr>
                  </w:pPr>
                </w:p>
              </w:tc>
              <w:tc>
                <w:tcPr>
                  <w:tcW w:w="776" w:type="pct"/>
                  <w:noWrap w:val="0"/>
                  <w:vAlign w:val="center"/>
                </w:tcPr>
                <w:p w14:paraId="10FC310B">
                  <w:pPr>
                    <w:tabs>
                      <w:tab w:val="left" w:pos="4425"/>
                    </w:tabs>
                    <w:spacing w:line="240" w:lineRule="auto"/>
                    <w:jc w:val="center"/>
                    <w:rPr>
                      <w:rFonts w:hint="eastAsia"/>
                      <w:color w:val="auto"/>
                      <w:kern w:val="0"/>
                      <w:sz w:val="21"/>
                      <w:szCs w:val="21"/>
                      <w:highlight w:val="none"/>
                      <w:lang w:val="en-US" w:eastAsia="zh-CN"/>
                    </w:rPr>
                  </w:pPr>
                  <w:r>
                    <w:rPr>
                      <w:rFonts w:hint="eastAsia" w:ascii="Times New Roman" w:hAnsi="Times New Roman" w:eastAsia="宋体" w:cs="Times New Roman"/>
                      <w:color w:val="auto"/>
                      <w:sz w:val="21"/>
                      <w:szCs w:val="21"/>
                    </w:rPr>
                    <w:t>HW12</w:t>
                  </w:r>
                </w:p>
              </w:tc>
              <w:tc>
                <w:tcPr>
                  <w:tcW w:w="706" w:type="pct"/>
                  <w:noWrap w:val="0"/>
                  <w:vAlign w:val="center"/>
                </w:tcPr>
                <w:p w14:paraId="0534AEB4">
                  <w:pPr>
                    <w:tabs>
                      <w:tab w:val="left" w:pos="4425"/>
                    </w:tabs>
                    <w:spacing w:line="240" w:lineRule="auto"/>
                    <w:jc w:val="center"/>
                    <w:rPr>
                      <w:rFonts w:hint="eastAsia"/>
                      <w:color w:val="auto"/>
                      <w:kern w:val="0"/>
                      <w:sz w:val="21"/>
                      <w:szCs w:val="21"/>
                      <w:highlight w:val="none"/>
                      <w:lang w:val="en-US" w:eastAsia="zh-CN"/>
                    </w:rPr>
                  </w:pPr>
                  <w:r>
                    <w:rPr>
                      <w:rFonts w:hint="eastAsia" w:ascii="Times New Roman" w:hAnsi="Times New Roman" w:eastAsia="宋体" w:cs="Times New Roman"/>
                      <w:color w:val="auto"/>
                      <w:sz w:val="21"/>
                      <w:szCs w:val="21"/>
                    </w:rPr>
                    <w:t>900-252-12</w:t>
                  </w:r>
                </w:p>
              </w:tc>
              <w:tc>
                <w:tcPr>
                  <w:tcW w:w="500" w:type="pct"/>
                  <w:noWrap w:val="0"/>
                  <w:vAlign w:val="center"/>
                </w:tcPr>
                <w:p w14:paraId="77E4D1B6">
                  <w:pPr>
                    <w:tabs>
                      <w:tab w:val="left" w:pos="4425"/>
                    </w:tabs>
                    <w:spacing w:line="240" w:lineRule="auto"/>
                    <w:jc w:val="center"/>
                    <w:rPr>
                      <w:rFonts w:hint="default"/>
                      <w:color w:val="auto"/>
                      <w:sz w:val="21"/>
                      <w:szCs w:val="21"/>
                      <w:highlight w:val="none"/>
                      <w:lang w:val="en-US" w:eastAsia="zh-CN"/>
                    </w:rPr>
                  </w:pPr>
                  <w:r>
                    <w:rPr>
                      <w:rFonts w:hint="eastAsia"/>
                      <w:color w:val="auto"/>
                      <w:sz w:val="21"/>
                      <w:szCs w:val="21"/>
                      <w:highlight w:val="none"/>
                      <w:lang w:val="en-US" w:eastAsia="zh-CN"/>
                    </w:rPr>
                    <w:t>0.17</w:t>
                  </w:r>
                </w:p>
              </w:tc>
              <w:tc>
                <w:tcPr>
                  <w:tcW w:w="470" w:type="pct"/>
                  <w:vMerge w:val="continue"/>
                  <w:noWrap w:val="0"/>
                  <w:vAlign w:val="center"/>
                </w:tcPr>
                <w:p w14:paraId="474EC3CF">
                  <w:pPr>
                    <w:tabs>
                      <w:tab w:val="left" w:pos="4425"/>
                    </w:tabs>
                    <w:spacing w:line="240" w:lineRule="auto"/>
                    <w:jc w:val="center"/>
                    <w:rPr>
                      <w:rFonts w:hint="eastAsia"/>
                      <w:color w:val="auto"/>
                      <w:sz w:val="21"/>
                      <w:szCs w:val="21"/>
                      <w:highlight w:val="none"/>
                      <w:lang w:val="en-US" w:eastAsia="zh-CN"/>
                    </w:rPr>
                  </w:pPr>
                </w:p>
              </w:tc>
              <w:tc>
                <w:tcPr>
                  <w:tcW w:w="469" w:type="pct"/>
                  <w:noWrap w:val="0"/>
                  <w:vAlign w:val="center"/>
                </w:tcPr>
                <w:p w14:paraId="1829C090">
                  <w:pPr>
                    <w:tabs>
                      <w:tab w:val="left" w:pos="4425"/>
                    </w:tabs>
                    <w:spacing w:line="240" w:lineRule="auto"/>
                    <w:jc w:val="center"/>
                    <w:rPr>
                      <w:rFonts w:hint="default"/>
                      <w:color w:val="auto"/>
                      <w:sz w:val="21"/>
                      <w:szCs w:val="21"/>
                      <w:highlight w:val="none"/>
                      <w:lang w:val="en-US" w:eastAsia="zh-CN"/>
                    </w:rPr>
                  </w:pPr>
                  <w:r>
                    <w:rPr>
                      <w:rFonts w:hint="eastAsia"/>
                      <w:color w:val="auto"/>
                      <w:sz w:val="21"/>
                      <w:szCs w:val="21"/>
                      <w:highlight w:val="none"/>
                      <w:lang w:val="en-US" w:eastAsia="zh-CN"/>
                    </w:rPr>
                    <w:t>0.17</w:t>
                  </w:r>
                </w:p>
              </w:tc>
              <w:tc>
                <w:tcPr>
                  <w:tcW w:w="533" w:type="pct"/>
                  <w:vMerge w:val="continue"/>
                  <w:noWrap w:val="0"/>
                  <w:vAlign w:val="center"/>
                </w:tcPr>
                <w:p w14:paraId="1C1F8246">
                  <w:pPr>
                    <w:adjustRightInd w:val="0"/>
                    <w:snapToGrid w:val="0"/>
                    <w:spacing w:line="240" w:lineRule="auto"/>
                    <w:jc w:val="center"/>
                    <w:rPr>
                      <w:rFonts w:hint="eastAsia"/>
                      <w:color w:val="auto"/>
                      <w:kern w:val="0"/>
                      <w:sz w:val="21"/>
                      <w:szCs w:val="21"/>
                      <w:highlight w:val="none"/>
                    </w:rPr>
                  </w:pPr>
                </w:p>
              </w:tc>
            </w:tr>
            <w:tr w14:paraId="23285A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6" w:hRule="atLeast"/>
                <w:jc w:val="center"/>
              </w:trPr>
              <w:tc>
                <w:tcPr>
                  <w:tcW w:w="278" w:type="pct"/>
                  <w:noWrap w:val="0"/>
                  <w:vAlign w:val="center"/>
                </w:tcPr>
                <w:p w14:paraId="4BD5B923">
                  <w:pPr>
                    <w:adjustRightInd w:val="0"/>
                    <w:snapToGrid w:val="0"/>
                    <w:spacing w:line="240" w:lineRule="auto"/>
                    <w:jc w:val="center"/>
                    <w:rPr>
                      <w:rFonts w:hint="default"/>
                      <w:color w:val="auto"/>
                      <w:kern w:val="0"/>
                      <w:sz w:val="21"/>
                      <w:szCs w:val="21"/>
                      <w:highlight w:val="none"/>
                      <w:lang w:val="en-US" w:eastAsia="zh-CN"/>
                    </w:rPr>
                  </w:pPr>
                  <w:r>
                    <w:rPr>
                      <w:rFonts w:hint="eastAsia"/>
                      <w:color w:val="auto"/>
                      <w:kern w:val="0"/>
                      <w:sz w:val="21"/>
                      <w:szCs w:val="21"/>
                      <w:highlight w:val="none"/>
                      <w:lang w:val="en-US" w:eastAsia="zh-CN"/>
                    </w:rPr>
                    <w:t>12</w:t>
                  </w:r>
                </w:p>
              </w:tc>
              <w:tc>
                <w:tcPr>
                  <w:tcW w:w="512" w:type="pct"/>
                  <w:noWrap w:val="0"/>
                  <w:vAlign w:val="center"/>
                </w:tcPr>
                <w:p w14:paraId="2850D53C">
                  <w:pPr>
                    <w:tabs>
                      <w:tab w:val="left" w:pos="4425"/>
                    </w:tabs>
                    <w:spacing w:line="240" w:lineRule="auto"/>
                    <w:jc w:val="center"/>
                    <w:rPr>
                      <w:rFonts w:hint="eastAsia" w:ascii="Times New Roman" w:hAnsi="Times New Roman" w:eastAsia="宋体" w:cs="Times New Roman"/>
                      <w:color w:val="auto"/>
                      <w:kern w:val="0"/>
                      <w:sz w:val="21"/>
                      <w:szCs w:val="21"/>
                      <w:highlight w:val="none"/>
                      <w:lang w:eastAsia="zh-CN"/>
                    </w:rPr>
                  </w:pPr>
                  <w:r>
                    <w:rPr>
                      <w:rFonts w:hint="eastAsia" w:ascii="Times New Roman" w:hAnsi="Times New Roman" w:eastAsia="宋体" w:cs="Times New Roman"/>
                      <w:color w:val="auto"/>
                      <w:kern w:val="0"/>
                      <w:sz w:val="21"/>
                      <w:szCs w:val="21"/>
                      <w:highlight w:val="none"/>
                      <w:lang w:eastAsia="zh-CN"/>
                    </w:rPr>
                    <w:t>辊漆</w:t>
                  </w:r>
                </w:p>
              </w:tc>
              <w:tc>
                <w:tcPr>
                  <w:tcW w:w="499" w:type="pct"/>
                  <w:noWrap w:val="0"/>
                  <w:vAlign w:val="center"/>
                </w:tcPr>
                <w:p w14:paraId="761C0AB9">
                  <w:pPr>
                    <w:tabs>
                      <w:tab w:val="left" w:pos="4425"/>
                    </w:tabs>
                    <w:spacing w:line="240" w:lineRule="auto"/>
                    <w:jc w:val="center"/>
                    <w:rPr>
                      <w:rFonts w:hint="eastAsia"/>
                      <w:color w:val="auto"/>
                      <w:kern w:val="0"/>
                      <w:sz w:val="21"/>
                      <w:szCs w:val="21"/>
                      <w:highlight w:val="none"/>
                      <w:lang w:eastAsia="zh-CN"/>
                    </w:rPr>
                  </w:pPr>
                  <w:r>
                    <w:rPr>
                      <w:rFonts w:hint="eastAsia"/>
                      <w:color w:val="auto"/>
                      <w:kern w:val="0"/>
                      <w:sz w:val="21"/>
                      <w:szCs w:val="21"/>
                      <w:highlight w:val="none"/>
                      <w:lang w:eastAsia="zh-CN"/>
                    </w:rPr>
                    <w:t>废辊筒</w:t>
                  </w:r>
                </w:p>
              </w:tc>
              <w:tc>
                <w:tcPr>
                  <w:tcW w:w="251" w:type="pct"/>
                  <w:vMerge w:val="continue"/>
                  <w:noWrap w:val="0"/>
                  <w:vAlign w:val="center"/>
                </w:tcPr>
                <w:p w14:paraId="10A8162E">
                  <w:pPr>
                    <w:tabs>
                      <w:tab w:val="left" w:pos="4425"/>
                    </w:tabs>
                    <w:spacing w:line="240" w:lineRule="auto"/>
                    <w:jc w:val="center"/>
                    <w:rPr>
                      <w:rFonts w:hint="eastAsia"/>
                      <w:color w:val="auto"/>
                      <w:kern w:val="0"/>
                      <w:sz w:val="21"/>
                      <w:szCs w:val="21"/>
                      <w:highlight w:val="none"/>
                    </w:rPr>
                  </w:pPr>
                </w:p>
              </w:tc>
              <w:tc>
                <w:tcPr>
                  <w:tcW w:w="776" w:type="pct"/>
                  <w:noWrap w:val="0"/>
                  <w:vAlign w:val="center"/>
                </w:tcPr>
                <w:p w14:paraId="0918EAC9">
                  <w:pPr>
                    <w:tabs>
                      <w:tab w:val="left" w:pos="4425"/>
                    </w:tabs>
                    <w:spacing w:line="240" w:lineRule="auto"/>
                    <w:jc w:val="center"/>
                    <w:rPr>
                      <w:rFonts w:hint="eastAsia" w:ascii="Times New Roman" w:hAnsi="Times New Roman" w:eastAsia="宋体" w:cs="Times New Roman"/>
                      <w:color w:val="auto"/>
                      <w:sz w:val="21"/>
                      <w:szCs w:val="21"/>
                    </w:rPr>
                  </w:pPr>
                  <w:r>
                    <w:rPr>
                      <w:rFonts w:hint="eastAsia"/>
                      <w:color w:val="auto"/>
                    </w:rPr>
                    <w:t>HW49</w:t>
                  </w:r>
                </w:p>
              </w:tc>
              <w:tc>
                <w:tcPr>
                  <w:tcW w:w="706" w:type="pct"/>
                  <w:noWrap w:val="0"/>
                  <w:vAlign w:val="center"/>
                </w:tcPr>
                <w:p w14:paraId="24E1A99E">
                  <w:pPr>
                    <w:tabs>
                      <w:tab w:val="left" w:pos="4425"/>
                    </w:tabs>
                    <w:spacing w:line="240" w:lineRule="auto"/>
                    <w:jc w:val="center"/>
                    <w:rPr>
                      <w:rFonts w:hint="eastAsia" w:ascii="Times New Roman" w:hAnsi="Times New Roman" w:eastAsia="宋体" w:cs="Times New Roman"/>
                      <w:color w:val="auto"/>
                      <w:sz w:val="21"/>
                      <w:szCs w:val="21"/>
                    </w:rPr>
                  </w:pPr>
                  <w:r>
                    <w:rPr>
                      <w:rFonts w:hint="eastAsia"/>
                      <w:color w:val="auto"/>
                    </w:rPr>
                    <w:t>900-041-49</w:t>
                  </w:r>
                </w:p>
              </w:tc>
              <w:tc>
                <w:tcPr>
                  <w:tcW w:w="500" w:type="pct"/>
                  <w:noWrap w:val="0"/>
                  <w:vAlign w:val="center"/>
                </w:tcPr>
                <w:p w14:paraId="4D8B4B3B">
                  <w:pPr>
                    <w:tabs>
                      <w:tab w:val="left" w:pos="4425"/>
                    </w:tabs>
                    <w:spacing w:line="240" w:lineRule="auto"/>
                    <w:jc w:val="center"/>
                    <w:rPr>
                      <w:rFonts w:hint="default"/>
                      <w:color w:val="auto"/>
                      <w:sz w:val="21"/>
                      <w:szCs w:val="21"/>
                      <w:highlight w:val="none"/>
                      <w:lang w:val="en-US" w:eastAsia="zh-CN"/>
                    </w:rPr>
                  </w:pPr>
                  <w:r>
                    <w:rPr>
                      <w:rFonts w:hint="eastAsia"/>
                      <w:color w:val="auto"/>
                      <w:sz w:val="21"/>
                      <w:szCs w:val="21"/>
                      <w:highlight w:val="none"/>
                      <w:lang w:val="en-US" w:eastAsia="zh-CN"/>
                    </w:rPr>
                    <w:t>0.21/5a</w:t>
                  </w:r>
                </w:p>
              </w:tc>
              <w:tc>
                <w:tcPr>
                  <w:tcW w:w="470" w:type="pct"/>
                  <w:noWrap w:val="0"/>
                  <w:vAlign w:val="center"/>
                </w:tcPr>
                <w:p w14:paraId="1A009BDA">
                  <w:pPr>
                    <w:tabs>
                      <w:tab w:val="left" w:pos="4425"/>
                    </w:tabs>
                    <w:spacing w:line="240" w:lineRule="auto"/>
                    <w:jc w:val="center"/>
                    <w:rPr>
                      <w:rFonts w:hint="default"/>
                      <w:color w:val="auto"/>
                      <w:sz w:val="21"/>
                      <w:szCs w:val="21"/>
                      <w:highlight w:val="none"/>
                      <w:lang w:val="en-US" w:eastAsia="zh-CN"/>
                    </w:rPr>
                  </w:pPr>
                  <w:r>
                    <w:rPr>
                      <w:rFonts w:hint="eastAsia"/>
                      <w:color w:val="auto"/>
                      <w:sz w:val="21"/>
                      <w:szCs w:val="21"/>
                      <w:highlight w:val="none"/>
                      <w:lang w:val="en-US" w:eastAsia="zh-CN"/>
                    </w:rPr>
                    <w:t>/</w:t>
                  </w:r>
                </w:p>
              </w:tc>
              <w:tc>
                <w:tcPr>
                  <w:tcW w:w="469" w:type="pct"/>
                  <w:noWrap w:val="0"/>
                  <w:vAlign w:val="center"/>
                </w:tcPr>
                <w:p w14:paraId="7FF4014A">
                  <w:pPr>
                    <w:tabs>
                      <w:tab w:val="left" w:pos="4425"/>
                    </w:tabs>
                    <w:spacing w:line="240" w:lineRule="auto"/>
                    <w:jc w:val="center"/>
                    <w:rPr>
                      <w:rFonts w:hint="default"/>
                      <w:color w:val="auto"/>
                      <w:sz w:val="21"/>
                      <w:szCs w:val="21"/>
                      <w:highlight w:val="none"/>
                      <w:lang w:val="en-US" w:eastAsia="zh-CN"/>
                    </w:rPr>
                  </w:pPr>
                  <w:r>
                    <w:rPr>
                      <w:rFonts w:hint="eastAsia"/>
                      <w:color w:val="auto"/>
                      <w:sz w:val="21"/>
                      <w:szCs w:val="21"/>
                      <w:highlight w:val="none"/>
                      <w:lang w:val="en-US" w:eastAsia="zh-CN"/>
                    </w:rPr>
                    <w:t>/</w:t>
                  </w:r>
                </w:p>
              </w:tc>
              <w:tc>
                <w:tcPr>
                  <w:tcW w:w="533" w:type="pct"/>
                  <w:noWrap w:val="0"/>
                  <w:vAlign w:val="center"/>
                </w:tcPr>
                <w:p w14:paraId="1F9011DA">
                  <w:pPr>
                    <w:adjustRightInd w:val="0"/>
                    <w:snapToGrid w:val="0"/>
                    <w:spacing w:line="240" w:lineRule="auto"/>
                    <w:jc w:val="center"/>
                    <w:rPr>
                      <w:rFonts w:hint="eastAsia" w:eastAsia="宋体"/>
                      <w:color w:val="auto"/>
                      <w:kern w:val="0"/>
                      <w:sz w:val="21"/>
                      <w:szCs w:val="21"/>
                      <w:highlight w:val="none"/>
                      <w:lang w:eastAsia="zh-CN"/>
                    </w:rPr>
                  </w:pPr>
                  <w:r>
                    <w:rPr>
                      <w:rFonts w:hint="eastAsia" w:ascii="Times New Roman" w:hAnsi="Times New Roman" w:eastAsia="宋体" w:cs="Times New Roman"/>
                      <w:color w:val="auto"/>
                      <w:kern w:val="0"/>
                      <w:sz w:val="21"/>
                      <w:szCs w:val="21"/>
                      <w:highlight w:val="none"/>
                      <w:lang w:val="en-US" w:eastAsia="zh-CN"/>
                    </w:rPr>
                    <w:t>不在厂内贮存</w:t>
                  </w:r>
                  <w:r>
                    <w:rPr>
                      <w:rFonts w:hint="default" w:ascii="Times New Roman" w:hAnsi="Times New Roman" w:eastAsia="宋体" w:cs="Times New Roman"/>
                      <w:color w:val="auto"/>
                      <w:kern w:val="0"/>
                      <w:sz w:val="21"/>
                      <w:szCs w:val="21"/>
                      <w:highlight w:val="none"/>
                      <w:lang w:val="en-US" w:eastAsia="zh-CN"/>
                    </w:rPr>
                    <w:t>，</w:t>
                  </w:r>
                  <w:r>
                    <w:rPr>
                      <w:rFonts w:hint="eastAsia" w:ascii="Times New Roman" w:hAnsi="Times New Roman" w:eastAsia="宋体" w:cs="Times New Roman"/>
                      <w:color w:val="auto"/>
                      <w:kern w:val="0"/>
                      <w:sz w:val="21"/>
                      <w:szCs w:val="21"/>
                      <w:highlight w:val="none"/>
                      <w:lang w:val="en-US" w:eastAsia="zh-CN"/>
                    </w:rPr>
                    <w:t>由</w:t>
                  </w:r>
                  <w:r>
                    <w:rPr>
                      <w:rFonts w:hint="eastAsia" w:ascii="Times New Roman" w:hAnsi="Times New Roman" w:eastAsia="宋体" w:cs="Times New Roman"/>
                      <w:color w:val="auto"/>
                      <w:kern w:val="0"/>
                      <w:sz w:val="21"/>
                      <w:szCs w:val="21"/>
                      <w:highlight w:val="none"/>
                      <w:lang w:eastAsia="zh-CN"/>
                    </w:rPr>
                    <w:t>委托的资质单位直接运走处置</w:t>
                  </w:r>
                </w:p>
              </w:tc>
            </w:tr>
          </w:tbl>
          <w:p w14:paraId="1C597227">
            <w:pPr>
              <w:pStyle w:val="6"/>
              <w:widowControl/>
              <w:spacing w:line="240" w:lineRule="auto"/>
              <w:ind w:firstLine="0" w:firstLineChars="0"/>
              <w:jc w:val="both"/>
              <w:rPr>
                <w:rFonts w:ascii="Times New Roman" w:hAnsi="Times New Roman"/>
                <w:color w:val="auto"/>
                <w:sz w:val="24"/>
                <w:highlight w:val="none"/>
              </w:rPr>
            </w:pPr>
          </w:p>
          <w:p w14:paraId="009222C6">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Times New Roman" w:hAnsi="Times New Roman" w:eastAsia="宋体" w:cs="Times New Roman"/>
                <w:color w:val="auto"/>
                <w:sz w:val="24"/>
                <w:szCs w:val="24"/>
                <w:lang w:eastAsia="zh-CN"/>
              </w:rPr>
            </w:pPr>
            <w:r>
              <w:rPr>
                <w:rFonts w:hint="eastAsia"/>
                <w:b/>
                <w:bCs/>
                <w:color w:val="auto"/>
                <w:sz w:val="24"/>
                <w:szCs w:val="21"/>
              </w:rPr>
              <w:t>一般工业固体废物</w:t>
            </w:r>
            <w:r>
              <w:rPr>
                <w:rFonts w:hint="eastAsia"/>
                <w:b/>
                <w:bCs/>
                <w:color w:val="auto"/>
                <w:sz w:val="24"/>
                <w:szCs w:val="21"/>
                <w:lang w:eastAsia="zh-CN"/>
              </w:rPr>
              <w:t>影响分析</w:t>
            </w:r>
          </w:p>
          <w:p w14:paraId="5C07E0A4">
            <w:pPr>
              <w:pStyle w:val="75"/>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ascii="Times New Roman" w:hAnsi="Times New Roman" w:cs="Times New Roman"/>
                <w:color w:val="auto"/>
              </w:rPr>
            </w:pPr>
            <w:r>
              <w:rPr>
                <w:rFonts w:ascii="Times New Roman" w:hAnsi="Times New Roman" w:cs="Times New Roman"/>
                <w:color w:val="auto"/>
                <w:lang w:eastAsia="zh-CN"/>
              </w:rPr>
              <w:t>本项目</w:t>
            </w:r>
            <w:r>
              <w:rPr>
                <w:rFonts w:ascii="Times New Roman" w:hAnsi="Times New Roman" w:cs="Times New Roman"/>
                <w:color w:val="auto"/>
              </w:rPr>
              <w:t>设置一般固废暂存间（建筑面积</w:t>
            </w:r>
            <w:r>
              <w:rPr>
                <w:rFonts w:hint="eastAsia" w:ascii="Times New Roman" w:hAnsi="Times New Roman" w:cs="Times New Roman"/>
                <w:color w:val="auto"/>
                <w:lang w:val="en-US" w:eastAsia="zh-CN"/>
              </w:rPr>
              <w:t>2</w:t>
            </w:r>
            <w:r>
              <w:rPr>
                <w:rFonts w:ascii="Times New Roman" w:hAnsi="Times New Roman" w:cs="Times New Roman"/>
                <w:color w:val="auto"/>
              </w:rPr>
              <w:t>0m</w:t>
            </w:r>
            <w:r>
              <w:rPr>
                <w:rFonts w:ascii="Times New Roman" w:hAnsi="Times New Roman" w:cs="Times New Roman"/>
                <w:color w:val="auto"/>
                <w:vertAlign w:val="superscript"/>
              </w:rPr>
              <w:t>2</w:t>
            </w:r>
            <w:r>
              <w:rPr>
                <w:rFonts w:ascii="Times New Roman" w:hAnsi="Times New Roman" w:cs="Times New Roman"/>
                <w:color w:val="auto"/>
              </w:rPr>
              <w:t>），本项目生产过程中产生的废</w:t>
            </w:r>
            <w:r>
              <w:rPr>
                <w:rFonts w:hint="eastAsia" w:ascii="Times New Roman" w:hAnsi="Times New Roman" w:cs="Times New Roman"/>
                <w:color w:val="auto"/>
                <w:lang w:eastAsia="zh-CN"/>
              </w:rPr>
              <w:t>木</w:t>
            </w:r>
            <w:r>
              <w:rPr>
                <w:rFonts w:ascii="Times New Roman" w:hAnsi="Times New Roman" w:cs="Times New Roman"/>
                <w:color w:val="auto"/>
              </w:rPr>
              <w:t>料、除尘灰</w:t>
            </w:r>
            <w:r>
              <w:rPr>
                <w:rFonts w:hint="eastAsia" w:ascii="Times New Roman" w:hAnsi="Times New Roman" w:cs="Times New Roman"/>
                <w:color w:val="auto"/>
                <w:lang w:eastAsia="zh-CN"/>
              </w:rPr>
              <w:t>、地面收集尘、废包装膜</w:t>
            </w:r>
            <w:r>
              <w:rPr>
                <w:rFonts w:ascii="Times New Roman" w:hAnsi="Times New Roman" w:cs="Times New Roman"/>
                <w:color w:val="auto"/>
              </w:rPr>
              <w:t>属于一般固体废物，收集后，暂存于一般固废间，定期外售处理；</w:t>
            </w:r>
            <w:r>
              <w:rPr>
                <w:rFonts w:hint="eastAsia" w:ascii="Times New Roman" w:hAnsi="Times New Roman" w:cs="Times New Roman"/>
                <w:color w:val="auto"/>
                <w:lang w:eastAsia="zh-CN"/>
              </w:rPr>
              <w:t>废</w:t>
            </w:r>
            <w:r>
              <w:rPr>
                <w:rFonts w:hint="eastAsia" w:ascii="Times New Roman" w:hAnsi="Times New Roman" w:eastAsia="宋体" w:cs="Times New Roman"/>
                <w:color w:val="auto"/>
                <w:lang w:eastAsia="zh-CN"/>
              </w:rPr>
              <w:t>布袋</w:t>
            </w:r>
            <w:r>
              <w:rPr>
                <w:rFonts w:hint="eastAsia" w:ascii="Times New Roman" w:hAnsi="Times New Roman" w:eastAsia="宋体" w:cs="Times New Roman"/>
                <w:color w:val="auto"/>
                <w:lang w:val="en-US" w:eastAsia="zh-CN"/>
              </w:rPr>
              <w:t>由厂家更换回收；</w:t>
            </w:r>
            <w:r>
              <w:rPr>
                <w:rFonts w:ascii="Times New Roman" w:hAnsi="Times New Roman" w:cs="Times New Roman"/>
                <w:color w:val="auto"/>
              </w:rPr>
              <w:t>厂区设置多个垃圾桶，生活垃圾垃圾桶收集后交由环卫处置。</w:t>
            </w:r>
          </w:p>
          <w:p w14:paraId="0BBC2DEB">
            <w:pPr>
              <w:pStyle w:val="75"/>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szCs w:val="24"/>
                <w:vertAlign w:val="baseline"/>
                <w:lang w:val="en-US" w:eastAsia="zh-CN"/>
              </w:rPr>
            </w:pPr>
            <w:r>
              <w:rPr>
                <w:rFonts w:hint="eastAsia" w:ascii="Times New Roman" w:hAnsi="Times New Roman" w:cs="Times New Roman"/>
                <w:color w:val="auto"/>
                <w:lang w:eastAsia="zh-CN"/>
              </w:rPr>
              <w:t>本</w:t>
            </w:r>
            <w:r>
              <w:rPr>
                <w:rFonts w:hint="eastAsia" w:ascii="Times New Roman" w:hAnsi="Times New Roman" w:cs="Times New Roman"/>
                <w:color w:val="auto"/>
                <w:sz w:val="24"/>
                <w:szCs w:val="24"/>
                <w:lang w:eastAsia="zh-CN"/>
              </w:rPr>
              <w:t>项目一般固废暂存间建筑面积</w:t>
            </w:r>
            <w:r>
              <w:rPr>
                <w:rFonts w:hint="eastAsia" w:ascii="Times New Roman" w:hAnsi="Times New Roman" w:cs="Times New Roman"/>
                <w:color w:val="auto"/>
                <w:sz w:val="24"/>
                <w:szCs w:val="24"/>
                <w:lang w:val="en-US" w:eastAsia="zh-CN"/>
              </w:rPr>
              <w:t>20m</w:t>
            </w:r>
            <w:r>
              <w:rPr>
                <w:rFonts w:ascii="Times New Roman" w:hAnsi="Times New Roman" w:cs="Times New Roman"/>
                <w:color w:val="auto"/>
                <w:sz w:val="24"/>
                <w:szCs w:val="24"/>
                <w:vertAlign w:val="superscript"/>
              </w:rPr>
              <w:t>2</w:t>
            </w:r>
            <w:r>
              <w:rPr>
                <w:rFonts w:hint="eastAsia" w:ascii="Times New Roman" w:hAnsi="Times New Roman" w:cs="Times New Roman"/>
                <w:color w:val="auto"/>
                <w:sz w:val="24"/>
                <w:szCs w:val="24"/>
                <w:vertAlign w:val="baseline"/>
                <w:lang w:eastAsia="zh-CN"/>
              </w:rPr>
              <w:t>，高度</w:t>
            </w:r>
            <w:r>
              <w:rPr>
                <w:rFonts w:hint="eastAsia" w:ascii="Times New Roman" w:hAnsi="Times New Roman" w:cs="Times New Roman"/>
                <w:color w:val="auto"/>
                <w:sz w:val="24"/>
                <w:szCs w:val="24"/>
                <w:vertAlign w:val="baseline"/>
                <w:lang w:val="en-US" w:eastAsia="zh-CN"/>
              </w:rPr>
              <w:t>2.5m，即一般固废暂存间有效容积为50m</w:t>
            </w:r>
            <w:r>
              <w:rPr>
                <w:rFonts w:hint="eastAsia" w:ascii="Times New Roman" w:hAnsi="Times New Roman" w:cs="Times New Roman"/>
                <w:color w:val="auto"/>
                <w:sz w:val="24"/>
                <w:szCs w:val="24"/>
                <w:vertAlign w:val="superscript"/>
                <w:lang w:val="en-US" w:eastAsia="zh-CN"/>
              </w:rPr>
              <w:t>3</w:t>
            </w:r>
            <w:r>
              <w:rPr>
                <w:rFonts w:hint="eastAsia" w:ascii="Times New Roman" w:hAnsi="Times New Roman" w:cs="Times New Roman"/>
                <w:color w:val="auto"/>
                <w:sz w:val="24"/>
                <w:szCs w:val="24"/>
                <w:vertAlign w:val="baseline"/>
                <w:lang w:val="en-US" w:eastAsia="zh-CN"/>
              </w:rPr>
              <w:t>，暂存周期为30d。废木料年产生量为122.2t/a，除尘器收尘灰</w:t>
            </w:r>
            <w:r>
              <w:rPr>
                <w:rFonts w:hint="eastAsia" w:ascii="Times New Roman" w:hAnsi="Times New Roman" w:eastAsia="宋体" w:cs="Times New Roman"/>
                <w:color w:val="auto"/>
                <w:sz w:val="24"/>
                <w:szCs w:val="24"/>
                <w:vertAlign w:val="baseline"/>
                <w:lang w:val="en-US" w:eastAsia="zh-CN"/>
              </w:rPr>
              <w:t>22.47t/a，地面收集尘5.1057t/a，上述三种固体废物合计149.7757t/a，13.62t/30d。废包装膜产生量较少，因此项目拟建设的一般固废暂存间可容纳30天的一般固体废物产生及贮存量，暂存可行。</w:t>
            </w:r>
          </w:p>
          <w:p w14:paraId="60F8CAA6">
            <w:pPr>
              <w:pStyle w:val="75"/>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b/>
                <w:bCs/>
                <w:color w:val="auto"/>
                <w:sz w:val="24"/>
                <w:szCs w:val="21"/>
              </w:rPr>
            </w:pPr>
            <w:r>
              <w:rPr>
                <w:rFonts w:ascii="Times New Roman" w:hAnsi="Times New Roman" w:cs="Times New Roman"/>
                <w:color w:val="auto"/>
              </w:rPr>
              <w:t>本项目一般固体废物经上述措施处理后，去向合理，贮存处置满足《一般工业固体废物贮存和填埋污染控制标准》（GB18599-2020）中防渗漏、防雨淋、防扬尘等规范要求，对周围环境影响较小。</w:t>
            </w:r>
          </w:p>
          <w:p w14:paraId="7B09ED4B">
            <w:pPr>
              <w:spacing w:line="360" w:lineRule="auto"/>
              <w:ind w:firstLine="480" w:firstLineChars="200"/>
              <w:rPr>
                <w:rFonts w:hint="eastAsia" w:ascii="Times New Roman" w:hAnsi="Times New Roman" w:eastAsia="宋体" w:cs="Times New Roman"/>
                <w:b w:val="0"/>
                <w:bCs w:val="0"/>
                <w:color w:val="auto"/>
                <w:sz w:val="24"/>
                <w:szCs w:val="24"/>
                <w:lang w:eastAsia="zh-CN"/>
              </w:rPr>
            </w:pPr>
            <w:r>
              <w:rPr>
                <w:rFonts w:hint="eastAsia"/>
                <w:b w:val="0"/>
                <w:bCs w:val="0"/>
                <w:color w:val="auto"/>
                <w:sz w:val="24"/>
                <w:szCs w:val="21"/>
              </w:rPr>
              <w:t>一般工业固体废物管理制度</w:t>
            </w:r>
            <w:r>
              <w:rPr>
                <w:rFonts w:hint="eastAsia"/>
                <w:b w:val="0"/>
                <w:bCs w:val="0"/>
                <w:color w:val="auto"/>
                <w:sz w:val="24"/>
                <w:szCs w:val="21"/>
                <w:lang w:eastAsia="zh-CN"/>
              </w:rPr>
              <w:t>：</w:t>
            </w:r>
          </w:p>
          <w:p w14:paraId="2625E258">
            <w:pPr>
              <w:pStyle w:val="13"/>
              <w:keepNext w:val="0"/>
              <w:keepLines w:val="0"/>
              <w:pageBreakBefore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本项目依照《排污许可证申请与核发技术规范 工业固体废物（试行）》（HJ1200-2021）、《一般工业固体废物贮存和填埋污染控制标准》（GB18599-2020）的相关要求，并按《一般工业固体废物管理台账制定指南（试行）》</w:t>
            </w:r>
            <w:r>
              <w:rPr>
                <w:rFonts w:hint="eastAsia" w:ascii="Times New Roman" w:hAnsi="Times New Roman" w:cs="Times New Roman"/>
                <w:color w:val="auto"/>
                <w:sz w:val="24"/>
                <w:szCs w:val="24"/>
                <w:lang w:eastAsia="zh-CN"/>
              </w:rPr>
              <w:t>、</w:t>
            </w:r>
            <w:r>
              <w:rPr>
                <w:rFonts w:hint="eastAsia" w:ascii="Times New Roman" w:hAnsi="Times New Roman" w:cs="Times New Roman"/>
                <w:color w:val="auto"/>
                <w:sz w:val="24"/>
                <w:szCs w:val="24"/>
                <w:lang w:eastAsia="zh-CN"/>
              </w:rPr>
              <w:t>《关于加强全省一般工业固废环境管理工作的通知》（辽环函〔2022〕42号）</w:t>
            </w:r>
            <w:r>
              <w:rPr>
                <w:rFonts w:hint="default" w:ascii="Times New Roman" w:hAnsi="Times New Roman" w:cs="Times New Roman"/>
                <w:color w:val="auto"/>
                <w:sz w:val="24"/>
                <w:szCs w:val="24"/>
              </w:rPr>
              <w:t>进行日常管理。</w:t>
            </w:r>
          </w:p>
          <w:p w14:paraId="1B6517F8">
            <w:pPr>
              <w:pStyle w:val="13"/>
              <w:keepNext w:val="0"/>
              <w:keepLines w:val="0"/>
              <w:pageBreakBefore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对本项目</w:t>
            </w:r>
            <w:r>
              <w:rPr>
                <w:rFonts w:hint="eastAsia" w:ascii="Times New Roman" w:hAnsi="Times New Roman" w:cs="Times New Roman"/>
                <w:color w:val="auto"/>
                <w:sz w:val="24"/>
                <w:szCs w:val="24"/>
                <w:lang w:eastAsia="zh-CN"/>
              </w:rPr>
              <w:t>一般工业</w:t>
            </w:r>
            <w:r>
              <w:rPr>
                <w:rFonts w:hint="default" w:ascii="Times New Roman" w:hAnsi="Times New Roman" w:cs="Times New Roman"/>
                <w:color w:val="auto"/>
                <w:sz w:val="24"/>
                <w:szCs w:val="24"/>
              </w:rPr>
              <w:t>固体废物收集及贮存过程做如下环境管理要求：</w:t>
            </w:r>
          </w:p>
          <w:p w14:paraId="45BDCB03">
            <w:pPr>
              <w:pStyle w:val="13"/>
              <w:keepNext w:val="0"/>
              <w:keepLines w:val="0"/>
              <w:pageBreakBefore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①应妥善收集、储存</w:t>
            </w:r>
            <w:r>
              <w:rPr>
                <w:rFonts w:hint="eastAsia" w:ascii="Times New Roman" w:hAnsi="Times New Roman" w:cs="Times New Roman"/>
                <w:color w:val="auto"/>
                <w:sz w:val="24"/>
                <w:szCs w:val="24"/>
                <w:lang w:eastAsia="zh-CN"/>
              </w:rPr>
              <w:t>除尘器收尘灰</w:t>
            </w:r>
            <w:r>
              <w:rPr>
                <w:rFonts w:hint="default" w:ascii="Times New Roman" w:hAnsi="Times New Roman" w:cs="Times New Roman"/>
                <w:color w:val="auto"/>
                <w:sz w:val="24"/>
                <w:szCs w:val="24"/>
              </w:rPr>
              <w:t>，其储存应符合《一般工业固体废物贮存和填埋污染控制标准》</w:t>
            </w:r>
            <w:r>
              <w:rPr>
                <w:rFonts w:hint="eastAsia" w:ascii="Times New Roman" w:hAnsi="Times New Roman" w:cs="Times New Roman"/>
                <w:color w:val="auto"/>
                <w:sz w:val="24"/>
                <w:szCs w:val="24"/>
                <w:lang w:eastAsia="zh-CN"/>
              </w:rPr>
              <w:t>（</w:t>
            </w:r>
            <w:r>
              <w:rPr>
                <w:rFonts w:hint="default" w:ascii="Times New Roman" w:hAnsi="Times New Roman" w:cs="Times New Roman"/>
                <w:color w:val="auto"/>
                <w:sz w:val="24"/>
                <w:szCs w:val="24"/>
              </w:rPr>
              <w:t>GB18599-2020</w:t>
            </w:r>
            <w:r>
              <w:rPr>
                <w:rFonts w:hint="eastAsia" w:ascii="Times New Roman" w:hAnsi="Times New Roman" w:cs="Times New Roman"/>
                <w:color w:val="auto"/>
                <w:sz w:val="24"/>
                <w:szCs w:val="24"/>
                <w:lang w:eastAsia="zh-CN"/>
              </w:rPr>
              <w:t>）</w:t>
            </w:r>
            <w:r>
              <w:rPr>
                <w:rFonts w:hint="default" w:ascii="Times New Roman" w:hAnsi="Times New Roman" w:cs="Times New Roman"/>
                <w:color w:val="auto"/>
                <w:sz w:val="24"/>
                <w:szCs w:val="24"/>
              </w:rPr>
              <w:t>；</w:t>
            </w:r>
          </w:p>
          <w:p w14:paraId="4871F925">
            <w:pPr>
              <w:pStyle w:val="13"/>
              <w:keepNext w:val="0"/>
              <w:keepLines w:val="0"/>
              <w:pageBreakBefore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②贮存过程应满足相应防渗漏、防雨淋、防扬尘等环境保护要求；</w:t>
            </w:r>
          </w:p>
          <w:p w14:paraId="604013E1">
            <w:pPr>
              <w:pStyle w:val="13"/>
              <w:keepNext w:val="0"/>
              <w:keepLines w:val="0"/>
              <w:pageBreakBefore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③不相容的一般工业固体废物应设置不同的分区进行贮存；</w:t>
            </w:r>
          </w:p>
          <w:p w14:paraId="56F9B2BC">
            <w:pPr>
              <w:pStyle w:val="13"/>
              <w:keepNext w:val="0"/>
              <w:keepLines w:val="0"/>
              <w:pageBreakBefore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④贮存库房应设置清晰、完整的一般工业固体废物标志牌等；</w:t>
            </w:r>
          </w:p>
          <w:p w14:paraId="56A059DB">
            <w:pPr>
              <w:pStyle w:val="9"/>
              <w:keepNext w:val="0"/>
              <w:keepLines w:val="0"/>
              <w:pageBreakBefore w:val="0"/>
              <w:kinsoku/>
              <w:wordWrap/>
              <w:overflowPunct/>
              <w:topLinePunct w:val="0"/>
              <w:autoSpaceDE/>
              <w:autoSpaceDN/>
              <w:bidi w:val="0"/>
              <w:adjustRightInd/>
              <w:snapToGrid/>
              <w:spacing w:before="0" w:after="0" w:line="360" w:lineRule="auto"/>
              <w:ind w:right="0"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⑤排污单位应建立环境管理台账制度，并对一般工业固体废物管理台账实施分级管理，应符合生态环境部规定的一般工业固体废物环境管理台账相关标准及管理文件要求。应记录一般固体废物产生的种类、数量、去向及贮存量等信息，详细记录在案，长期保存，供随时查阅；</w:t>
            </w:r>
          </w:p>
          <w:p w14:paraId="1D758BFD">
            <w:pPr>
              <w:keepNext w:val="0"/>
              <w:keepLines w:val="0"/>
              <w:pageBreakBefore w:val="0"/>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sz w:val="24"/>
                <w:szCs w:val="24"/>
              </w:rPr>
            </w:pPr>
            <w:r>
              <w:rPr>
                <w:rFonts w:hint="eastAsia" w:ascii="宋体" w:hAnsi="宋体" w:eastAsia="宋体" w:cs="宋体"/>
                <w:color w:val="auto"/>
                <w:sz w:val="24"/>
                <w:szCs w:val="24"/>
              </w:rPr>
              <w:t>⑥</w:t>
            </w:r>
            <w:r>
              <w:rPr>
                <w:rFonts w:hint="default" w:ascii="Times New Roman" w:hAnsi="Times New Roman" w:cs="Times New Roman"/>
                <w:color w:val="auto"/>
                <w:sz w:val="24"/>
                <w:szCs w:val="24"/>
              </w:rPr>
              <w:t>贮存库房的环境管理和运行维护要求还应符合《环境保护图形标志固体废物贮存（处置）场》（GB15562.2-1995）及其修改单的相关标准规范要求。</w:t>
            </w:r>
          </w:p>
          <w:p w14:paraId="3EF8439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b/>
                <w:bCs/>
                <w:color w:val="auto"/>
                <w:sz w:val="24"/>
                <w:szCs w:val="21"/>
                <w:lang w:eastAsia="zh-CN"/>
              </w:rPr>
            </w:pPr>
            <w:r>
              <w:rPr>
                <w:rFonts w:hint="eastAsia" w:ascii="Times New Roman" w:hAnsi="Times New Roman" w:cs="Times New Roman"/>
                <w:color w:val="auto"/>
                <w:sz w:val="24"/>
                <w:szCs w:val="24"/>
                <w:lang w:eastAsia="zh-CN"/>
              </w:rPr>
              <w:t>应按照《关于加强全省一般工业固废环境管理工作的通知》（辽环函〔2022〕42号）中</w:t>
            </w:r>
            <w:r>
              <w:rPr>
                <w:rFonts w:hint="default" w:ascii="Times New Roman" w:hAnsi="Times New Roman" w:cs="Times New Roman"/>
                <w:color w:val="auto"/>
                <w:sz w:val="24"/>
                <w:szCs w:val="24"/>
              </w:rPr>
              <w:t>要求</w:t>
            </w:r>
            <w:r>
              <w:rPr>
                <w:rFonts w:hint="eastAsia" w:ascii="Times New Roman" w:hAnsi="Times New Roman" w:cs="Times New Roman"/>
                <w:color w:val="auto"/>
                <w:sz w:val="24"/>
                <w:szCs w:val="24"/>
                <w:lang w:eastAsia="zh-CN"/>
              </w:rPr>
              <w:t>，规范台账申报管理及加强贮存管理</w:t>
            </w:r>
            <w:r>
              <w:rPr>
                <w:rFonts w:hint="default" w:ascii="Times New Roman" w:hAnsi="Times New Roman" w:cs="Times New Roman"/>
                <w:color w:val="auto"/>
                <w:sz w:val="24"/>
                <w:szCs w:val="24"/>
              </w:rPr>
              <w:t>：</w:t>
            </w:r>
          </w:p>
          <w:p w14:paraId="01048E9F">
            <w:pPr>
              <w:pStyle w:val="9"/>
              <w:keepNext w:val="0"/>
              <w:keepLines w:val="0"/>
              <w:pageBreakBefore w:val="0"/>
              <w:kinsoku/>
              <w:wordWrap/>
              <w:overflowPunct/>
              <w:topLinePunct w:val="0"/>
              <w:autoSpaceDE/>
              <w:autoSpaceDN/>
              <w:bidi w:val="0"/>
              <w:adjustRightInd/>
              <w:snapToGrid/>
              <w:spacing w:before="0" w:after="0" w:line="360" w:lineRule="auto"/>
              <w:ind w:right="0"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cs="Times New Roman"/>
                <w:color w:val="auto"/>
                <w:sz w:val="24"/>
                <w:szCs w:val="24"/>
                <w:lang w:val="en-US" w:eastAsia="zh-CN"/>
              </w:rPr>
              <w:t>1、</w:t>
            </w:r>
            <w:r>
              <w:rPr>
                <w:rFonts w:hint="eastAsia" w:ascii="Times New Roman" w:hAnsi="Times New Roman" w:cs="Times New Roman"/>
                <w:color w:val="auto"/>
                <w:sz w:val="24"/>
                <w:szCs w:val="24"/>
                <w:lang w:eastAsia="zh-CN"/>
              </w:rPr>
              <w:t>规范台账申报管理</w:t>
            </w:r>
          </w:p>
          <w:p w14:paraId="14E6A7D0">
            <w:pPr>
              <w:pStyle w:val="9"/>
              <w:keepNext w:val="0"/>
              <w:keepLines w:val="0"/>
              <w:pageBreakBefore w:val="0"/>
              <w:kinsoku/>
              <w:wordWrap/>
              <w:overflowPunct/>
              <w:topLinePunct w:val="0"/>
              <w:autoSpaceDE/>
              <w:autoSpaceDN/>
              <w:bidi w:val="0"/>
              <w:adjustRightInd/>
              <w:snapToGrid/>
              <w:spacing w:before="0" w:after="0" w:line="360" w:lineRule="auto"/>
              <w:ind w:right="0" w:firstLine="480" w:firstLineChars="200"/>
              <w:textAlignment w:val="auto"/>
              <w:rPr>
                <w:rFonts w:hint="eastAsia" w:ascii="Times New Roman" w:hAnsi="Times New Roman" w:eastAsia="宋体" w:cs="Times New Roman"/>
                <w:color w:val="auto"/>
                <w:sz w:val="24"/>
                <w:szCs w:val="24"/>
                <w:lang w:eastAsia="zh-CN"/>
              </w:rPr>
            </w:pPr>
            <w:r>
              <w:rPr>
                <w:rFonts w:hint="default" w:ascii="Times New Roman" w:hAnsi="Times New Roman" w:cs="Times New Roman"/>
                <w:color w:val="auto"/>
                <w:sz w:val="24"/>
                <w:szCs w:val="24"/>
              </w:rPr>
              <w:t>①</w:t>
            </w:r>
            <w:r>
              <w:rPr>
                <w:rFonts w:hint="eastAsia" w:ascii="Times New Roman" w:hAnsi="Times New Roman" w:eastAsia="宋体" w:cs="Times New Roman"/>
                <w:color w:val="auto"/>
                <w:sz w:val="24"/>
                <w:szCs w:val="24"/>
                <w:lang w:eastAsia="zh-CN"/>
              </w:rPr>
              <w:t>产废单位应结合建设项目环境影响评价、排污许可等文件和自身实际运营情况，从生产工艺、污染治理、事故应急、设备检修、场地清理、原辅材料、产品库存等各方面全面梳理明确一般工业固体废物的产生情况、理化特性和利用处置情况，必要时依据《固体废物鉴别标准通则》（GB</w:t>
            </w:r>
            <w:r>
              <w:rPr>
                <w:rFonts w:hint="eastAsia" w:ascii="Times New Roman" w:hAnsi="Times New Roman" w:eastAsia="宋体" w:cs="Times New Roman"/>
                <w:color w:val="auto"/>
                <w:sz w:val="24"/>
                <w:szCs w:val="24"/>
                <w:lang w:val="en-US" w:eastAsia="zh-CN"/>
              </w:rPr>
              <w:t xml:space="preserve"> </w:t>
            </w:r>
            <w:r>
              <w:rPr>
                <w:rFonts w:hint="eastAsia" w:ascii="Times New Roman" w:hAnsi="Times New Roman" w:eastAsia="宋体" w:cs="Times New Roman"/>
                <w:color w:val="auto"/>
                <w:sz w:val="24"/>
                <w:szCs w:val="24"/>
                <w:lang w:eastAsia="zh-CN"/>
              </w:rPr>
              <w:t>34330</w:t>
            </w:r>
            <w:r>
              <w:rPr>
                <w:rFonts w:hint="eastAsia" w:ascii="Times New Roman" w:hAnsi="Times New Roman" w:eastAsia="宋体" w:cs="Times New Roman"/>
                <w:color w:val="auto"/>
                <w:sz w:val="24"/>
                <w:szCs w:val="24"/>
                <w:lang w:val="en-US" w:eastAsia="zh-CN"/>
              </w:rPr>
              <w:t>-2025</w:t>
            </w:r>
            <w:r>
              <w:rPr>
                <w:rFonts w:hint="eastAsia" w:ascii="Times New Roman" w:hAnsi="Times New Roman" w:eastAsia="宋体" w:cs="Times New Roman"/>
                <w:color w:val="auto"/>
                <w:sz w:val="24"/>
                <w:szCs w:val="24"/>
                <w:lang w:eastAsia="zh-CN"/>
              </w:rPr>
              <w:t>）开展固体废物鉴别，科学建立一般工业固体废物管理档案。</w:t>
            </w:r>
          </w:p>
          <w:p w14:paraId="6FE0F3CD">
            <w:pPr>
              <w:pStyle w:val="9"/>
              <w:keepNext w:val="0"/>
              <w:keepLines w:val="0"/>
              <w:pageBreakBefore w:val="0"/>
              <w:kinsoku/>
              <w:wordWrap/>
              <w:overflowPunct/>
              <w:topLinePunct w:val="0"/>
              <w:autoSpaceDE/>
              <w:autoSpaceDN/>
              <w:bidi w:val="0"/>
              <w:adjustRightInd/>
              <w:snapToGrid/>
              <w:spacing w:before="0" w:after="0" w:line="360" w:lineRule="auto"/>
              <w:ind w:right="0" w:firstLine="480" w:firstLineChars="200"/>
              <w:textAlignment w:val="auto"/>
              <w:rPr>
                <w:rFonts w:hint="eastAsia" w:ascii="Times New Roman" w:hAnsi="Times New Roman" w:eastAsia="宋体" w:cs="Times New Roman"/>
                <w:color w:val="auto"/>
                <w:sz w:val="24"/>
                <w:szCs w:val="24"/>
                <w:lang w:eastAsia="zh-CN"/>
              </w:rPr>
            </w:pPr>
            <w:r>
              <w:rPr>
                <w:rFonts w:hint="default" w:ascii="Times New Roman" w:hAnsi="Times New Roman" w:cs="Times New Roman"/>
                <w:color w:val="auto"/>
                <w:sz w:val="24"/>
                <w:szCs w:val="24"/>
              </w:rPr>
              <w:t>②</w:t>
            </w:r>
            <w:r>
              <w:rPr>
                <w:rFonts w:hint="eastAsia" w:ascii="Times New Roman" w:hAnsi="Times New Roman" w:eastAsia="宋体" w:cs="Times New Roman"/>
                <w:color w:val="auto"/>
                <w:sz w:val="24"/>
                <w:szCs w:val="24"/>
                <w:lang w:eastAsia="zh-CN"/>
              </w:rPr>
              <w:t>产废单位应根据《一般工业固体废物管理台账制定指南（试行）》要求建立一般工业固体废物产生、收集、贮存、运输、利用、处置全过程管理台账。管理台账应由专人管理，防止遗失，保存期限不少于5年。年产废量在1吨以上的产废单位应于每年3月底前在“辽宁省固体废物智能监管平台”中完成年度申报登记，年产废量10万吨以上的产废单位同时按季度申报登记，应于每季度首月10日内完成上一季度申报登记，相关数据应与企业台账中的固废种类、数量、固废转移情况保持一致。</w:t>
            </w:r>
          </w:p>
          <w:p w14:paraId="0F94070E">
            <w:pPr>
              <w:pStyle w:val="9"/>
              <w:keepNext w:val="0"/>
              <w:keepLines w:val="0"/>
              <w:pageBreakBefore w:val="0"/>
              <w:kinsoku/>
              <w:wordWrap/>
              <w:overflowPunct/>
              <w:topLinePunct w:val="0"/>
              <w:autoSpaceDE/>
              <w:autoSpaceDN/>
              <w:bidi w:val="0"/>
              <w:adjustRightInd/>
              <w:snapToGrid/>
              <w:spacing w:before="0" w:after="0" w:line="360" w:lineRule="auto"/>
              <w:ind w:right="0"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cs="Times New Roman"/>
                <w:color w:val="auto"/>
                <w:sz w:val="24"/>
                <w:szCs w:val="24"/>
                <w:lang w:val="en-US" w:eastAsia="zh-CN"/>
              </w:rPr>
              <w:t>2、</w:t>
            </w:r>
            <w:r>
              <w:rPr>
                <w:rFonts w:hint="eastAsia" w:ascii="Times New Roman" w:hAnsi="Times New Roman" w:cs="Times New Roman"/>
                <w:color w:val="auto"/>
                <w:sz w:val="24"/>
                <w:szCs w:val="24"/>
                <w:lang w:eastAsia="zh-CN"/>
              </w:rPr>
              <w:t>加强贮存管理</w:t>
            </w:r>
          </w:p>
          <w:p w14:paraId="2664075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kern w:val="0"/>
                <w:sz w:val="24"/>
                <w:szCs w:val="24"/>
                <w:lang w:val="en-US" w:eastAsia="zh-CN" w:bidi="ar-SA"/>
              </w:rPr>
            </w:pPr>
            <w:r>
              <w:rPr>
                <w:rFonts w:hint="eastAsia" w:ascii="Times New Roman" w:hAnsi="Times New Roman" w:eastAsia="宋体" w:cs="Times New Roman"/>
                <w:color w:val="auto"/>
                <w:kern w:val="0"/>
                <w:sz w:val="24"/>
                <w:szCs w:val="24"/>
                <w:lang w:val="en-US" w:eastAsia="zh-CN" w:bidi="ar-SA"/>
              </w:rPr>
              <w:t>产生、贮存、利用、处置一般工业固体废物的单位应严格落实环评报告书（表）及批复要求，对照《一般工业固体废物贮存和填埋污染控制标准》（GB18599）等有关标准规范要求建设一般工业固体废物贮存设施，落实防渗漏、防雨淋、防扬尘等要求，按固废类别进行分类贮存，禁止将一般工业固体废物投放到生活垃圾收集设施，禁止将不符合豁免条件的危险废物等混入到一般工业固体废物收集贮存设施。贮存设施应在显著位置张贴符合《环境保护图形标志—固体废物贮存（处置）场》（GB 15562.2）要求的环境保护图形标志，并注明相应固废类别。</w:t>
            </w:r>
          </w:p>
          <w:p w14:paraId="497AD0DF">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Times New Roman" w:hAnsi="Times New Roman" w:eastAsia="宋体" w:cs="Times New Roman"/>
                <w:color w:val="auto"/>
                <w:sz w:val="24"/>
                <w:szCs w:val="24"/>
                <w:lang w:eastAsia="zh-CN"/>
              </w:rPr>
            </w:pPr>
            <w:r>
              <w:rPr>
                <w:rFonts w:hint="eastAsia"/>
                <w:b/>
                <w:bCs/>
                <w:color w:val="auto"/>
                <w:sz w:val="24"/>
                <w:szCs w:val="21"/>
                <w:lang w:eastAsia="zh-CN"/>
              </w:rPr>
              <w:t>危险</w:t>
            </w:r>
            <w:r>
              <w:rPr>
                <w:rFonts w:hint="eastAsia"/>
                <w:b/>
                <w:bCs/>
                <w:color w:val="auto"/>
                <w:sz w:val="24"/>
                <w:szCs w:val="21"/>
              </w:rPr>
              <w:t>废物</w:t>
            </w:r>
            <w:r>
              <w:rPr>
                <w:rFonts w:hint="eastAsia"/>
                <w:b/>
                <w:bCs/>
                <w:color w:val="auto"/>
                <w:sz w:val="24"/>
                <w:szCs w:val="21"/>
                <w:lang w:eastAsia="zh-CN"/>
              </w:rPr>
              <w:t>影响分析</w:t>
            </w:r>
          </w:p>
          <w:p w14:paraId="096B22A1">
            <w:pPr>
              <w:pStyle w:val="9"/>
              <w:keepNext w:val="0"/>
              <w:keepLines w:val="0"/>
              <w:pageBreakBefore w:val="0"/>
              <w:kinsoku/>
              <w:wordWrap/>
              <w:overflowPunct/>
              <w:topLinePunct w:val="0"/>
              <w:autoSpaceDE/>
              <w:autoSpaceDN/>
              <w:bidi w:val="0"/>
              <w:adjustRightInd/>
              <w:snapToGrid/>
              <w:spacing w:before="0" w:after="0" w:line="360" w:lineRule="auto"/>
              <w:ind w:right="0" w:firstLine="480" w:firstLineChars="200"/>
              <w:textAlignment w:val="auto"/>
              <w:rPr>
                <w:rFonts w:hint="eastAsia"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本项目在</w:t>
            </w:r>
            <w:r>
              <w:rPr>
                <w:rFonts w:hint="eastAsia" w:ascii="Times New Roman" w:hAnsi="Times New Roman" w:eastAsia="宋体" w:cs="Times New Roman"/>
                <w:color w:val="auto"/>
                <w:sz w:val="24"/>
                <w:szCs w:val="24"/>
                <w:lang w:eastAsia="zh-CN"/>
              </w:rPr>
              <w:t>生产车间东北角</w:t>
            </w:r>
            <w:r>
              <w:rPr>
                <w:rFonts w:hint="default" w:ascii="Times New Roman" w:hAnsi="Times New Roman" w:eastAsia="宋体" w:cs="Times New Roman"/>
                <w:color w:val="auto"/>
                <w:sz w:val="24"/>
                <w:szCs w:val="24"/>
              </w:rPr>
              <w:t>设置</w:t>
            </w:r>
            <w:r>
              <w:rPr>
                <w:rFonts w:hint="eastAsia" w:ascii="Times New Roman" w:hAnsi="Times New Roman" w:eastAsia="宋体" w:cs="Times New Roman"/>
                <w:color w:val="auto"/>
                <w:sz w:val="24"/>
                <w:szCs w:val="24"/>
                <w:lang w:eastAsia="zh-CN"/>
              </w:rPr>
              <w:t>危险废物贮存点</w:t>
            </w:r>
            <w:r>
              <w:rPr>
                <w:rFonts w:hint="default"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eastAsia="zh-CN"/>
              </w:rPr>
              <w:t>占地</w:t>
            </w:r>
            <w:r>
              <w:rPr>
                <w:rFonts w:hint="default" w:ascii="Times New Roman" w:hAnsi="Times New Roman" w:eastAsia="宋体" w:cs="Times New Roman"/>
                <w:color w:val="auto"/>
                <w:sz w:val="24"/>
                <w:szCs w:val="24"/>
              </w:rPr>
              <w:t>面积</w:t>
            </w:r>
            <w:r>
              <w:rPr>
                <w:rFonts w:hint="eastAsia" w:ascii="Times New Roman" w:hAnsi="Times New Roman" w:eastAsia="宋体" w:cs="Times New Roman"/>
                <w:color w:val="auto"/>
                <w:sz w:val="24"/>
                <w:szCs w:val="24"/>
                <w:lang w:val="en-US" w:eastAsia="zh-CN"/>
              </w:rPr>
              <w:t>15</w:t>
            </w:r>
            <w:r>
              <w:rPr>
                <w:rFonts w:hint="default" w:ascii="Times New Roman" w:hAnsi="Times New Roman" w:eastAsia="宋体" w:cs="Times New Roman"/>
                <w:color w:val="auto"/>
                <w:sz w:val="24"/>
                <w:szCs w:val="24"/>
              </w:rPr>
              <w:t>m</w:t>
            </w:r>
            <w:r>
              <w:rPr>
                <w:rFonts w:hint="default" w:ascii="Times New Roman" w:hAnsi="Times New Roman" w:eastAsia="宋体" w:cs="Times New Roman"/>
                <w:color w:val="auto"/>
                <w:sz w:val="24"/>
                <w:szCs w:val="24"/>
                <w:vertAlign w:val="superscript"/>
              </w:rPr>
              <w:t>2</w:t>
            </w:r>
            <w:r>
              <w:rPr>
                <w:rFonts w:hint="default"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val="en-US" w:eastAsia="zh-CN"/>
              </w:rPr>
              <w:t>危险废物贮存点按要求设置危废标识。</w:t>
            </w:r>
            <w:r>
              <w:rPr>
                <w:rFonts w:hint="eastAsia" w:ascii="Times New Roman" w:hAnsi="Times New Roman" w:eastAsia="宋体" w:cs="Times New Roman"/>
                <w:color w:val="auto"/>
                <w:sz w:val="24"/>
                <w:szCs w:val="24"/>
              </w:rPr>
              <w:t>并应严格按照《危险废物贮存污染物控制标准》</w:t>
            </w: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rPr>
              <w:t>GB18597-2023</w:t>
            </w: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rPr>
              <w:t>要求进行设置，危险废物收集后做好危险废物情况记录</w:t>
            </w: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rPr>
              <w:t>记录上注明危险废物的名称、来源、数量、特性、入库日期、出库日期、接收单位名称</w:t>
            </w: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rPr>
              <w:t>。</w:t>
            </w:r>
          </w:p>
          <w:p w14:paraId="458A70D6">
            <w:pPr>
              <w:pStyle w:val="9"/>
              <w:keepNext w:val="0"/>
              <w:keepLines w:val="0"/>
              <w:pageBreakBefore w:val="0"/>
              <w:kinsoku/>
              <w:wordWrap/>
              <w:overflowPunct/>
              <w:topLinePunct w:val="0"/>
              <w:autoSpaceDE/>
              <w:autoSpaceDN/>
              <w:bidi w:val="0"/>
              <w:adjustRightInd/>
              <w:snapToGrid/>
              <w:spacing w:before="0" w:after="0" w:line="360" w:lineRule="auto"/>
              <w:ind w:right="0"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eastAsia="zh-CN"/>
              </w:rPr>
              <w:t>本项目危险废物贮存点占地面积</w:t>
            </w:r>
            <w:r>
              <w:rPr>
                <w:rFonts w:hint="eastAsia" w:ascii="Times New Roman" w:hAnsi="Times New Roman" w:eastAsia="宋体" w:cs="Times New Roman"/>
                <w:color w:val="auto"/>
                <w:sz w:val="24"/>
                <w:szCs w:val="24"/>
                <w:lang w:val="en-US" w:eastAsia="zh-CN"/>
              </w:rPr>
              <w:t>15</w:t>
            </w:r>
            <w:r>
              <w:rPr>
                <w:rFonts w:hint="default" w:ascii="Times New Roman" w:hAnsi="Times New Roman" w:eastAsia="宋体" w:cs="Times New Roman"/>
                <w:color w:val="auto"/>
                <w:sz w:val="24"/>
                <w:szCs w:val="24"/>
              </w:rPr>
              <w:t>m</w:t>
            </w:r>
            <w:r>
              <w:rPr>
                <w:rFonts w:hint="default" w:ascii="Times New Roman" w:hAnsi="Times New Roman" w:eastAsia="宋体" w:cs="Times New Roman"/>
                <w:color w:val="auto"/>
                <w:sz w:val="24"/>
                <w:szCs w:val="24"/>
                <w:vertAlign w:val="superscript"/>
              </w:rPr>
              <w:t>2</w:t>
            </w:r>
            <w:r>
              <w:rPr>
                <w:rFonts w:hint="default"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eastAsia="zh-CN"/>
              </w:rPr>
              <w:t>高度</w:t>
            </w:r>
            <w:r>
              <w:rPr>
                <w:rFonts w:hint="eastAsia" w:ascii="Times New Roman" w:hAnsi="Times New Roman" w:eastAsia="宋体" w:cs="Times New Roman"/>
                <w:color w:val="auto"/>
                <w:sz w:val="24"/>
                <w:szCs w:val="24"/>
                <w:lang w:val="en-US" w:eastAsia="zh-CN"/>
              </w:rPr>
              <w:t>2.5m，即危险废物贮存点有效容积为37.5m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，废辊筒每五年一更换（</w:t>
            </w:r>
            <w:r>
              <w:rPr>
                <w:rFonts w:hint="eastAsia" w:ascii="Times New Roman" w:hAnsi="Times New Roman" w:eastAsia="宋体" w:cs="Times New Roman"/>
                <w:color w:val="auto"/>
                <w:kern w:val="0"/>
                <w:sz w:val="24"/>
                <w:szCs w:val="24"/>
                <w:lang w:val="en-US" w:eastAsia="zh-CN" w:bidi="ar"/>
              </w:rPr>
              <w:t>更换时不在厂内贮存</w:t>
            </w:r>
            <w:r>
              <w:rPr>
                <w:rFonts w:hint="default" w:ascii="Times New Roman" w:hAnsi="Times New Roman" w:eastAsia="宋体" w:cs="Times New Roman"/>
                <w:color w:val="auto"/>
                <w:kern w:val="0"/>
                <w:sz w:val="24"/>
                <w:szCs w:val="24"/>
                <w:lang w:val="en-US" w:eastAsia="zh-CN" w:bidi="ar"/>
              </w:rPr>
              <w:t>，</w:t>
            </w:r>
            <w:r>
              <w:rPr>
                <w:rFonts w:hint="eastAsia" w:ascii="Times New Roman" w:hAnsi="Times New Roman" w:eastAsia="宋体" w:cs="Times New Roman"/>
                <w:color w:val="auto"/>
                <w:kern w:val="0"/>
                <w:sz w:val="24"/>
                <w:szCs w:val="24"/>
                <w:lang w:val="en-US" w:eastAsia="zh-CN" w:bidi="ar"/>
              </w:rPr>
              <w:t>由</w:t>
            </w:r>
            <w:r>
              <w:rPr>
                <w:rFonts w:hint="eastAsia" w:ascii="Times New Roman" w:hAnsi="宋体" w:eastAsia="宋体" w:cs="Times New Roman"/>
                <w:color w:val="auto"/>
                <w:kern w:val="0"/>
                <w:sz w:val="24"/>
                <w:szCs w:val="24"/>
                <w:highlight w:val="none"/>
              </w:rPr>
              <w:t>委托</w:t>
            </w:r>
            <w:r>
              <w:rPr>
                <w:rFonts w:hint="eastAsia" w:ascii="Times New Roman" w:hAnsi="宋体" w:eastAsia="宋体" w:cs="Times New Roman"/>
                <w:color w:val="auto"/>
                <w:kern w:val="0"/>
                <w:sz w:val="24"/>
                <w:szCs w:val="24"/>
                <w:highlight w:val="none"/>
                <w:lang w:eastAsia="zh-CN"/>
              </w:rPr>
              <w:t>的</w:t>
            </w:r>
            <w:r>
              <w:rPr>
                <w:rFonts w:hint="eastAsia" w:ascii="Times New Roman" w:hAnsi="宋体" w:eastAsia="宋体" w:cs="Times New Roman"/>
                <w:color w:val="auto"/>
                <w:kern w:val="0"/>
                <w:sz w:val="24"/>
                <w:szCs w:val="24"/>
                <w:highlight w:val="none"/>
              </w:rPr>
              <w:t>资质单位</w:t>
            </w:r>
            <w:r>
              <w:rPr>
                <w:rFonts w:hint="eastAsia" w:ascii="Times New Roman" w:hAnsi="宋体" w:eastAsia="宋体" w:cs="Times New Roman"/>
                <w:color w:val="auto"/>
                <w:kern w:val="0"/>
                <w:sz w:val="24"/>
                <w:szCs w:val="24"/>
                <w:highlight w:val="none"/>
                <w:lang w:eastAsia="zh-CN"/>
              </w:rPr>
              <w:t>直接运走</w:t>
            </w:r>
            <w:r>
              <w:rPr>
                <w:rFonts w:hint="eastAsia" w:ascii="Times New Roman" w:hAnsi="宋体" w:eastAsia="宋体" w:cs="Times New Roman"/>
                <w:color w:val="auto"/>
                <w:kern w:val="0"/>
                <w:sz w:val="24"/>
                <w:szCs w:val="24"/>
                <w:highlight w:val="none"/>
              </w:rPr>
              <w:t>处置</w:t>
            </w:r>
            <w:r>
              <w:rPr>
                <w:rFonts w:hint="eastAsia" w:ascii="Times New Roman" w:hAnsi="Times New Roman" w:eastAsia="宋体" w:cs="Times New Roman"/>
                <w:color w:val="auto"/>
                <w:sz w:val="24"/>
                <w:szCs w:val="24"/>
                <w:lang w:val="en-US" w:eastAsia="zh-CN"/>
              </w:rPr>
              <w:t>），除废辊筒外其余危险废物暂存周期为1年。本项目危险废物年产生最大总量共计2.9356t，可容纳最大年危险废物产生及贮存量，暂存可行。</w:t>
            </w:r>
          </w:p>
          <w:p w14:paraId="554BCC88">
            <w:pPr>
              <w:pStyle w:val="9"/>
              <w:keepNext w:val="0"/>
              <w:keepLines w:val="0"/>
              <w:pageBreakBefore w:val="0"/>
              <w:kinsoku/>
              <w:wordWrap/>
              <w:overflowPunct/>
              <w:topLinePunct w:val="0"/>
              <w:autoSpaceDE/>
              <w:autoSpaceDN/>
              <w:bidi w:val="0"/>
              <w:adjustRightInd/>
              <w:snapToGrid/>
              <w:spacing w:before="0" w:after="0" w:line="360" w:lineRule="auto"/>
              <w:ind w:right="0" w:firstLine="480" w:firstLineChars="200"/>
              <w:textAlignment w:val="auto"/>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本项目危险废物贮存</w:t>
            </w:r>
            <w:r>
              <w:rPr>
                <w:rFonts w:hint="eastAsia" w:ascii="Times New Roman" w:hAnsi="Times New Roman" w:eastAsia="宋体" w:cs="Times New Roman"/>
                <w:color w:val="auto"/>
                <w:sz w:val="24"/>
                <w:szCs w:val="24"/>
                <w:lang w:eastAsia="zh-CN"/>
              </w:rPr>
              <w:t>点</w:t>
            </w:r>
            <w:r>
              <w:rPr>
                <w:rFonts w:hint="eastAsia" w:ascii="Times New Roman" w:hAnsi="Times New Roman" w:eastAsia="宋体" w:cs="Times New Roman"/>
                <w:color w:val="auto"/>
                <w:sz w:val="24"/>
                <w:szCs w:val="24"/>
              </w:rPr>
              <w:t>选址、设计、管理等必须严格按照《危险废物贮存污染控制标准》</w:t>
            </w: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rPr>
              <w:t>GB18597-2023</w:t>
            </w: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rPr>
              <w:t>的相关规定，具体措施如下</w:t>
            </w:r>
            <w:r>
              <w:rPr>
                <w:rFonts w:hint="eastAsia" w:ascii="Times New Roman" w:hAnsi="Times New Roman" w:eastAsia="宋体" w:cs="Times New Roman"/>
                <w:color w:val="auto"/>
                <w:sz w:val="24"/>
                <w:szCs w:val="24"/>
                <w:lang w:eastAsia="zh-CN"/>
              </w:rPr>
              <w:t>：</w:t>
            </w:r>
          </w:p>
          <w:p w14:paraId="14F35825">
            <w:pPr>
              <w:pStyle w:val="9"/>
              <w:keepNext w:val="0"/>
              <w:keepLines w:val="0"/>
              <w:pageBreakBefore w:val="0"/>
              <w:kinsoku/>
              <w:wordWrap/>
              <w:overflowPunct/>
              <w:topLinePunct w:val="0"/>
              <w:autoSpaceDE/>
              <w:autoSpaceDN/>
              <w:bidi w:val="0"/>
              <w:adjustRightInd/>
              <w:snapToGrid/>
              <w:spacing w:before="0" w:after="0" w:line="360" w:lineRule="auto"/>
              <w:ind w:right="0" w:firstLine="480" w:firstLineChars="200"/>
              <w:textAlignment w:val="auto"/>
              <w:rPr>
                <w:rFonts w:hint="eastAsia"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rPr>
              <w:t>贮存设施污染控制要求</w:t>
            </w:r>
            <w:r>
              <w:rPr>
                <w:rFonts w:hint="eastAsia" w:ascii="Times New Roman" w:hAnsi="Times New Roman" w:eastAsia="宋体" w:cs="Times New Roman"/>
                <w:color w:val="auto"/>
                <w:sz w:val="24"/>
                <w:szCs w:val="24"/>
                <w:lang w:eastAsia="zh-CN"/>
              </w:rPr>
              <w:t>：</w:t>
            </w:r>
          </w:p>
          <w:p w14:paraId="4C2F137C">
            <w:pPr>
              <w:pStyle w:val="9"/>
              <w:keepNext w:val="0"/>
              <w:keepLines w:val="0"/>
              <w:pageBreakBefore w:val="0"/>
              <w:kinsoku/>
              <w:wordWrap/>
              <w:overflowPunct/>
              <w:topLinePunct w:val="0"/>
              <w:autoSpaceDE/>
              <w:autoSpaceDN/>
              <w:bidi w:val="0"/>
              <w:adjustRightInd/>
              <w:snapToGrid/>
              <w:spacing w:before="0" w:after="0" w:line="360" w:lineRule="auto"/>
              <w:ind w:right="0" w:firstLine="480" w:firstLineChars="200"/>
              <w:textAlignment w:val="auto"/>
              <w:rPr>
                <w:rFonts w:hint="eastAsia"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rPr>
              <w:t>①贮存设施应根据危险废物形态、物理化学性质、包装形式和污染物迁移途径，采取必要的防风、防晒、防雨、防漏、防渗、防腐以及其他环境污染防治措施，不应露天堆放危险废物</w:t>
            </w:r>
            <w:r>
              <w:rPr>
                <w:rFonts w:hint="eastAsia" w:ascii="Times New Roman" w:hAnsi="Times New Roman" w:eastAsia="宋体" w:cs="Times New Roman"/>
                <w:color w:val="auto"/>
                <w:sz w:val="24"/>
                <w:szCs w:val="24"/>
                <w:lang w:eastAsia="zh-CN"/>
              </w:rPr>
              <w:t>；</w:t>
            </w:r>
          </w:p>
          <w:p w14:paraId="53203DAF">
            <w:pPr>
              <w:pStyle w:val="9"/>
              <w:keepNext w:val="0"/>
              <w:keepLines w:val="0"/>
              <w:pageBreakBefore w:val="0"/>
              <w:kinsoku/>
              <w:wordWrap/>
              <w:overflowPunct/>
              <w:topLinePunct w:val="0"/>
              <w:autoSpaceDE/>
              <w:autoSpaceDN/>
              <w:bidi w:val="0"/>
              <w:adjustRightInd/>
              <w:snapToGrid/>
              <w:spacing w:before="0" w:after="0" w:line="360" w:lineRule="auto"/>
              <w:ind w:right="0" w:firstLine="480" w:firstLineChars="200"/>
              <w:textAlignment w:val="auto"/>
              <w:rPr>
                <w:rFonts w:hint="eastAsia"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rPr>
              <w:t>②贮存设施应采取技术和管理措施防止无关人员进入</w:t>
            </w:r>
            <w:r>
              <w:rPr>
                <w:rFonts w:hint="eastAsia" w:ascii="Times New Roman" w:hAnsi="Times New Roman" w:eastAsia="宋体" w:cs="Times New Roman"/>
                <w:color w:val="auto"/>
                <w:sz w:val="24"/>
                <w:szCs w:val="24"/>
                <w:lang w:eastAsia="zh-CN"/>
              </w:rPr>
              <w:t>；</w:t>
            </w:r>
          </w:p>
          <w:p w14:paraId="1229F1E7">
            <w:pPr>
              <w:pStyle w:val="9"/>
              <w:keepNext w:val="0"/>
              <w:keepLines w:val="0"/>
              <w:pageBreakBefore w:val="0"/>
              <w:kinsoku/>
              <w:wordWrap/>
              <w:overflowPunct/>
              <w:topLinePunct w:val="0"/>
              <w:autoSpaceDE/>
              <w:autoSpaceDN/>
              <w:bidi w:val="0"/>
              <w:adjustRightInd/>
              <w:snapToGrid/>
              <w:spacing w:before="0" w:after="0" w:line="360" w:lineRule="auto"/>
              <w:ind w:right="0" w:firstLine="480" w:firstLineChars="200"/>
              <w:textAlignment w:val="auto"/>
              <w:rPr>
                <w:rFonts w:hint="eastAsia"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rPr>
              <w:t>③贮存设施应根据危险废物的类别、数量、形态、物理化学性质和污染防治等要求设置必要的贮存分区，避免不相容的危险废物接触、混合</w:t>
            </w:r>
            <w:r>
              <w:rPr>
                <w:rFonts w:hint="eastAsia" w:ascii="Times New Roman" w:hAnsi="Times New Roman" w:eastAsia="宋体" w:cs="Times New Roman"/>
                <w:color w:val="auto"/>
                <w:sz w:val="24"/>
                <w:szCs w:val="24"/>
                <w:lang w:eastAsia="zh-CN"/>
              </w:rPr>
              <w:t>；</w:t>
            </w:r>
          </w:p>
          <w:p w14:paraId="6AC758E8">
            <w:pPr>
              <w:pStyle w:val="9"/>
              <w:keepNext w:val="0"/>
              <w:keepLines w:val="0"/>
              <w:pageBreakBefore w:val="0"/>
              <w:kinsoku/>
              <w:wordWrap/>
              <w:overflowPunct/>
              <w:topLinePunct w:val="0"/>
              <w:autoSpaceDE/>
              <w:autoSpaceDN/>
              <w:bidi w:val="0"/>
              <w:adjustRightInd/>
              <w:snapToGrid/>
              <w:spacing w:before="0" w:after="0" w:line="360" w:lineRule="auto"/>
              <w:ind w:right="0" w:firstLine="480" w:firstLineChars="200"/>
              <w:textAlignment w:val="auto"/>
              <w:rPr>
                <w:rFonts w:hint="eastAsia"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rPr>
              <w:t>④贮存设施或贮存分区内地面、墙面裙脚、堵截泄漏的围堰、接触危险废物的隔板和墙体等应采用坚固的材料建造，表面无裂缝</w:t>
            </w:r>
            <w:r>
              <w:rPr>
                <w:rFonts w:hint="eastAsia" w:ascii="Times New Roman" w:hAnsi="Times New Roman" w:eastAsia="宋体" w:cs="Times New Roman"/>
                <w:color w:val="auto"/>
                <w:sz w:val="24"/>
                <w:szCs w:val="24"/>
                <w:lang w:eastAsia="zh-CN"/>
              </w:rPr>
              <w:t>；</w:t>
            </w:r>
          </w:p>
          <w:p w14:paraId="13BD6B84">
            <w:pPr>
              <w:pStyle w:val="9"/>
              <w:keepNext w:val="0"/>
              <w:keepLines w:val="0"/>
              <w:pageBreakBefore w:val="0"/>
              <w:kinsoku/>
              <w:wordWrap/>
              <w:overflowPunct/>
              <w:topLinePunct w:val="0"/>
              <w:autoSpaceDE/>
              <w:autoSpaceDN/>
              <w:bidi w:val="0"/>
              <w:adjustRightInd/>
              <w:snapToGrid/>
              <w:spacing w:before="0" w:after="0" w:line="360" w:lineRule="auto"/>
              <w:ind w:right="0" w:firstLine="480" w:firstLineChars="200"/>
              <w:textAlignment w:val="auto"/>
              <w:rPr>
                <w:rFonts w:hint="eastAsia"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rPr>
              <w:t>⑤贮存设施地面与裙脚应采取表面防渗措施</w:t>
            </w: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rPr>
              <w:t>表面防渗材料应与所接触的物料或污染物相容，可采用抗渗混凝土、高密度聚乙烯膜、钠基膨润土防水毯或其他防渗性能等效的材料。贮存的危险废物直接接触地面的，还应进行基础防渗，防渗层为至少1m厚黏土层</w:t>
            </w: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rPr>
              <w:t>渗透系数不大于10</w:t>
            </w:r>
            <w:r>
              <w:rPr>
                <w:rFonts w:hint="eastAsia" w:ascii="Times New Roman" w:hAnsi="Times New Roman" w:eastAsia="宋体" w:cs="Times New Roman"/>
                <w:color w:val="auto"/>
                <w:sz w:val="24"/>
                <w:szCs w:val="24"/>
                <w:vertAlign w:val="superscript"/>
              </w:rPr>
              <w:t>-7</w:t>
            </w:r>
            <w:r>
              <w:rPr>
                <w:rFonts w:hint="eastAsia" w:ascii="Times New Roman" w:hAnsi="Times New Roman" w:eastAsia="宋体" w:cs="Times New Roman"/>
                <w:color w:val="auto"/>
                <w:sz w:val="24"/>
                <w:szCs w:val="24"/>
              </w:rPr>
              <w:t>cm/s</w:t>
            </w: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rPr>
              <w:t>，或至少2mm厚高密度聚乙烯膜等人工防渗材料</w:t>
            </w: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rPr>
              <w:t>渗透系数不大于10</w:t>
            </w:r>
            <w:r>
              <w:rPr>
                <w:rFonts w:hint="eastAsia" w:ascii="Times New Roman" w:hAnsi="Times New Roman" w:eastAsia="宋体" w:cs="Times New Roman"/>
                <w:color w:val="auto"/>
                <w:sz w:val="24"/>
                <w:szCs w:val="24"/>
                <w:vertAlign w:val="superscript"/>
              </w:rPr>
              <w:t>-10</w:t>
            </w:r>
            <w:r>
              <w:rPr>
                <w:rFonts w:hint="eastAsia" w:ascii="Times New Roman" w:hAnsi="Times New Roman" w:eastAsia="宋体" w:cs="Times New Roman"/>
                <w:color w:val="auto"/>
                <w:sz w:val="24"/>
                <w:szCs w:val="24"/>
              </w:rPr>
              <w:t>cm/s</w:t>
            </w: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rPr>
              <w:t>，或其他防渗性能等效的材料</w:t>
            </w:r>
            <w:r>
              <w:rPr>
                <w:rFonts w:hint="eastAsia" w:ascii="Times New Roman" w:hAnsi="Times New Roman" w:eastAsia="宋体" w:cs="Times New Roman"/>
                <w:color w:val="auto"/>
                <w:sz w:val="24"/>
                <w:szCs w:val="24"/>
                <w:lang w:eastAsia="zh-CN"/>
              </w:rPr>
              <w:t>；</w:t>
            </w:r>
          </w:p>
          <w:p w14:paraId="155890CE">
            <w:pPr>
              <w:pStyle w:val="9"/>
              <w:keepNext w:val="0"/>
              <w:keepLines w:val="0"/>
              <w:pageBreakBefore w:val="0"/>
              <w:kinsoku/>
              <w:wordWrap/>
              <w:overflowPunct/>
              <w:topLinePunct w:val="0"/>
              <w:autoSpaceDE/>
              <w:autoSpaceDN/>
              <w:bidi w:val="0"/>
              <w:adjustRightInd/>
              <w:snapToGrid/>
              <w:spacing w:before="0" w:after="0" w:line="360" w:lineRule="auto"/>
              <w:ind w:right="0" w:firstLine="480" w:firstLineChars="200"/>
              <w:textAlignment w:val="auto"/>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⑥同一贮存设施宜采用相同的防渗、防腐工艺</w:t>
            </w: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rPr>
              <w:t>包括防渗、防腐结构或材料</w:t>
            </w: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rPr>
              <w:t>，防渗、防腐材料应覆盖所有可能与废物及其渗滤液、渗漏液等接触的构筑物表面</w:t>
            </w: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rPr>
              <w:t>采用不同防渗、防腐工艺应分别建设贮存分区。</w:t>
            </w:r>
          </w:p>
          <w:p w14:paraId="5E10CBFB">
            <w:pPr>
              <w:pStyle w:val="9"/>
              <w:keepNext w:val="0"/>
              <w:keepLines w:val="0"/>
              <w:pageBreakBefore w:val="0"/>
              <w:kinsoku/>
              <w:wordWrap/>
              <w:overflowPunct/>
              <w:topLinePunct w:val="0"/>
              <w:autoSpaceDE/>
              <w:autoSpaceDN/>
              <w:bidi w:val="0"/>
              <w:adjustRightInd/>
              <w:snapToGrid/>
              <w:spacing w:before="0" w:after="0" w:line="360" w:lineRule="auto"/>
              <w:ind w:right="0" w:firstLine="480" w:firstLineChars="200"/>
              <w:textAlignment w:val="auto"/>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贮存点环境管理要求：</w:t>
            </w:r>
          </w:p>
          <w:p w14:paraId="5491076D">
            <w:pPr>
              <w:pStyle w:val="9"/>
              <w:keepNext w:val="0"/>
              <w:keepLines w:val="0"/>
              <w:pageBreakBefore w:val="0"/>
              <w:kinsoku/>
              <w:wordWrap/>
              <w:overflowPunct/>
              <w:topLinePunct w:val="0"/>
              <w:autoSpaceDE/>
              <w:autoSpaceDN/>
              <w:bidi w:val="0"/>
              <w:adjustRightInd/>
              <w:snapToGrid/>
              <w:spacing w:before="0" w:after="0" w:line="360" w:lineRule="auto"/>
              <w:ind w:right="0" w:firstLine="480" w:firstLineChars="200"/>
              <w:textAlignment w:val="auto"/>
              <w:rPr>
                <w:rFonts w:hint="eastAsia"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rPr>
              <w:t>①贮存点应具有固定的区域边界，并应采取与其他区域进行隔离的措施</w:t>
            </w:r>
            <w:r>
              <w:rPr>
                <w:rFonts w:hint="eastAsia" w:ascii="Times New Roman" w:hAnsi="Times New Roman" w:eastAsia="宋体" w:cs="Times New Roman"/>
                <w:color w:val="auto"/>
                <w:sz w:val="24"/>
                <w:szCs w:val="24"/>
                <w:lang w:eastAsia="zh-CN"/>
              </w:rPr>
              <w:t>；</w:t>
            </w:r>
          </w:p>
          <w:p w14:paraId="60972E02">
            <w:pPr>
              <w:pStyle w:val="9"/>
              <w:keepNext w:val="0"/>
              <w:keepLines w:val="0"/>
              <w:pageBreakBefore w:val="0"/>
              <w:kinsoku/>
              <w:wordWrap/>
              <w:overflowPunct/>
              <w:topLinePunct w:val="0"/>
              <w:autoSpaceDE/>
              <w:autoSpaceDN/>
              <w:bidi w:val="0"/>
              <w:adjustRightInd/>
              <w:snapToGrid/>
              <w:spacing w:before="0" w:after="0" w:line="360" w:lineRule="auto"/>
              <w:ind w:right="0" w:firstLine="480" w:firstLineChars="200"/>
              <w:textAlignment w:val="auto"/>
              <w:rPr>
                <w:rFonts w:hint="eastAsia"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rPr>
              <w:t>②贮存点应采取防风、防雨、防晒和防止危险废物流失、扬散等措施</w:t>
            </w:r>
            <w:r>
              <w:rPr>
                <w:rFonts w:hint="eastAsia" w:ascii="Times New Roman" w:hAnsi="Times New Roman" w:eastAsia="宋体" w:cs="Times New Roman"/>
                <w:color w:val="auto"/>
                <w:sz w:val="24"/>
                <w:szCs w:val="24"/>
                <w:lang w:eastAsia="zh-CN"/>
              </w:rPr>
              <w:t>；</w:t>
            </w:r>
          </w:p>
          <w:p w14:paraId="3B59013D">
            <w:pPr>
              <w:pStyle w:val="9"/>
              <w:keepNext w:val="0"/>
              <w:keepLines w:val="0"/>
              <w:pageBreakBefore w:val="0"/>
              <w:kinsoku/>
              <w:wordWrap/>
              <w:overflowPunct/>
              <w:topLinePunct w:val="0"/>
              <w:autoSpaceDE/>
              <w:autoSpaceDN/>
              <w:bidi w:val="0"/>
              <w:adjustRightInd/>
              <w:snapToGrid/>
              <w:spacing w:before="0" w:after="0" w:line="360" w:lineRule="auto"/>
              <w:ind w:right="0" w:firstLine="480" w:firstLineChars="200"/>
              <w:textAlignment w:val="auto"/>
              <w:rPr>
                <w:rFonts w:hint="eastAsia"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rPr>
              <w:t>③贮存点贮存的危险废物应置于容器或包装物中，不应直接散堆</w:t>
            </w:r>
            <w:r>
              <w:rPr>
                <w:rFonts w:hint="eastAsia" w:ascii="Times New Roman" w:hAnsi="Times New Roman" w:eastAsia="宋体" w:cs="Times New Roman"/>
                <w:color w:val="auto"/>
                <w:sz w:val="24"/>
                <w:szCs w:val="24"/>
                <w:lang w:eastAsia="zh-CN"/>
              </w:rPr>
              <w:t>；</w:t>
            </w:r>
          </w:p>
          <w:p w14:paraId="7843D76F">
            <w:pPr>
              <w:pStyle w:val="9"/>
              <w:keepNext w:val="0"/>
              <w:keepLines w:val="0"/>
              <w:pageBreakBefore w:val="0"/>
              <w:kinsoku/>
              <w:wordWrap/>
              <w:overflowPunct/>
              <w:topLinePunct w:val="0"/>
              <w:autoSpaceDE/>
              <w:autoSpaceDN/>
              <w:bidi w:val="0"/>
              <w:adjustRightInd/>
              <w:snapToGrid/>
              <w:spacing w:before="0" w:after="0" w:line="360" w:lineRule="auto"/>
              <w:ind w:right="0" w:firstLine="480" w:firstLineChars="200"/>
              <w:textAlignment w:val="auto"/>
              <w:rPr>
                <w:rFonts w:hint="eastAsia"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rPr>
              <w:t>④贮存点应根据危险废物的形态、物理化学性质、包装形式等，采取防渗、防漏等污染防治措施或采用具有相应功能的装置</w:t>
            </w:r>
            <w:r>
              <w:rPr>
                <w:rFonts w:hint="eastAsia" w:ascii="Times New Roman" w:hAnsi="Times New Roman" w:eastAsia="宋体" w:cs="Times New Roman"/>
                <w:color w:val="auto"/>
                <w:sz w:val="24"/>
                <w:szCs w:val="24"/>
                <w:lang w:eastAsia="zh-CN"/>
              </w:rPr>
              <w:t>；</w:t>
            </w:r>
          </w:p>
          <w:p w14:paraId="4A7FDEC8">
            <w:pPr>
              <w:pStyle w:val="9"/>
              <w:keepNext w:val="0"/>
              <w:keepLines w:val="0"/>
              <w:pageBreakBefore w:val="0"/>
              <w:kinsoku/>
              <w:wordWrap/>
              <w:overflowPunct/>
              <w:topLinePunct w:val="0"/>
              <w:autoSpaceDE/>
              <w:autoSpaceDN/>
              <w:bidi w:val="0"/>
              <w:adjustRightInd/>
              <w:snapToGrid/>
              <w:spacing w:before="0" w:after="0" w:line="360" w:lineRule="auto"/>
              <w:ind w:right="0" w:firstLine="480" w:firstLineChars="200"/>
              <w:textAlignment w:val="auto"/>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⑤贮存点应及时清运贮存的危险废物，</w:t>
            </w:r>
            <w:r>
              <w:rPr>
                <w:rFonts w:hint="eastAsia" w:ascii="Times New Roman" w:hAnsi="Times New Roman" w:eastAsia="宋体" w:cs="Times New Roman"/>
                <w:color w:val="auto"/>
                <w:sz w:val="24"/>
                <w:szCs w:val="24"/>
                <w:lang w:eastAsia="zh-CN"/>
              </w:rPr>
              <w:t>实时</w:t>
            </w:r>
            <w:r>
              <w:rPr>
                <w:rFonts w:hint="eastAsia" w:ascii="Times New Roman" w:hAnsi="Times New Roman" w:eastAsia="宋体" w:cs="Times New Roman"/>
                <w:color w:val="auto"/>
                <w:sz w:val="24"/>
                <w:szCs w:val="24"/>
              </w:rPr>
              <w:t>贮存量不应超过3吨。</w:t>
            </w:r>
          </w:p>
          <w:p w14:paraId="315E3E9B">
            <w:pPr>
              <w:pStyle w:val="9"/>
              <w:keepNext w:val="0"/>
              <w:keepLines w:val="0"/>
              <w:pageBreakBefore w:val="0"/>
              <w:kinsoku/>
              <w:wordWrap/>
              <w:overflowPunct/>
              <w:topLinePunct w:val="0"/>
              <w:autoSpaceDE/>
              <w:autoSpaceDN/>
              <w:bidi w:val="0"/>
              <w:adjustRightInd/>
              <w:snapToGrid/>
              <w:spacing w:before="0" w:after="0" w:line="360" w:lineRule="auto"/>
              <w:ind w:right="0" w:firstLine="480" w:firstLineChars="200"/>
              <w:textAlignment w:val="auto"/>
              <w:rPr>
                <w:rFonts w:hint="eastAsia"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rPr>
              <w:t>贮存设施运行环境管理要求</w:t>
            </w:r>
            <w:r>
              <w:rPr>
                <w:rFonts w:hint="eastAsia" w:ascii="Times New Roman" w:hAnsi="Times New Roman" w:eastAsia="宋体" w:cs="Times New Roman"/>
                <w:color w:val="auto"/>
                <w:sz w:val="24"/>
                <w:szCs w:val="24"/>
                <w:lang w:eastAsia="zh-CN"/>
              </w:rPr>
              <w:t>：</w:t>
            </w:r>
          </w:p>
          <w:p w14:paraId="047E16AC">
            <w:pPr>
              <w:pStyle w:val="9"/>
              <w:keepNext w:val="0"/>
              <w:keepLines w:val="0"/>
              <w:pageBreakBefore w:val="0"/>
              <w:kinsoku/>
              <w:wordWrap/>
              <w:overflowPunct/>
              <w:topLinePunct w:val="0"/>
              <w:autoSpaceDE/>
              <w:autoSpaceDN/>
              <w:bidi w:val="0"/>
              <w:adjustRightInd/>
              <w:snapToGrid/>
              <w:spacing w:before="0" w:after="0" w:line="360" w:lineRule="auto"/>
              <w:ind w:right="0" w:firstLine="480" w:firstLineChars="200"/>
              <w:textAlignment w:val="auto"/>
              <w:rPr>
                <w:rFonts w:hint="eastAsia"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rPr>
              <w:t>①危险废物存入贮存设施前应对危险废物类别和特性与危险废物标签等危险废物识别标志的一致性进行核验，不一致的或类别、特性不明的不应存入</w:t>
            </w:r>
            <w:r>
              <w:rPr>
                <w:rFonts w:hint="eastAsia" w:ascii="Times New Roman" w:hAnsi="Times New Roman" w:eastAsia="宋体" w:cs="Times New Roman"/>
                <w:color w:val="auto"/>
                <w:sz w:val="24"/>
                <w:szCs w:val="24"/>
                <w:lang w:eastAsia="zh-CN"/>
              </w:rPr>
              <w:t>；</w:t>
            </w:r>
          </w:p>
          <w:p w14:paraId="2DFBAEA9">
            <w:pPr>
              <w:pStyle w:val="9"/>
              <w:keepNext w:val="0"/>
              <w:keepLines w:val="0"/>
              <w:pageBreakBefore w:val="0"/>
              <w:kinsoku/>
              <w:wordWrap/>
              <w:overflowPunct/>
              <w:topLinePunct w:val="0"/>
              <w:autoSpaceDE/>
              <w:autoSpaceDN/>
              <w:bidi w:val="0"/>
              <w:adjustRightInd/>
              <w:snapToGrid/>
              <w:spacing w:before="0" w:after="0" w:line="360" w:lineRule="auto"/>
              <w:ind w:right="0" w:firstLine="480" w:firstLineChars="200"/>
              <w:textAlignment w:val="auto"/>
              <w:rPr>
                <w:rFonts w:hint="eastAsia"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rPr>
              <w:t>②应定期检查危险废物的贮存状况，及时清理贮存设施地面，更换破损泄漏的危险废物贮存容器和包装物，保证堆存危险废物的防雨、防风、防扬尘等设施功能完好</w:t>
            </w:r>
            <w:r>
              <w:rPr>
                <w:rFonts w:hint="eastAsia" w:ascii="Times New Roman" w:hAnsi="Times New Roman" w:eastAsia="宋体" w:cs="Times New Roman"/>
                <w:color w:val="auto"/>
                <w:sz w:val="24"/>
                <w:szCs w:val="24"/>
                <w:lang w:eastAsia="zh-CN"/>
              </w:rPr>
              <w:t>；</w:t>
            </w:r>
          </w:p>
          <w:p w14:paraId="50B12F36">
            <w:pPr>
              <w:pStyle w:val="9"/>
              <w:keepNext w:val="0"/>
              <w:keepLines w:val="0"/>
              <w:pageBreakBefore w:val="0"/>
              <w:kinsoku/>
              <w:wordWrap/>
              <w:overflowPunct/>
              <w:topLinePunct w:val="0"/>
              <w:autoSpaceDE/>
              <w:autoSpaceDN/>
              <w:bidi w:val="0"/>
              <w:adjustRightInd/>
              <w:snapToGrid/>
              <w:spacing w:before="0" w:after="0" w:line="360" w:lineRule="auto"/>
              <w:ind w:right="0" w:firstLine="480" w:firstLineChars="200"/>
              <w:textAlignment w:val="auto"/>
              <w:rPr>
                <w:rFonts w:hint="eastAsia"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rPr>
              <w:t>③作业设备及车辆等结束作业离开贮存设施时，应对其残留的危险废物进行清理，清理的废物或清洗废水应收集处理</w:t>
            </w:r>
            <w:r>
              <w:rPr>
                <w:rFonts w:hint="eastAsia" w:ascii="Times New Roman" w:hAnsi="Times New Roman" w:eastAsia="宋体" w:cs="Times New Roman"/>
                <w:color w:val="auto"/>
                <w:sz w:val="24"/>
                <w:szCs w:val="24"/>
                <w:lang w:eastAsia="zh-CN"/>
              </w:rPr>
              <w:t>；</w:t>
            </w:r>
          </w:p>
          <w:p w14:paraId="286707F5">
            <w:pPr>
              <w:pStyle w:val="9"/>
              <w:keepNext w:val="0"/>
              <w:keepLines w:val="0"/>
              <w:pageBreakBefore w:val="0"/>
              <w:kinsoku/>
              <w:wordWrap/>
              <w:overflowPunct/>
              <w:topLinePunct w:val="0"/>
              <w:autoSpaceDE/>
              <w:autoSpaceDN/>
              <w:bidi w:val="0"/>
              <w:adjustRightInd/>
              <w:snapToGrid/>
              <w:spacing w:before="0" w:after="0" w:line="360" w:lineRule="auto"/>
              <w:ind w:right="0" w:firstLine="480" w:firstLineChars="200"/>
              <w:textAlignment w:val="auto"/>
              <w:rPr>
                <w:rFonts w:hint="eastAsia"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rPr>
              <w:t>④贮存设施运行期间，应按国家有关标准和规定建立危险废物管理台账并保存</w:t>
            </w:r>
            <w:r>
              <w:rPr>
                <w:rFonts w:hint="eastAsia" w:ascii="Times New Roman" w:hAnsi="Times New Roman" w:eastAsia="宋体" w:cs="Times New Roman"/>
                <w:color w:val="auto"/>
                <w:sz w:val="24"/>
                <w:szCs w:val="24"/>
                <w:lang w:eastAsia="zh-CN"/>
              </w:rPr>
              <w:t>；</w:t>
            </w:r>
          </w:p>
          <w:p w14:paraId="746E262E">
            <w:pPr>
              <w:pStyle w:val="9"/>
              <w:keepNext w:val="0"/>
              <w:keepLines w:val="0"/>
              <w:pageBreakBefore w:val="0"/>
              <w:kinsoku/>
              <w:wordWrap/>
              <w:overflowPunct/>
              <w:topLinePunct w:val="0"/>
              <w:autoSpaceDE/>
              <w:autoSpaceDN/>
              <w:bidi w:val="0"/>
              <w:adjustRightInd/>
              <w:snapToGrid/>
              <w:spacing w:before="0" w:after="0" w:line="360" w:lineRule="auto"/>
              <w:ind w:right="0" w:firstLine="480" w:firstLineChars="200"/>
              <w:textAlignment w:val="auto"/>
              <w:rPr>
                <w:rFonts w:hint="eastAsia"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rPr>
              <w:t>⑤贮存设施所有者或运营者应建立贮存设施环境管理制度、管理人员岗位职责制度、设施运行操作制度、人员岗位培训制度等</w:t>
            </w:r>
            <w:r>
              <w:rPr>
                <w:rFonts w:hint="eastAsia" w:ascii="Times New Roman" w:hAnsi="Times New Roman" w:eastAsia="宋体" w:cs="Times New Roman"/>
                <w:color w:val="auto"/>
                <w:sz w:val="24"/>
                <w:szCs w:val="24"/>
                <w:lang w:eastAsia="zh-CN"/>
              </w:rPr>
              <w:t>；</w:t>
            </w:r>
          </w:p>
          <w:p w14:paraId="0E443085">
            <w:pPr>
              <w:pStyle w:val="9"/>
              <w:keepNext w:val="0"/>
              <w:keepLines w:val="0"/>
              <w:pageBreakBefore w:val="0"/>
              <w:kinsoku/>
              <w:wordWrap/>
              <w:overflowPunct/>
              <w:topLinePunct w:val="0"/>
              <w:autoSpaceDE/>
              <w:autoSpaceDN/>
              <w:bidi w:val="0"/>
              <w:adjustRightInd/>
              <w:snapToGrid/>
              <w:spacing w:before="0" w:after="0" w:line="360" w:lineRule="auto"/>
              <w:ind w:right="0" w:firstLine="480" w:firstLineChars="200"/>
              <w:textAlignment w:val="auto"/>
              <w:rPr>
                <w:rFonts w:hint="eastAsia"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rPr>
              <w:t>⑥贮存设施所有者或运营者应依据国家土壤和地下水污染防治的有关规定，结合贮存设施特点建立土壤和地下水污染隐患排查制度，并定期开展隐患排查</w:t>
            </w: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rPr>
              <w:t>发现隐患应及时采取措施消除隐患，并建立档案</w:t>
            </w:r>
            <w:r>
              <w:rPr>
                <w:rFonts w:hint="eastAsia" w:ascii="Times New Roman" w:hAnsi="Times New Roman" w:eastAsia="宋体" w:cs="Times New Roman"/>
                <w:color w:val="auto"/>
                <w:sz w:val="24"/>
                <w:szCs w:val="24"/>
                <w:lang w:eastAsia="zh-CN"/>
              </w:rPr>
              <w:t>；</w:t>
            </w:r>
          </w:p>
          <w:p w14:paraId="4B7FAED0">
            <w:pPr>
              <w:pStyle w:val="9"/>
              <w:keepNext w:val="0"/>
              <w:keepLines w:val="0"/>
              <w:pageBreakBefore w:val="0"/>
              <w:kinsoku/>
              <w:wordWrap/>
              <w:overflowPunct/>
              <w:topLinePunct w:val="0"/>
              <w:autoSpaceDE/>
              <w:autoSpaceDN/>
              <w:bidi w:val="0"/>
              <w:adjustRightInd/>
              <w:snapToGrid/>
              <w:spacing w:before="0" w:after="0" w:line="360" w:lineRule="auto"/>
              <w:ind w:right="0" w:firstLine="480" w:firstLineChars="200"/>
              <w:textAlignment w:val="auto"/>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⑦贮存设施所有者或运营者应建立贮存设施全部档案，包括设计、施工、验收、运行、监测和环境应急等，应按国家有关档案管理的法律法规进行整理和归档。</w:t>
            </w:r>
          </w:p>
          <w:p w14:paraId="66949201">
            <w:pPr>
              <w:pStyle w:val="9"/>
              <w:keepNext w:val="0"/>
              <w:keepLines w:val="0"/>
              <w:pageBreakBefore w:val="0"/>
              <w:kinsoku/>
              <w:wordWrap/>
              <w:overflowPunct/>
              <w:topLinePunct w:val="0"/>
              <w:autoSpaceDE/>
              <w:autoSpaceDN/>
              <w:bidi w:val="0"/>
              <w:adjustRightInd/>
              <w:snapToGrid/>
              <w:spacing w:before="0" w:after="0" w:line="360" w:lineRule="auto"/>
              <w:ind w:right="0" w:firstLine="480" w:firstLineChars="200"/>
              <w:textAlignment w:val="auto"/>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同时，建设单位应按照</w:t>
            </w:r>
            <w:r>
              <w:rPr>
                <w:rFonts w:hint="eastAsia" w:ascii="Times New Roman" w:hAnsi="Times New Roman" w:eastAsia="宋体" w:cs="Times New Roman"/>
                <w:color w:val="auto"/>
                <w:sz w:val="24"/>
                <w:szCs w:val="24"/>
              </w:rPr>
              <w:t>《危险废物转移管理办法》</w:t>
            </w: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rPr>
              <w:t>部令第23号</w:t>
            </w: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rPr>
              <w:t>要求，做好危险废物的转移、运输工作。</w:t>
            </w:r>
          </w:p>
          <w:p w14:paraId="5B53790E">
            <w:pPr>
              <w:widowControl/>
              <w:spacing w:line="360" w:lineRule="auto"/>
              <w:ind w:firstLine="480" w:firstLineChars="200"/>
              <w:jc w:val="left"/>
              <w:rPr>
                <w:rFonts w:hint="eastAsia" w:ascii="Times New Roman" w:hAnsi="Times New Roman" w:eastAsia="宋体" w:cs="Times New Roman"/>
                <w:color w:val="auto"/>
                <w:sz w:val="24"/>
                <w:szCs w:val="24"/>
                <w:lang w:val="en-US" w:eastAsia="zh-CN"/>
              </w:rPr>
            </w:pPr>
            <w:r>
              <w:rPr>
                <w:rFonts w:hint="default" w:ascii="Times New Roman" w:hAnsi="Times New Roman" w:eastAsia="宋体" w:cs="Times New Roman"/>
                <w:bCs/>
                <w:color w:val="auto"/>
                <w:sz w:val="24"/>
                <w:szCs w:val="24"/>
                <w:highlight w:val="none"/>
              </w:rPr>
              <w:t>根据《危险废物管理计划和管理台账制定技术导则》（HJ1259-2022）分类管理要求：本项目危险废物年产生量</w:t>
            </w:r>
            <w:r>
              <w:rPr>
                <w:rFonts w:hint="default" w:ascii="Times New Roman" w:hAnsi="Times New Roman" w:eastAsia="宋体" w:cs="Times New Roman"/>
                <w:b w:val="0"/>
                <w:bCs/>
                <w:color w:val="auto"/>
                <w:sz w:val="24"/>
                <w:szCs w:val="24"/>
                <w:highlight w:val="none"/>
              </w:rPr>
              <w:t>小10t且未纳入危险废物环境重点监管单位的单位，属于危险废物</w:t>
            </w:r>
            <w:r>
              <w:rPr>
                <w:rFonts w:hint="default" w:ascii="Times New Roman" w:hAnsi="Times New Roman" w:eastAsia="宋体" w:cs="Times New Roman"/>
                <w:b w:val="0"/>
                <w:bCs/>
                <w:color w:val="auto"/>
                <w:sz w:val="24"/>
                <w:szCs w:val="24"/>
                <w:highlight w:val="none"/>
                <w:lang w:val="en-US" w:eastAsia="zh-CN"/>
              </w:rPr>
              <w:t>登记</w:t>
            </w:r>
            <w:r>
              <w:rPr>
                <w:rFonts w:hint="default" w:ascii="Times New Roman" w:hAnsi="Times New Roman" w:eastAsia="宋体" w:cs="Times New Roman"/>
                <w:b w:val="0"/>
                <w:bCs/>
                <w:color w:val="auto"/>
                <w:sz w:val="24"/>
                <w:szCs w:val="24"/>
                <w:highlight w:val="none"/>
              </w:rPr>
              <w:t>管理的单位，</w:t>
            </w:r>
            <w:r>
              <w:rPr>
                <w:rFonts w:hint="eastAsia" w:ascii="Times New Roman" w:hAnsi="Times New Roman" w:eastAsia="宋体" w:cs="Times New Roman"/>
                <w:b w:val="0"/>
                <w:bCs/>
                <w:color w:val="auto"/>
                <w:sz w:val="24"/>
                <w:szCs w:val="24"/>
                <w:highlight w:val="none"/>
                <w:lang w:eastAsia="zh-CN"/>
              </w:rPr>
              <w:t>最大</w:t>
            </w:r>
            <w:r>
              <w:rPr>
                <w:rFonts w:hint="eastAsia" w:ascii="Times New Roman" w:hAnsi="Times New Roman" w:eastAsia="宋体" w:cs="Times New Roman"/>
                <w:color w:val="auto"/>
                <w:sz w:val="24"/>
                <w:szCs w:val="24"/>
                <w:lang w:eastAsia="zh-CN"/>
              </w:rPr>
              <w:t>实时</w:t>
            </w:r>
            <w:r>
              <w:rPr>
                <w:rFonts w:hint="eastAsia" w:ascii="Times New Roman" w:hAnsi="Times New Roman" w:eastAsia="宋体" w:cs="Times New Roman"/>
                <w:color w:val="auto"/>
                <w:sz w:val="24"/>
                <w:szCs w:val="24"/>
              </w:rPr>
              <w:t>贮存量</w:t>
            </w:r>
            <w:r>
              <w:rPr>
                <w:rFonts w:hint="eastAsia" w:ascii="Times New Roman" w:hAnsi="Times New Roman" w:eastAsia="宋体" w:cs="Times New Roman"/>
                <w:color w:val="auto"/>
                <w:sz w:val="24"/>
                <w:szCs w:val="24"/>
                <w:lang w:eastAsia="zh-CN"/>
              </w:rPr>
              <w:t>不</w:t>
            </w:r>
            <w:r>
              <w:rPr>
                <w:rFonts w:hint="eastAsia" w:ascii="Times New Roman" w:hAnsi="Times New Roman" w:eastAsia="宋体" w:cs="Times New Roman"/>
                <w:color w:val="auto"/>
                <w:sz w:val="24"/>
                <w:szCs w:val="24"/>
              </w:rPr>
              <w:t>超过3吨</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b w:val="0"/>
                <w:bCs/>
                <w:color w:val="auto"/>
                <w:sz w:val="24"/>
                <w:szCs w:val="24"/>
                <w:highlight w:val="none"/>
              </w:rPr>
              <w:t>应设置危险废物贮存</w:t>
            </w:r>
            <w:r>
              <w:rPr>
                <w:rFonts w:hint="eastAsia" w:ascii="Times New Roman" w:hAnsi="Times New Roman" w:eastAsia="宋体" w:cs="Times New Roman"/>
                <w:b w:val="0"/>
                <w:bCs/>
                <w:color w:val="auto"/>
                <w:sz w:val="24"/>
                <w:szCs w:val="24"/>
                <w:highlight w:val="none"/>
                <w:lang w:eastAsia="zh-CN"/>
              </w:rPr>
              <w:t>点</w:t>
            </w:r>
            <w:r>
              <w:rPr>
                <w:rFonts w:hint="default" w:ascii="Times New Roman" w:hAnsi="Times New Roman" w:eastAsia="宋体" w:cs="Times New Roman"/>
                <w:b w:val="0"/>
                <w:bCs/>
                <w:color w:val="auto"/>
                <w:sz w:val="24"/>
                <w:szCs w:val="24"/>
                <w:highlight w:val="none"/>
              </w:rPr>
              <w:t>，并应严格按照《危险废物贮存污染控制标准》（GB18597-2023）中贮存</w:t>
            </w:r>
            <w:r>
              <w:rPr>
                <w:rFonts w:hint="eastAsia" w:ascii="Times New Roman" w:hAnsi="Times New Roman" w:eastAsia="宋体" w:cs="Times New Roman"/>
                <w:b w:val="0"/>
                <w:bCs/>
                <w:color w:val="auto"/>
                <w:sz w:val="24"/>
                <w:szCs w:val="24"/>
                <w:highlight w:val="none"/>
                <w:lang w:eastAsia="zh-CN"/>
              </w:rPr>
              <w:t>点</w:t>
            </w:r>
            <w:r>
              <w:rPr>
                <w:rFonts w:hint="default" w:ascii="Times New Roman" w:hAnsi="Times New Roman" w:eastAsia="宋体" w:cs="Times New Roman"/>
                <w:b w:val="0"/>
                <w:bCs/>
                <w:color w:val="auto"/>
                <w:sz w:val="24"/>
                <w:szCs w:val="24"/>
                <w:highlight w:val="none"/>
              </w:rPr>
              <w:t>的要求建设</w:t>
            </w:r>
            <w:r>
              <w:rPr>
                <w:rFonts w:hint="default" w:ascii="Times New Roman" w:hAnsi="Times New Roman" w:eastAsia="宋体" w:cs="Times New Roman"/>
                <w:b w:val="0"/>
                <w:bCs/>
                <w:color w:val="auto"/>
                <w:sz w:val="24"/>
                <w:szCs w:val="24"/>
                <w:highlight w:val="none"/>
                <w:lang w:eastAsia="zh-CN"/>
              </w:rPr>
              <w:t>。</w:t>
            </w:r>
          </w:p>
          <w:p w14:paraId="74D3D4FD">
            <w:pPr>
              <w:ind w:firstLine="480" w:firstLineChars="200"/>
              <w:rPr>
                <w:color w:val="auto"/>
                <w:highlight w:val="none"/>
              </w:rPr>
            </w:pPr>
            <w:r>
              <w:rPr>
                <w:rFonts w:hint="eastAsia"/>
                <w:color w:val="auto"/>
                <w:sz w:val="24"/>
                <w:highlight w:val="none"/>
              </w:rPr>
              <w:t>本项目在采取有效的措施后从根本上防止了固体废物的污染，因此本项目生产过</w:t>
            </w:r>
            <w:r>
              <w:rPr>
                <w:rFonts w:hint="eastAsia"/>
                <w:color w:val="auto"/>
                <w:sz w:val="24"/>
                <w:highlight w:val="none"/>
                <w:lang w:eastAsia="zh-CN"/>
              </w:rPr>
              <w:t>程中</w:t>
            </w:r>
            <w:r>
              <w:rPr>
                <w:rFonts w:hint="eastAsia"/>
                <w:color w:val="auto"/>
                <w:sz w:val="24"/>
                <w:highlight w:val="none"/>
              </w:rPr>
              <w:t>排放的固体废物对周围环境影响很小</w:t>
            </w:r>
            <w:r>
              <w:rPr>
                <w:rFonts w:hint="eastAsia" w:ascii="Times New Roman" w:hAnsi="Times New Roman" w:eastAsia="宋体" w:cs="Times New Roman"/>
                <w:color w:val="auto"/>
                <w:sz w:val="24"/>
                <w:szCs w:val="24"/>
                <w:lang w:val="en-US" w:eastAsia="zh-CN"/>
              </w:rPr>
              <w:t>。</w:t>
            </w:r>
          </w:p>
          <w:p w14:paraId="273CA85C">
            <w:pPr>
              <w:rPr>
                <w:b/>
                <w:bCs/>
                <w:color w:val="auto"/>
                <w:sz w:val="24"/>
                <w:highlight w:val="none"/>
              </w:rPr>
            </w:pPr>
            <w:r>
              <w:rPr>
                <w:b/>
                <w:bCs/>
                <w:color w:val="auto"/>
                <w:sz w:val="24"/>
                <w:highlight w:val="none"/>
              </w:rPr>
              <w:t>5、地下水、土壤环境</w:t>
            </w:r>
          </w:p>
          <w:p w14:paraId="0826A3A2">
            <w:pPr>
              <w:keepNext w:val="0"/>
              <w:keepLines w:val="0"/>
              <w:pageBreakBefore w:val="0"/>
              <w:widowControl/>
              <w:suppressLineNumbers w:val="0"/>
              <w:kinsoku/>
              <w:wordWrap/>
              <w:overflowPunct/>
              <w:topLinePunct w:val="0"/>
              <w:autoSpaceDE/>
              <w:autoSpaceDN/>
              <w:bidi w:val="0"/>
              <w:adjustRightInd/>
              <w:snapToGrid/>
              <w:ind w:firstLine="480" w:firstLineChars="200"/>
              <w:jc w:val="left"/>
              <w:textAlignment w:val="auto"/>
              <w:rPr>
                <w:color w:val="auto"/>
              </w:rPr>
            </w:pPr>
            <w:r>
              <w:rPr>
                <w:rFonts w:hint="default" w:ascii="Times New Roman" w:hAnsi="Times New Roman" w:eastAsia="宋体" w:cs="Times New Roman"/>
                <w:color w:val="auto"/>
                <w:kern w:val="0"/>
                <w:sz w:val="24"/>
                <w:szCs w:val="24"/>
                <w:lang w:val="en-US" w:eastAsia="zh-CN" w:bidi="ar"/>
              </w:rPr>
              <w:t>按照《建设项目环境影响报告表编制技术指南（试行）》（污染影响类，2021.4.1）的要求，本次评价对土壤、地下水开展以下分析。</w:t>
            </w:r>
          </w:p>
          <w:p w14:paraId="6B31B294">
            <w:pPr>
              <w:keepNext w:val="0"/>
              <w:keepLines w:val="0"/>
              <w:pageBreakBefore w:val="0"/>
              <w:widowControl/>
              <w:suppressLineNumbers w:val="0"/>
              <w:kinsoku/>
              <w:wordWrap/>
              <w:overflowPunct/>
              <w:topLinePunct w:val="0"/>
              <w:autoSpaceDE/>
              <w:autoSpaceDN/>
              <w:bidi w:val="0"/>
              <w:adjustRightInd/>
              <w:snapToGrid/>
              <w:ind w:firstLine="480" w:firstLineChars="200"/>
              <w:jc w:val="left"/>
              <w:textAlignment w:val="auto"/>
              <w:rPr>
                <w:rFonts w:hint="eastAsia" w:ascii="Times New Roman" w:hAnsi="Times New Roman" w:eastAsia="宋体" w:cs="Times New Roman"/>
                <w:color w:val="auto"/>
                <w:kern w:val="0"/>
                <w:sz w:val="24"/>
                <w:szCs w:val="24"/>
                <w:lang w:val="en-US" w:eastAsia="zh-CN" w:bidi="ar"/>
              </w:rPr>
            </w:pPr>
            <w:r>
              <w:rPr>
                <w:rFonts w:hint="eastAsia" w:ascii="Times New Roman" w:hAnsi="Times New Roman" w:eastAsia="宋体" w:cs="Times New Roman"/>
                <w:color w:val="auto"/>
                <w:kern w:val="0"/>
                <w:sz w:val="24"/>
                <w:szCs w:val="24"/>
                <w:lang w:val="en-US" w:eastAsia="zh-CN" w:bidi="ar"/>
              </w:rPr>
              <w:t>（1）污染源及污染途径分析</w:t>
            </w:r>
          </w:p>
          <w:p w14:paraId="7A5D6102">
            <w:pPr>
              <w:keepNext w:val="0"/>
              <w:keepLines w:val="0"/>
              <w:pageBreakBefore w:val="0"/>
              <w:widowControl/>
              <w:suppressLineNumbers w:val="0"/>
              <w:kinsoku/>
              <w:wordWrap/>
              <w:overflowPunct/>
              <w:topLinePunct w:val="0"/>
              <w:autoSpaceDE/>
              <w:autoSpaceDN/>
              <w:bidi w:val="0"/>
              <w:adjustRightInd/>
              <w:snapToGrid/>
              <w:ind w:firstLine="480" w:firstLineChars="200"/>
              <w:jc w:val="left"/>
              <w:textAlignment w:val="auto"/>
              <w:rPr>
                <w:rFonts w:hint="eastAsia" w:ascii="Times New Roman" w:hAnsi="Times New Roman" w:eastAsia="宋体" w:cs="Times New Roman"/>
                <w:color w:val="auto"/>
                <w:kern w:val="0"/>
                <w:sz w:val="24"/>
                <w:szCs w:val="24"/>
                <w:lang w:val="en-US" w:eastAsia="zh-CN" w:bidi="ar"/>
              </w:rPr>
            </w:pPr>
            <w:r>
              <w:rPr>
                <w:rFonts w:hint="eastAsia" w:ascii="Times New Roman" w:hAnsi="Times New Roman" w:eastAsia="宋体" w:cs="Times New Roman"/>
                <w:color w:val="auto"/>
                <w:kern w:val="0"/>
                <w:sz w:val="24"/>
                <w:szCs w:val="24"/>
                <w:lang w:val="en-US" w:eastAsia="zh-CN" w:bidi="ar"/>
              </w:rPr>
              <w:t>项目事故状态下对地下水及土壤环境的主要影响是地下水水质、土壤土质变差，其途径是危险废物发生跑冒滴漏等事故时，会通过土壤入渗等形式进入地下水循环，污染地下水水质；泄漏的污染物垂直入渗土壤，导致土壤理化性质改变，肥力下降。本项目在做好区域防渗措施情况下，加强生产设备设施、危险废物贮存点运行管理，把污染程度降到最低。因此</w:t>
            </w:r>
            <w:r>
              <w:rPr>
                <w:rFonts w:hint="eastAsia" w:ascii="Times New Roman" w:hAnsi="Times New Roman" w:eastAsia="宋体" w:cs="Times New Roman"/>
                <w:color w:val="auto"/>
                <w:sz w:val="24"/>
                <w:highlight w:val="none"/>
                <w:lang w:val="en-US" w:eastAsia="zh-CN"/>
              </w:rPr>
              <w:t>企业采取符合要求的防渗措施，并加强生产设备设施管理，加强危险废物贮存点运行管理后，不存在土壤、地下水环境污染途径。</w:t>
            </w:r>
          </w:p>
          <w:p w14:paraId="23856500">
            <w:pPr>
              <w:pStyle w:val="3"/>
              <w:numPr>
                <w:ilvl w:val="1"/>
                <w:numId w:val="0"/>
              </w:numPr>
              <w:spacing w:before="0" w:after="0" w:line="360" w:lineRule="auto"/>
              <w:ind w:firstLine="480" w:firstLineChars="200"/>
              <w:rPr>
                <w:rFonts w:ascii="Times New Roman" w:hAnsi="Times New Roman" w:eastAsia="宋体"/>
                <w:b w:val="0"/>
                <w:bCs/>
                <w:color w:val="auto"/>
                <w:sz w:val="24"/>
                <w:highlight w:val="none"/>
              </w:rPr>
            </w:pPr>
            <w:r>
              <w:rPr>
                <w:rFonts w:hint="eastAsia" w:ascii="Times New Roman" w:hAnsi="Times New Roman" w:eastAsia="宋体"/>
                <w:b w:val="0"/>
                <w:bCs/>
                <w:color w:val="auto"/>
                <w:sz w:val="24"/>
                <w:highlight w:val="none"/>
              </w:rPr>
              <w:t>（2）</w:t>
            </w:r>
            <w:r>
              <w:rPr>
                <w:rFonts w:hint="eastAsia" w:ascii="Times New Roman" w:hAnsi="Times New Roman" w:eastAsia="宋体"/>
                <w:b w:val="0"/>
                <w:bCs/>
                <w:color w:val="auto"/>
                <w:sz w:val="24"/>
                <w:highlight w:val="none"/>
                <w:lang w:eastAsia="zh-CN"/>
              </w:rPr>
              <w:t>防控</w:t>
            </w:r>
            <w:r>
              <w:rPr>
                <w:rFonts w:ascii="Times New Roman" w:hAnsi="Times New Roman" w:eastAsia="宋体"/>
                <w:b w:val="0"/>
                <w:bCs/>
                <w:color w:val="auto"/>
                <w:sz w:val="24"/>
                <w:highlight w:val="none"/>
              </w:rPr>
              <w:t>措施</w:t>
            </w:r>
          </w:p>
          <w:p w14:paraId="726AC853">
            <w:pPr>
              <w:ind w:firstLine="480"/>
              <w:rPr>
                <w:rFonts w:hint="eastAsia" w:eastAsia="宋体"/>
                <w:color w:val="auto"/>
                <w:sz w:val="24"/>
                <w:highlight w:val="none"/>
                <w:lang w:eastAsia="zh-CN"/>
              </w:rPr>
            </w:pPr>
            <w:r>
              <w:rPr>
                <w:rFonts w:hint="eastAsia" w:ascii="Times New Roman" w:hAnsi="Times New Roman" w:eastAsia="宋体" w:cs="Times New Roman"/>
                <w:color w:val="auto"/>
                <w:sz w:val="24"/>
                <w:szCs w:val="24"/>
              </w:rPr>
              <w:t>①</w:t>
            </w:r>
            <w:r>
              <w:rPr>
                <w:rFonts w:hint="eastAsia" w:ascii="Times New Roman" w:hAnsi="Times New Roman" w:eastAsia="宋体" w:cs="Times New Roman"/>
                <w:color w:val="auto"/>
                <w:sz w:val="24"/>
                <w:szCs w:val="24"/>
                <w:lang w:eastAsia="zh-CN"/>
              </w:rPr>
              <w:t>源头防控</w:t>
            </w:r>
          </w:p>
          <w:p w14:paraId="70BD36C9">
            <w:pPr>
              <w:ind w:firstLine="480"/>
              <w:rPr>
                <w:color w:val="auto"/>
                <w:sz w:val="24"/>
                <w:highlight w:val="none"/>
              </w:rPr>
            </w:pPr>
            <w:r>
              <w:rPr>
                <w:rFonts w:hint="eastAsia"/>
                <w:color w:val="auto"/>
                <w:sz w:val="24"/>
                <w:highlight w:val="none"/>
                <w:lang w:val="en-US" w:eastAsia="zh-CN"/>
              </w:rPr>
              <w:t>1）</w:t>
            </w:r>
            <w:r>
              <w:rPr>
                <w:rFonts w:hint="eastAsia"/>
                <w:color w:val="auto"/>
                <w:sz w:val="24"/>
                <w:highlight w:val="none"/>
              </w:rPr>
              <w:t>从污染物源头控制排放，主要包括在工艺、设备</w:t>
            </w:r>
            <w:r>
              <w:rPr>
                <w:rFonts w:hint="eastAsia"/>
                <w:color w:val="auto"/>
                <w:sz w:val="24"/>
                <w:highlight w:val="none"/>
                <w:lang w:eastAsia="zh-CN"/>
              </w:rPr>
              <w:t>、原辅材料使用及危险废物贮存上</w:t>
            </w:r>
            <w:r>
              <w:rPr>
                <w:rFonts w:hint="eastAsia"/>
                <w:color w:val="auto"/>
                <w:sz w:val="24"/>
                <w:highlight w:val="none"/>
              </w:rPr>
              <w:t>采取相应措施，</w:t>
            </w:r>
            <w:r>
              <w:rPr>
                <w:rFonts w:hint="eastAsia"/>
                <w:color w:val="auto"/>
                <w:sz w:val="24"/>
                <w:highlight w:val="none"/>
                <w:lang w:eastAsia="zh-CN"/>
              </w:rPr>
              <w:t>将</w:t>
            </w:r>
            <w:r>
              <w:rPr>
                <w:rFonts w:hint="eastAsia"/>
                <w:color w:val="auto"/>
                <w:sz w:val="24"/>
                <w:highlight w:val="none"/>
              </w:rPr>
              <w:t>污染物泄漏</w:t>
            </w:r>
            <w:r>
              <w:rPr>
                <w:rFonts w:hint="eastAsia"/>
                <w:color w:val="auto"/>
                <w:sz w:val="24"/>
                <w:highlight w:val="none"/>
                <w:lang w:eastAsia="zh-CN"/>
              </w:rPr>
              <w:t>、渗漏</w:t>
            </w:r>
            <w:r>
              <w:rPr>
                <w:rFonts w:hint="eastAsia"/>
                <w:color w:val="auto"/>
                <w:sz w:val="24"/>
                <w:highlight w:val="none"/>
              </w:rPr>
              <w:t>的环境风险事故降到最低程度。</w:t>
            </w:r>
          </w:p>
          <w:p w14:paraId="1B7FD645">
            <w:pPr>
              <w:spacing w:line="360" w:lineRule="auto"/>
              <w:ind w:firstLine="480" w:firstLineChars="200"/>
              <w:rPr>
                <w:rFonts w:hint="eastAsia"/>
                <w:color w:val="auto"/>
                <w:sz w:val="24"/>
                <w:szCs w:val="21"/>
              </w:rPr>
            </w:pPr>
            <w:r>
              <w:rPr>
                <w:rFonts w:hint="eastAsia"/>
                <w:color w:val="auto"/>
                <w:sz w:val="24"/>
                <w:szCs w:val="21"/>
                <w:lang w:val="en-US" w:eastAsia="zh-CN"/>
              </w:rPr>
              <w:t>2）</w:t>
            </w:r>
            <w:r>
              <w:rPr>
                <w:rFonts w:hint="eastAsia"/>
                <w:color w:val="auto"/>
                <w:sz w:val="24"/>
                <w:szCs w:val="21"/>
              </w:rPr>
              <w:t>保证装置正常运行，减少非正常工况对土壤的不利影响。</w:t>
            </w:r>
          </w:p>
          <w:p w14:paraId="4D5EB304">
            <w:pPr>
              <w:spacing w:line="360" w:lineRule="auto"/>
              <w:ind w:firstLine="480" w:firstLineChars="200"/>
              <w:rPr>
                <w:color w:val="auto"/>
                <w:sz w:val="24"/>
                <w:szCs w:val="21"/>
              </w:rPr>
            </w:pPr>
            <w:r>
              <w:rPr>
                <w:rFonts w:hint="eastAsia" w:ascii="Times New Roman" w:hAnsi="Times New Roman" w:eastAsia="宋体" w:cs="Times New Roman"/>
                <w:color w:val="auto"/>
                <w:sz w:val="24"/>
                <w:szCs w:val="24"/>
                <w:lang w:val="en-US" w:eastAsia="zh-CN"/>
              </w:rPr>
              <w:t>3）</w:t>
            </w:r>
            <w:r>
              <w:rPr>
                <w:rFonts w:hint="eastAsia"/>
                <w:color w:val="auto"/>
                <w:sz w:val="24"/>
                <w:szCs w:val="21"/>
              </w:rPr>
              <w:t>对</w:t>
            </w:r>
            <w:r>
              <w:rPr>
                <w:rFonts w:hint="eastAsia"/>
                <w:color w:val="auto"/>
                <w:sz w:val="24"/>
                <w:szCs w:val="21"/>
                <w:lang w:eastAsia="zh-CN"/>
              </w:rPr>
              <w:t>生产车间</w:t>
            </w:r>
            <w:r>
              <w:rPr>
                <w:rFonts w:hint="eastAsia"/>
                <w:color w:val="auto"/>
                <w:sz w:val="24"/>
                <w:szCs w:val="21"/>
              </w:rPr>
              <w:t>地面进行硬化与防渗措施</w:t>
            </w:r>
            <w:r>
              <w:rPr>
                <w:rFonts w:hint="eastAsia"/>
                <w:color w:val="auto"/>
                <w:sz w:val="24"/>
                <w:szCs w:val="21"/>
                <w:lang w:eastAsia="zh-CN"/>
              </w:rPr>
              <w:t>（危险废物贮存点在生产车间内）</w:t>
            </w:r>
            <w:r>
              <w:rPr>
                <w:rFonts w:hint="eastAsia"/>
                <w:color w:val="auto"/>
                <w:sz w:val="24"/>
                <w:szCs w:val="21"/>
              </w:rPr>
              <w:t>。防止污染物渗漏入土壤</w:t>
            </w:r>
            <w:r>
              <w:rPr>
                <w:rFonts w:hint="eastAsia"/>
                <w:color w:val="auto"/>
                <w:sz w:val="24"/>
                <w:szCs w:val="21"/>
                <w:lang w:eastAsia="zh-CN"/>
              </w:rPr>
              <w:t>及地下水</w:t>
            </w:r>
            <w:r>
              <w:rPr>
                <w:rFonts w:hint="eastAsia"/>
                <w:color w:val="auto"/>
                <w:sz w:val="24"/>
                <w:szCs w:val="21"/>
              </w:rPr>
              <w:t>，对土壤</w:t>
            </w:r>
            <w:r>
              <w:rPr>
                <w:rFonts w:hint="eastAsia"/>
                <w:color w:val="auto"/>
                <w:sz w:val="24"/>
                <w:szCs w:val="21"/>
                <w:lang w:eastAsia="zh-CN"/>
              </w:rPr>
              <w:t>及地下水</w:t>
            </w:r>
            <w:r>
              <w:rPr>
                <w:rFonts w:hint="eastAsia"/>
                <w:color w:val="auto"/>
                <w:sz w:val="24"/>
                <w:szCs w:val="21"/>
              </w:rPr>
              <w:t>造成影响。</w:t>
            </w:r>
          </w:p>
          <w:p w14:paraId="6945FCAE">
            <w:pPr>
              <w:ind w:firstLine="480"/>
              <w:rPr>
                <w:rFonts w:hint="eastAsia" w:eastAsia="宋体"/>
                <w:color w:val="auto"/>
                <w:sz w:val="24"/>
                <w:highlight w:val="none"/>
                <w:lang w:val="en-US" w:eastAsia="zh-CN"/>
              </w:rPr>
            </w:pPr>
            <w:r>
              <w:rPr>
                <w:rFonts w:hint="eastAsia" w:ascii="Times New Roman" w:hAnsi="Times New Roman" w:eastAsia="宋体" w:cs="Times New Roman"/>
                <w:color w:val="auto"/>
                <w:sz w:val="24"/>
                <w:szCs w:val="24"/>
              </w:rPr>
              <w:t>②</w:t>
            </w:r>
            <w:r>
              <w:rPr>
                <w:rFonts w:hint="eastAsia"/>
                <w:color w:val="auto"/>
                <w:sz w:val="24"/>
                <w:highlight w:val="none"/>
                <w:lang w:val="en-US" w:eastAsia="zh-CN"/>
              </w:rPr>
              <w:t>分区防控</w:t>
            </w:r>
          </w:p>
          <w:p w14:paraId="6F81621F">
            <w:pPr>
              <w:ind w:firstLine="480"/>
              <w:rPr>
                <w:rFonts w:hint="eastAsia"/>
                <w:color w:val="auto"/>
                <w:sz w:val="24"/>
                <w:highlight w:val="none"/>
                <w:lang w:eastAsia="zh-CN"/>
              </w:rPr>
            </w:pPr>
            <w:r>
              <w:rPr>
                <w:rFonts w:hint="eastAsia"/>
                <w:color w:val="auto"/>
                <w:sz w:val="24"/>
                <w:highlight w:val="none"/>
                <w:lang w:eastAsia="zh-CN"/>
              </w:rPr>
              <w:t>因本项目租用园区现有厂房，厂房内已做好地面硬化及防渗处理。根据本项目特点，将厂区内划分为重点防渗区、一般防渗区及简单防渗区。防渗设计应根据污染防治分区采取相应的防渗方案。</w:t>
            </w:r>
          </w:p>
          <w:p w14:paraId="58FDEBF2">
            <w:pPr>
              <w:ind w:firstLine="480"/>
              <w:rPr>
                <w:rFonts w:hint="eastAsia" w:eastAsia="宋体"/>
                <w:color w:val="auto"/>
                <w:sz w:val="24"/>
                <w:highlight w:val="none"/>
                <w:lang w:eastAsia="zh-CN"/>
              </w:rPr>
            </w:pPr>
            <w:r>
              <w:rPr>
                <w:rFonts w:hint="eastAsia"/>
                <w:color w:val="auto"/>
                <w:sz w:val="24"/>
                <w:highlight w:val="none"/>
              </w:rPr>
              <w:t>重点防渗区</w:t>
            </w:r>
            <w:r>
              <w:rPr>
                <w:rFonts w:hint="eastAsia"/>
                <w:color w:val="auto"/>
                <w:sz w:val="24"/>
                <w:highlight w:val="none"/>
                <w:lang w:eastAsia="zh-CN"/>
              </w:rPr>
              <w:t>：</w:t>
            </w:r>
            <w:r>
              <w:rPr>
                <w:rFonts w:hint="eastAsia"/>
                <w:color w:val="auto"/>
                <w:sz w:val="24"/>
                <w:highlight w:val="none"/>
              </w:rPr>
              <w:t>是指对地下水环境有污染的物料或污染物</w:t>
            </w:r>
            <w:r>
              <w:rPr>
                <w:rFonts w:hint="eastAsia"/>
                <w:color w:val="auto"/>
                <w:sz w:val="24"/>
                <w:highlight w:val="none"/>
                <w:lang w:eastAsia="zh-CN"/>
              </w:rPr>
              <w:t>（</w:t>
            </w:r>
            <w:r>
              <w:rPr>
                <w:rFonts w:hint="eastAsia"/>
                <w:color w:val="auto"/>
                <w:sz w:val="24"/>
                <w:highlight w:val="none"/>
              </w:rPr>
              <w:t>且包含有机污染物</w:t>
            </w:r>
            <w:r>
              <w:rPr>
                <w:rFonts w:hint="eastAsia"/>
                <w:color w:val="auto"/>
                <w:sz w:val="24"/>
                <w:highlight w:val="none"/>
                <w:lang w:eastAsia="zh-CN"/>
              </w:rPr>
              <w:t>）</w:t>
            </w:r>
            <w:r>
              <w:rPr>
                <w:rFonts w:hint="eastAsia"/>
                <w:color w:val="auto"/>
                <w:sz w:val="24"/>
                <w:highlight w:val="none"/>
              </w:rPr>
              <w:t>泄漏后，难以及时发现和处理的区域或部位，主要包括</w:t>
            </w:r>
            <w:r>
              <w:rPr>
                <w:rFonts w:hint="eastAsia"/>
                <w:color w:val="auto"/>
                <w:sz w:val="24"/>
                <w:highlight w:val="none"/>
                <w:lang w:eastAsia="zh-CN"/>
              </w:rPr>
              <w:t>生产车间内的危险废物贮存点</w:t>
            </w:r>
            <w:r>
              <w:rPr>
                <w:rFonts w:hint="eastAsia"/>
                <w:color w:val="auto"/>
                <w:sz w:val="24"/>
                <w:highlight w:val="none"/>
              </w:rPr>
              <w:t>区域。建议其等效黏土防渗层Mb≥6.0m、渗透系数</w:t>
            </w:r>
            <w:r>
              <w:rPr>
                <w:rFonts w:hint="eastAsia"/>
                <w:color w:val="auto"/>
                <w:sz w:val="24"/>
                <w:highlight w:val="none"/>
                <w:lang w:eastAsia="zh-CN"/>
              </w:rPr>
              <w:t>不大</w:t>
            </w:r>
            <w:r>
              <w:rPr>
                <w:rFonts w:hint="eastAsia"/>
                <w:color w:val="auto"/>
                <w:sz w:val="24"/>
                <w:highlight w:val="none"/>
              </w:rPr>
              <w:t>于10</w:t>
            </w:r>
            <w:r>
              <w:rPr>
                <w:rFonts w:hint="eastAsia"/>
                <w:color w:val="auto"/>
                <w:sz w:val="24"/>
                <w:highlight w:val="none"/>
                <w:vertAlign w:val="superscript"/>
                <w:lang w:val="en-US" w:eastAsia="zh-CN"/>
              </w:rPr>
              <w:t>-7</w:t>
            </w:r>
            <w:r>
              <w:rPr>
                <w:rFonts w:hint="eastAsia"/>
                <w:color w:val="auto"/>
                <w:sz w:val="24"/>
                <w:highlight w:val="none"/>
              </w:rPr>
              <w:t>cm/s，</w:t>
            </w:r>
            <w:r>
              <w:rPr>
                <w:rFonts w:hint="eastAsia"/>
                <w:color w:val="auto"/>
                <w:sz w:val="24"/>
                <w:highlight w:val="none"/>
                <w:lang w:eastAsia="zh-CN"/>
              </w:rPr>
              <w:t>危险废物贮存点</w:t>
            </w:r>
            <w:r>
              <w:rPr>
                <w:rFonts w:hint="eastAsia"/>
                <w:color w:val="auto"/>
                <w:sz w:val="24"/>
                <w:highlight w:val="none"/>
              </w:rPr>
              <w:t>应满足</w:t>
            </w:r>
            <w:r>
              <w:rPr>
                <w:rFonts w:hint="eastAsia" w:ascii="Times New Roman" w:hAnsi="Times New Roman" w:eastAsia="宋体" w:cs="Times New Roman"/>
                <w:color w:val="auto"/>
                <w:sz w:val="24"/>
                <w:szCs w:val="24"/>
              </w:rPr>
              <w:t>《危险废物贮存污染物控制标准》</w:t>
            </w:r>
            <w:r>
              <w:rPr>
                <w:rFonts w:hint="eastAsia"/>
                <w:color w:val="auto"/>
                <w:sz w:val="24"/>
                <w:highlight w:val="none"/>
                <w:lang w:eastAsia="zh-CN"/>
              </w:rPr>
              <w:t>（</w:t>
            </w:r>
            <w:r>
              <w:rPr>
                <w:rFonts w:hint="eastAsia" w:ascii="Times New Roman" w:hAnsi="Times New Roman" w:eastAsia="宋体" w:cs="Times New Roman"/>
                <w:color w:val="auto"/>
                <w:sz w:val="24"/>
                <w:szCs w:val="24"/>
              </w:rPr>
              <w:t>GB18597-2023</w:t>
            </w:r>
            <w:r>
              <w:rPr>
                <w:rFonts w:hint="eastAsia"/>
                <w:color w:val="auto"/>
                <w:sz w:val="24"/>
                <w:highlight w:val="none"/>
                <w:lang w:eastAsia="zh-CN"/>
              </w:rPr>
              <w:t>）</w:t>
            </w:r>
            <w:r>
              <w:rPr>
                <w:rFonts w:hint="eastAsia"/>
                <w:color w:val="auto"/>
                <w:sz w:val="24"/>
                <w:highlight w:val="none"/>
              </w:rPr>
              <w:t>的要求</w:t>
            </w:r>
            <w:r>
              <w:rPr>
                <w:rFonts w:hint="eastAsia"/>
                <w:color w:val="auto"/>
                <w:sz w:val="24"/>
                <w:highlight w:val="none"/>
                <w:lang w:eastAsia="zh-CN"/>
              </w:rPr>
              <w:t>。</w:t>
            </w:r>
          </w:p>
          <w:p w14:paraId="4BE53045">
            <w:pPr>
              <w:ind w:firstLine="480"/>
              <w:rPr>
                <w:rFonts w:hint="eastAsia" w:ascii="Times New Roman" w:hAnsi="Times New Roman" w:eastAsia="宋体" w:cs="Times New Roman"/>
                <w:color w:val="auto"/>
                <w:sz w:val="24"/>
                <w:highlight w:val="none"/>
              </w:rPr>
            </w:pPr>
            <w:r>
              <w:rPr>
                <w:rFonts w:hint="eastAsia"/>
                <w:color w:val="auto"/>
                <w:sz w:val="24"/>
                <w:highlight w:val="none"/>
              </w:rPr>
              <w:t>一般防渗区</w:t>
            </w:r>
            <w:r>
              <w:rPr>
                <w:rFonts w:hint="eastAsia"/>
                <w:color w:val="auto"/>
                <w:sz w:val="24"/>
                <w:highlight w:val="none"/>
                <w:lang w:eastAsia="zh-CN"/>
              </w:rPr>
              <w:t>：</w:t>
            </w:r>
            <w:r>
              <w:rPr>
                <w:rFonts w:hint="eastAsia"/>
                <w:color w:val="auto"/>
                <w:sz w:val="24"/>
                <w:highlight w:val="none"/>
              </w:rPr>
              <w:t>一般污染防治区指其余污染比较小的区域，建议其等效黏土防渗层Mb≥1.5m、渗透系数</w:t>
            </w:r>
            <w:r>
              <w:rPr>
                <w:rFonts w:hint="eastAsia"/>
                <w:color w:val="auto"/>
                <w:sz w:val="24"/>
                <w:highlight w:val="none"/>
                <w:lang w:eastAsia="zh-CN"/>
              </w:rPr>
              <w:t>不大于</w:t>
            </w:r>
            <w:r>
              <w:rPr>
                <w:rFonts w:hint="eastAsia"/>
                <w:color w:val="auto"/>
                <w:sz w:val="24"/>
                <w:highlight w:val="none"/>
              </w:rPr>
              <w:t>10</w:t>
            </w:r>
            <w:r>
              <w:rPr>
                <w:rFonts w:hint="eastAsia"/>
                <w:color w:val="auto"/>
                <w:sz w:val="24"/>
                <w:highlight w:val="none"/>
                <w:vertAlign w:val="superscript"/>
                <w:lang w:val="en-US" w:eastAsia="zh-CN"/>
              </w:rPr>
              <w:t>-7</w:t>
            </w:r>
            <w:r>
              <w:rPr>
                <w:rFonts w:hint="eastAsia"/>
                <w:color w:val="auto"/>
                <w:sz w:val="24"/>
                <w:highlight w:val="none"/>
              </w:rPr>
              <w:t>cm/s，主要</w:t>
            </w:r>
            <w:r>
              <w:rPr>
                <w:rFonts w:hint="eastAsia"/>
                <w:color w:val="auto"/>
                <w:sz w:val="24"/>
                <w:highlight w:val="none"/>
                <w:lang w:eastAsia="zh-CN"/>
              </w:rPr>
              <w:t>为</w:t>
            </w:r>
            <w:r>
              <w:rPr>
                <w:rFonts w:hint="eastAsia" w:ascii="Times New Roman" w:hAnsi="Times New Roman" w:eastAsia="宋体" w:cs="Times New Roman"/>
                <w:color w:val="auto"/>
                <w:sz w:val="24"/>
                <w:highlight w:val="none"/>
                <w:lang w:eastAsia="zh-CN"/>
              </w:rPr>
              <w:t>生产车间（除危险废物贮存点的其他区域）、材料库和一般固废暂存间</w:t>
            </w:r>
            <w:r>
              <w:rPr>
                <w:rFonts w:hint="eastAsia" w:ascii="Times New Roman" w:hAnsi="Times New Roman" w:eastAsia="宋体" w:cs="Times New Roman"/>
                <w:color w:val="auto"/>
                <w:sz w:val="24"/>
                <w:highlight w:val="none"/>
              </w:rPr>
              <w:t>。</w:t>
            </w:r>
          </w:p>
          <w:p w14:paraId="1DDBEB91">
            <w:pPr>
              <w:ind w:firstLine="480"/>
              <w:rPr>
                <w:rFonts w:hint="eastAsia" w:eastAsia="宋体"/>
                <w:color w:val="auto"/>
                <w:sz w:val="24"/>
                <w:highlight w:val="none"/>
                <w:lang w:eastAsia="zh-CN"/>
              </w:rPr>
            </w:pPr>
            <w:r>
              <w:rPr>
                <w:rFonts w:hint="eastAsia"/>
                <w:color w:val="auto"/>
                <w:sz w:val="24"/>
                <w:highlight w:val="none"/>
              </w:rPr>
              <w:t>简单防渗区</w:t>
            </w:r>
            <w:r>
              <w:rPr>
                <w:rFonts w:hint="eastAsia"/>
                <w:color w:val="auto"/>
                <w:sz w:val="24"/>
                <w:highlight w:val="none"/>
                <w:lang w:eastAsia="zh-CN"/>
              </w:rPr>
              <w:t>：</w:t>
            </w:r>
            <w:r>
              <w:rPr>
                <w:rFonts w:hint="eastAsia"/>
                <w:color w:val="auto"/>
                <w:sz w:val="24"/>
                <w:highlight w:val="none"/>
              </w:rPr>
              <w:t>指不会对地下水环境造成污染或者可能会产生轻微污染的其它建筑区，如</w:t>
            </w:r>
            <w:r>
              <w:rPr>
                <w:rFonts w:hint="eastAsia"/>
                <w:color w:val="auto"/>
                <w:sz w:val="24"/>
                <w:highlight w:val="none"/>
                <w:lang w:eastAsia="zh-CN"/>
              </w:rPr>
              <w:t>办公楼、</w:t>
            </w:r>
            <w:r>
              <w:rPr>
                <w:rFonts w:hint="eastAsia"/>
                <w:color w:val="auto"/>
                <w:sz w:val="24"/>
                <w:highlight w:val="none"/>
              </w:rPr>
              <w:t>厂区道路等，划为简单防渗区</w:t>
            </w:r>
            <w:r>
              <w:rPr>
                <w:rFonts w:hint="eastAsia"/>
                <w:color w:val="auto"/>
                <w:sz w:val="24"/>
                <w:highlight w:val="none"/>
                <w:lang w:eastAsia="zh-CN"/>
              </w:rPr>
              <w:t>。</w:t>
            </w:r>
          </w:p>
          <w:p w14:paraId="2CF33C72">
            <w:pPr>
              <w:ind w:firstLine="480"/>
              <w:rPr>
                <w:color w:val="auto"/>
                <w:sz w:val="24"/>
                <w:highlight w:val="none"/>
              </w:rPr>
            </w:pPr>
            <w:r>
              <w:rPr>
                <w:color w:val="auto"/>
                <w:sz w:val="24"/>
                <w:highlight w:val="none"/>
              </w:rPr>
              <w:t>地下水污染防渗分区及防渗技术要求见下表。</w:t>
            </w:r>
          </w:p>
          <w:p w14:paraId="7C3AE6DC">
            <w:pPr>
              <w:pStyle w:val="68"/>
              <w:numPr>
                <w:ilvl w:val="0"/>
                <w:numId w:val="19"/>
              </w:numPr>
              <w:spacing w:line="360" w:lineRule="auto"/>
              <w:ind w:left="0" w:leftChars="0" w:firstLine="0" w:firstLineChars="0"/>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  地下水污染防渗分区及防渗技术要求</w:t>
            </w:r>
          </w:p>
          <w:tbl>
            <w:tblPr>
              <w:tblStyle w:val="2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74"/>
              <w:gridCol w:w="3497"/>
              <w:gridCol w:w="3190"/>
            </w:tblGrid>
            <w:tr w14:paraId="00D690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48" w:type="pct"/>
                  <w:noWrap w:val="0"/>
                  <w:vAlign w:val="center"/>
                </w:tcPr>
                <w:p w14:paraId="74314578">
                  <w:pPr>
                    <w:spacing w:line="240" w:lineRule="auto"/>
                    <w:jc w:val="center"/>
                    <w:rPr>
                      <w:color w:val="auto"/>
                      <w:szCs w:val="21"/>
                      <w:highlight w:val="none"/>
                    </w:rPr>
                  </w:pPr>
                  <w:r>
                    <w:rPr>
                      <w:color w:val="auto"/>
                      <w:szCs w:val="21"/>
                      <w:highlight w:val="none"/>
                    </w:rPr>
                    <w:t>防渗分区</w:t>
                  </w:r>
                </w:p>
              </w:tc>
              <w:tc>
                <w:tcPr>
                  <w:tcW w:w="2066" w:type="pct"/>
                  <w:noWrap w:val="0"/>
                  <w:vAlign w:val="center"/>
                </w:tcPr>
                <w:p w14:paraId="663A4CA4">
                  <w:pPr>
                    <w:spacing w:line="240" w:lineRule="auto"/>
                    <w:jc w:val="center"/>
                    <w:rPr>
                      <w:color w:val="auto"/>
                      <w:szCs w:val="21"/>
                      <w:highlight w:val="none"/>
                    </w:rPr>
                  </w:pPr>
                  <w:r>
                    <w:rPr>
                      <w:color w:val="auto"/>
                      <w:szCs w:val="21"/>
                      <w:highlight w:val="none"/>
                    </w:rPr>
                    <w:t>主要构筑物</w:t>
                  </w:r>
                </w:p>
              </w:tc>
              <w:tc>
                <w:tcPr>
                  <w:tcW w:w="1884" w:type="pct"/>
                  <w:noWrap w:val="0"/>
                  <w:vAlign w:val="center"/>
                </w:tcPr>
                <w:p w14:paraId="3E34B9AD">
                  <w:pPr>
                    <w:spacing w:line="240" w:lineRule="auto"/>
                    <w:jc w:val="center"/>
                    <w:rPr>
                      <w:color w:val="auto"/>
                      <w:szCs w:val="21"/>
                      <w:highlight w:val="none"/>
                    </w:rPr>
                  </w:pPr>
                  <w:r>
                    <w:rPr>
                      <w:color w:val="auto"/>
                      <w:szCs w:val="21"/>
                      <w:highlight w:val="none"/>
                    </w:rPr>
                    <w:t>防渗技术要求</w:t>
                  </w:r>
                </w:p>
              </w:tc>
            </w:tr>
            <w:tr w14:paraId="65A8AD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48" w:type="pct"/>
                  <w:noWrap w:val="0"/>
                  <w:vAlign w:val="center"/>
                </w:tcPr>
                <w:p w14:paraId="250FF99D">
                  <w:pPr>
                    <w:spacing w:line="240" w:lineRule="auto"/>
                    <w:jc w:val="center"/>
                    <w:rPr>
                      <w:rFonts w:hint="eastAsia" w:eastAsia="宋体"/>
                      <w:color w:val="auto"/>
                      <w:szCs w:val="21"/>
                      <w:highlight w:val="none"/>
                      <w:lang w:eastAsia="zh-CN"/>
                    </w:rPr>
                  </w:pPr>
                  <w:r>
                    <w:rPr>
                      <w:color w:val="auto"/>
                      <w:szCs w:val="21"/>
                      <w:highlight w:val="none"/>
                    </w:rPr>
                    <w:t>重点</w:t>
                  </w:r>
                  <w:r>
                    <w:rPr>
                      <w:rFonts w:hint="eastAsia"/>
                      <w:color w:val="auto"/>
                      <w:szCs w:val="21"/>
                      <w:highlight w:val="none"/>
                      <w:lang w:eastAsia="zh-CN"/>
                    </w:rPr>
                    <w:t>防渗区</w:t>
                  </w:r>
                </w:p>
              </w:tc>
              <w:tc>
                <w:tcPr>
                  <w:tcW w:w="2066" w:type="pct"/>
                  <w:noWrap w:val="0"/>
                  <w:vAlign w:val="center"/>
                </w:tcPr>
                <w:p w14:paraId="7646F44C">
                  <w:pPr>
                    <w:spacing w:line="240" w:lineRule="auto"/>
                    <w:jc w:val="center"/>
                    <w:rPr>
                      <w:rFonts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lang w:eastAsia="zh-CN"/>
                    </w:rPr>
                    <w:t>生产车间中的危险废物贮存点</w:t>
                  </w:r>
                </w:p>
              </w:tc>
              <w:tc>
                <w:tcPr>
                  <w:tcW w:w="1884" w:type="pct"/>
                  <w:noWrap w:val="0"/>
                  <w:vAlign w:val="center"/>
                </w:tcPr>
                <w:p w14:paraId="7CF8AC51">
                  <w:pPr>
                    <w:spacing w:line="240" w:lineRule="auto"/>
                    <w:jc w:val="center"/>
                    <w:rPr>
                      <w:rFonts w:hint="eastAsia"/>
                      <w:color w:val="auto"/>
                      <w:szCs w:val="21"/>
                      <w:highlight w:val="none"/>
                    </w:rPr>
                  </w:pPr>
                  <w:r>
                    <w:rPr>
                      <w:color w:val="auto"/>
                      <w:szCs w:val="21"/>
                      <w:highlight w:val="none"/>
                    </w:rPr>
                    <w:t>等效黏土防渗层Mb≥6.0m， K≤1×10</w:t>
                  </w:r>
                  <w:r>
                    <w:rPr>
                      <w:color w:val="auto"/>
                      <w:szCs w:val="21"/>
                      <w:highlight w:val="none"/>
                      <w:vertAlign w:val="superscript"/>
                    </w:rPr>
                    <w:t>-7</w:t>
                  </w:r>
                  <w:r>
                    <w:rPr>
                      <w:color w:val="auto"/>
                      <w:szCs w:val="21"/>
                      <w:highlight w:val="none"/>
                    </w:rPr>
                    <w:t>cm/s</w:t>
                  </w:r>
                  <w:r>
                    <w:rPr>
                      <w:rFonts w:hint="eastAsia"/>
                      <w:color w:val="auto"/>
                      <w:szCs w:val="21"/>
                      <w:highlight w:val="none"/>
                    </w:rPr>
                    <w:t>。</w:t>
                  </w:r>
                </w:p>
              </w:tc>
            </w:tr>
            <w:tr w14:paraId="6144B4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48" w:type="pct"/>
                  <w:noWrap w:val="0"/>
                  <w:vAlign w:val="center"/>
                </w:tcPr>
                <w:p w14:paraId="05A2EEAD">
                  <w:pPr>
                    <w:spacing w:line="240" w:lineRule="auto"/>
                    <w:jc w:val="center"/>
                    <w:rPr>
                      <w:color w:val="auto"/>
                      <w:szCs w:val="21"/>
                      <w:highlight w:val="none"/>
                    </w:rPr>
                  </w:pPr>
                  <w:r>
                    <w:rPr>
                      <w:color w:val="auto"/>
                      <w:szCs w:val="21"/>
                      <w:highlight w:val="none"/>
                    </w:rPr>
                    <w:t>一般</w:t>
                  </w:r>
                  <w:r>
                    <w:rPr>
                      <w:rFonts w:hint="eastAsia"/>
                      <w:color w:val="auto"/>
                      <w:szCs w:val="21"/>
                      <w:highlight w:val="none"/>
                      <w:lang w:eastAsia="zh-CN"/>
                    </w:rPr>
                    <w:t>防渗</w:t>
                  </w:r>
                  <w:r>
                    <w:rPr>
                      <w:color w:val="auto"/>
                      <w:szCs w:val="21"/>
                      <w:highlight w:val="none"/>
                    </w:rPr>
                    <w:t>区</w:t>
                  </w:r>
                </w:p>
              </w:tc>
              <w:tc>
                <w:tcPr>
                  <w:tcW w:w="2066" w:type="pct"/>
                  <w:noWrap w:val="0"/>
                  <w:vAlign w:val="center"/>
                </w:tcPr>
                <w:p w14:paraId="0611F0DE">
                  <w:pPr>
                    <w:spacing w:line="240" w:lineRule="auto"/>
                    <w:jc w:val="center"/>
                    <w:rPr>
                      <w:rFonts w:ascii="Times New Roman" w:hAnsi="Times New Roman" w:eastAsia="宋体" w:cs="Times New Roman"/>
                      <w:color w:val="auto"/>
                      <w:szCs w:val="21"/>
                      <w:highlight w:val="none"/>
                    </w:rPr>
                  </w:pPr>
                  <w:r>
                    <w:rPr>
                      <w:rFonts w:hint="eastAsia" w:ascii="Times New Roman" w:hAnsi="Times New Roman" w:eastAsia="宋体" w:cs="Times New Roman"/>
                      <w:color w:val="auto"/>
                      <w:spacing w:val="9"/>
                      <w:lang w:eastAsia="zh-CN"/>
                    </w:rPr>
                    <w:t>生产车间（</w:t>
                  </w:r>
                  <w:r>
                    <w:rPr>
                      <w:rFonts w:hint="eastAsia" w:ascii="Times New Roman" w:hAnsi="Times New Roman" w:eastAsia="宋体" w:cs="Times New Roman"/>
                      <w:color w:val="auto"/>
                      <w:sz w:val="21"/>
                      <w:szCs w:val="21"/>
                      <w:highlight w:val="none"/>
                      <w:lang w:eastAsia="zh-CN"/>
                    </w:rPr>
                    <w:t>除危险废物贮存点的</w:t>
                  </w:r>
                  <w:r>
                    <w:rPr>
                      <w:rFonts w:hint="eastAsia" w:ascii="Times New Roman" w:hAnsi="Times New Roman" w:eastAsia="宋体" w:cs="Times New Roman"/>
                      <w:color w:val="auto"/>
                      <w:spacing w:val="9"/>
                      <w:sz w:val="21"/>
                      <w:szCs w:val="21"/>
                      <w:lang w:eastAsia="zh-CN"/>
                    </w:rPr>
                    <w:t>其他区域）、材料库和一般固废</w:t>
                  </w:r>
                  <w:r>
                    <w:rPr>
                      <w:rFonts w:hint="eastAsia" w:ascii="Times New Roman" w:hAnsi="Times New Roman" w:eastAsia="宋体" w:cs="Times New Roman"/>
                      <w:color w:val="auto"/>
                      <w:spacing w:val="9"/>
                      <w:lang w:eastAsia="zh-CN"/>
                    </w:rPr>
                    <w:t>暂存间</w:t>
                  </w:r>
                </w:p>
              </w:tc>
              <w:tc>
                <w:tcPr>
                  <w:tcW w:w="1884" w:type="pct"/>
                  <w:noWrap w:val="0"/>
                  <w:vAlign w:val="center"/>
                </w:tcPr>
                <w:p w14:paraId="2F020BC8">
                  <w:pPr>
                    <w:spacing w:line="240" w:lineRule="auto"/>
                    <w:jc w:val="center"/>
                    <w:rPr>
                      <w:rFonts w:hint="eastAsia"/>
                      <w:color w:val="auto"/>
                      <w:szCs w:val="21"/>
                      <w:highlight w:val="none"/>
                    </w:rPr>
                  </w:pPr>
                  <w:r>
                    <w:rPr>
                      <w:color w:val="auto"/>
                      <w:szCs w:val="21"/>
                      <w:highlight w:val="none"/>
                    </w:rPr>
                    <w:t>等效黏土防渗层Mb≥</w:t>
                  </w:r>
                  <w:r>
                    <w:rPr>
                      <w:rFonts w:hint="eastAsia"/>
                      <w:color w:val="auto"/>
                      <w:szCs w:val="21"/>
                      <w:highlight w:val="none"/>
                    </w:rPr>
                    <w:t>1.5</w:t>
                  </w:r>
                  <w:r>
                    <w:rPr>
                      <w:color w:val="auto"/>
                      <w:szCs w:val="21"/>
                      <w:highlight w:val="none"/>
                    </w:rPr>
                    <w:t>m， K≤1×10</w:t>
                  </w:r>
                  <w:r>
                    <w:rPr>
                      <w:color w:val="auto"/>
                      <w:szCs w:val="21"/>
                      <w:highlight w:val="none"/>
                      <w:vertAlign w:val="superscript"/>
                    </w:rPr>
                    <w:t>-</w:t>
                  </w:r>
                  <w:r>
                    <w:rPr>
                      <w:rFonts w:hint="eastAsia"/>
                      <w:color w:val="auto"/>
                      <w:szCs w:val="21"/>
                      <w:highlight w:val="none"/>
                      <w:vertAlign w:val="superscript"/>
                      <w:lang w:val="en-US" w:eastAsia="zh-CN"/>
                    </w:rPr>
                    <w:t>7</w:t>
                  </w:r>
                  <w:r>
                    <w:rPr>
                      <w:color w:val="auto"/>
                      <w:szCs w:val="21"/>
                      <w:highlight w:val="none"/>
                    </w:rPr>
                    <w:t>cm/s</w:t>
                  </w:r>
                  <w:r>
                    <w:rPr>
                      <w:rFonts w:hint="eastAsia"/>
                      <w:color w:val="auto"/>
                      <w:szCs w:val="21"/>
                      <w:highlight w:val="none"/>
                    </w:rPr>
                    <w:t>。</w:t>
                  </w:r>
                </w:p>
              </w:tc>
            </w:tr>
            <w:tr w14:paraId="4973C9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048" w:type="pct"/>
                  <w:noWrap w:val="0"/>
                  <w:vAlign w:val="center"/>
                </w:tcPr>
                <w:p w14:paraId="69E31F1C">
                  <w:pPr>
                    <w:spacing w:line="240" w:lineRule="auto"/>
                    <w:jc w:val="center"/>
                    <w:rPr>
                      <w:rFonts w:hint="eastAsia" w:eastAsia="宋体"/>
                      <w:color w:val="auto"/>
                      <w:szCs w:val="21"/>
                      <w:highlight w:val="none"/>
                      <w:lang w:eastAsia="zh-CN"/>
                    </w:rPr>
                  </w:pPr>
                  <w:r>
                    <w:rPr>
                      <w:rFonts w:hint="eastAsia"/>
                      <w:color w:val="auto"/>
                      <w:szCs w:val="21"/>
                      <w:highlight w:val="none"/>
                      <w:lang w:eastAsia="zh-CN"/>
                    </w:rPr>
                    <w:t>简单防渗区</w:t>
                  </w:r>
                </w:p>
              </w:tc>
              <w:tc>
                <w:tcPr>
                  <w:tcW w:w="2066" w:type="pct"/>
                  <w:noWrap w:val="0"/>
                  <w:vAlign w:val="center"/>
                </w:tcPr>
                <w:p w14:paraId="24B69B84">
                  <w:pPr>
                    <w:spacing w:line="240" w:lineRule="auto"/>
                    <w:jc w:val="center"/>
                    <w:rPr>
                      <w:rFonts w:hint="eastAsia" w:ascii="Times New Roman" w:hAnsi="Times New Roman" w:eastAsia="宋体" w:cs="Times New Roman"/>
                      <w:color w:val="auto"/>
                      <w:szCs w:val="21"/>
                      <w:highlight w:val="none"/>
                      <w:lang w:eastAsia="zh-CN"/>
                    </w:rPr>
                  </w:pPr>
                  <w:r>
                    <w:rPr>
                      <w:rFonts w:hint="eastAsia" w:ascii="Times New Roman" w:hAnsi="Times New Roman" w:eastAsia="宋体" w:cs="Times New Roman"/>
                      <w:color w:val="auto"/>
                      <w:szCs w:val="21"/>
                      <w:highlight w:val="none"/>
                      <w:lang w:eastAsia="zh-CN"/>
                    </w:rPr>
                    <w:t>办公楼、厂区道路</w:t>
                  </w:r>
                </w:p>
              </w:tc>
              <w:tc>
                <w:tcPr>
                  <w:tcW w:w="1884" w:type="pct"/>
                  <w:noWrap w:val="0"/>
                  <w:vAlign w:val="center"/>
                </w:tcPr>
                <w:p w14:paraId="632DB6CF">
                  <w:pPr>
                    <w:spacing w:line="240" w:lineRule="auto"/>
                    <w:jc w:val="center"/>
                    <w:rPr>
                      <w:rFonts w:hint="eastAsia" w:eastAsia="宋体"/>
                      <w:color w:val="auto"/>
                      <w:szCs w:val="21"/>
                      <w:highlight w:val="none"/>
                      <w:lang w:eastAsia="zh-CN"/>
                    </w:rPr>
                  </w:pPr>
                  <w:r>
                    <w:rPr>
                      <w:rFonts w:hint="eastAsia"/>
                      <w:color w:val="auto"/>
                      <w:szCs w:val="21"/>
                      <w:highlight w:val="none"/>
                      <w:lang w:eastAsia="zh-CN"/>
                    </w:rPr>
                    <w:t>一般地面硬化</w:t>
                  </w:r>
                </w:p>
              </w:tc>
            </w:tr>
          </w:tbl>
          <w:p w14:paraId="0D8AF936">
            <w:pPr>
              <w:spacing w:line="240" w:lineRule="auto"/>
              <w:rPr>
                <w:color w:val="auto"/>
                <w:sz w:val="24"/>
                <w:highlight w:val="none"/>
              </w:rPr>
            </w:pPr>
          </w:p>
          <w:p w14:paraId="5E960A40">
            <w:pPr>
              <w:ind w:firstLine="480"/>
              <w:rPr>
                <w:rFonts w:hint="eastAsia" w:eastAsia="宋体"/>
                <w:color w:val="auto"/>
                <w:sz w:val="24"/>
                <w:highlight w:val="none"/>
                <w:lang w:val="en-US" w:eastAsia="zh-CN"/>
              </w:rPr>
            </w:pPr>
            <w:r>
              <w:rPr>
                <w:rFonts w:hint="default" w:ascii="Times New Roman" w:hAnsi="Times New Roman" w:eastAsia="宋体" w:cs="Times New Roman"/>
                <w:color w:val="auto"/>
                <w:sz w:val="24"/>
                <w:highlight w:val="none"/>
                <w:lang w:val="en-US" w:eastAsia="zh-CN"/>
              </w:rPr>
              <w:t>③</w:t>
            </w:r>
            <w:r>
              <w:rPr>
                <w:rFonts w:hint="eastAsia"/>
                <w:color w:val="auto"/>
                <w:sz w:val="24"/>
                <w:highlight w:val="none"/>
                <w:lang w:val="en-US" w:eastAsia="zh-CN"/>
              </w:rPr>
              <w:t>跟踪监测</w:t>
            </w:r>
          </w:p>
          <w:p w14:paraId="1D414BF3">
            <w:pPr>
              <w:ind w:firstLine="480" w:firstLineChars="200"/>
              <w:rPr>
                <w:color w:val="auto"/>
                <w:sz w:val="24"/>
                <w:highlight w:val="none"/>
              </w:rPr>
            </w:pPr>
            <w:r>
              <w:rPr>
                <w:rFonts w:hint="eastAsia"/>
                <w:color w:val="auto"/>
                <w:sz w:val="24"/>
                <w:highlight w:val="none"/>
              </w:rPr>
              <w:t>根据《排污单位自行监测技术指南 总则》</w:t>
            </w:r>
            <w:r>
              <w:rPr>
                <w:rFonts w:hint="eastAsia"/>
                <w:color w:val="auto"/>
                <w:sz w:val="24"/>
                <w:highlight w:val="none"/>
                <w:lang w:eastAsia="zh-CN"/>
              </w:rPr>
              <w:t>（</w:t>
            </w:r>
            <w:r>
              <w:rPr>
                <w:rFonts w:hint="eastAsia"/>
                <w:color w:val="auto"/>
                <w:sz w:val="24"/>
                <w:highlight w:val="none"/>
              </w:rPr>
              <w:t>HJ819-2017</w:t>
            </w:r>
            <w:r>
              <w:rPr>
                <w:rFonts w:hint="eastAsia"/>
                <w:color w:val="auto"/>
                <w:sz w:val="24"/>
                <w:highlight w:val="none"/>
                <w:lang w:eastAsia="zh-CN"/>
              </w:rPr>
              <w:t>）：</w:t>
            </w:r>
            <w:r>
              <w:rPr>
                <w:rFonts w:hint="eastAsia"/>
                <w:color w:val="auto"/>
                <w:sz w:val="24"/>
                <w:highlight w:val="none"/>
              </w:rPr>
              <w:t>“涉重金属、难降解类有机污染物等重点排污单位土壤、地下水每年至少监测一次”</w:t>
            </w:r>
            <w:r>
              <w:rPr>
                <w:rFonts w:hint="eastAsia"/>
                <w:color w:val="auto"/>
                <w:sz w:val="24"/>
                <w:highlight w:val="none"/>
                <w:lang w:eastAsia="zh-CN"/>
              </w:rPr>
              <w:t>。</w:t>
            </w:r>
            <w:r>
              <w:rPr>
                <w:rFonts w:hint="eastAsia"/>
                <w:color w:val="auto"/>
                <w:sz w:val="24"/>
                <w:highlight w:val="none"/>
              </w:rPr>
              <w:t>本项目不涉及重金属、难降解类有机污染物，可不进行土壤、地下水跟踪监测。</w:t>
            </w:r>
          </w:p>
          <w:p w14:paraId="0FD40D90">
            <w:pPr>
              <w:ind w:firstLine="480" w:firstLineChars="200"/>
              <w:rPr>
                <w:color w:val="auto"/>
                <w:highlight w:val="none"/>
              </w:rPr>
            </w:pPr>
            <w:r>
              <w:rPr>
                <w:color w:val="auto"/>
                <w:sz w:val="24"/>
                <w:highlight w:val="none"/>
              </w:rPr>
              <w:t>采取以上防渗环保措施之后，不会对区域地下水水质</w:t>
            </w:r>
            <w:r>
              <w:rPr>
                <w:rFonts w:hint="eastAsia"/>
                <w:color w:val="auto"/>
                <w:sz w:val="24"/>
                <w:highlight w:val="none"/>
              </w:rPr>
              <w:t>和土壤</w:t>
            </w:r>
            <w:r>
              <w:rPr>
                <w:color w:val="auto"/>
                <w:sz w:val="24"/>
                <w:highlight w:val="none"/>
              </w:rPr>
              <w:t>造成较大影响。故对地下水</w:t>
            </w:r>
            <w:r>
              <w:rPr>
                <w:rFonts w:hint="eastAsia"/>
                <w:color w:val="auto"/>
                <w:sz w:val="24"/>
                <w:highlight w:val="none"/>
              </w:rPr>
              <w:t>和</w:t>
            </w:r>
            <w:r>
              <w:rPr>
                <w:color w:val="auto"/>
                <w:sz w:val="24"/>
                <w:highlight w:val="none"/>
              </w:rPr>
              <w:t>土壤环境影响较小。</w:t>
            </w:r>
          </w:p>
          <w:p w14:paraId="390080D0">
            <w:pPr>
              <w:rPr>
                <w:b/>
                <w:bCs/>
                <w:color w:val="auto"/>
                <w:sz w:val="24"/>
                <w:highlight w:val="none"/>
              </w:rPr>
            </w:pPr>
            <w:r>
              <w:rPr>
                <w:rFonts w:hint="eastAsia"/>
                <w:b/>
                <w:bCs/>
                <w:color w:val="auto"/>
                <w:sz w:val="24"/>
                <w:highlight w:val="none"/>
              </w:rPr>
              <w:t>6</w:t>
            </w:r>
            <w:r>
              <w:rPr>
                <w:b/>
                <w:bCs/>
                <w:color w:val="auto"/>
                <w:sz w:val="24"/>
                <w:highlight w:val="none"/>
              </w:rPr>
              <w:t>、环境风险</w:t>
            </w:r>
          </w:p>
          <w:p w14:paraId="117DC843">
            <w:pPr>
              <w:keepNext w:val="0"/>
              <w:keepLines w:val="0"/>
              <w:pageBreakBefore w:val="0"/>
              <w:widowControl w:val="0"/>
              <w:kinsoku/>
              <w:wordWrap/>
              <w:overflowPunct/>
              <w:topLinePunct w:val="0"/>
              <w:autoSpaceDE/>
              <w:autoSpaceDN/>
              <w:bidi w:val="0"/>
              <w:adjustRightInd/>
              <w:snapToGrid/>
              <w:spacing w:line="360" w:lineRule="auto"/>
              <w:ind w:firstLine="496" w:firstLineChars="200"/>
              <w:textAlignment w:val="auto"/>
              <w:rPr>
                <w:rFonts w:hint="default" w:ascii="Times New Roman" w:hAnsi="Times New Roman" w:eastAsia="宋体" w:cs="Times New Roman"/>
                <w:color w:val="auto"/>
                <w:spacing w:val="4"/>
                <w:sz w:val="24"/>
                <w:highlight w:val="none"/>
              </w:rPr>
            </w:pPr>
            <w:r>
              <w:rPr>
                <w:rFonts w:hint="default" w:ascii="Times New Roman" w:hAnsi="Times New Roman" w:eastAsia="宋体" w:cs="Times New Roman"/>
                <w:color w:val="auto"/>
                <w:spacing w:val="4"/>
                <w:sz w:val="24"/>
                <w:highlight w:val="none"/>
              </w:rPr>
              <w:t>本次风险评价以《建设项目环境风险评价技术导则》（HJ 169-2018）作为依据，通过对项目的风险识别，风险分析</w:t>
            </w:r>
            <w:r>
              <w:rPr>
                <w:rFonts w:hint="eastAsia" w:ascii="Times New Roman" w:hAnsi="Times New Roman" w:eastAsia="宋体" w:cs="Times New Roman"/>
                <w:color w:val="auto"/>
                <w:spacing w:val="4"/>
                <w:sz w:val="24"/>
                <w:highlight w:val="none"/>
                <w:lang w:eastAsia="zh-CN"/>
              </w:rPr>
              <w:t>和</w:t>
            </w:r>
            <w:r>
              <w:rPr>
                <w:rFonts w:hint="default" w:ascii="Times New Roman" w:hAnsi="Times New Roman" w:eastAsia="宋体" w:cs="Times New Roman"/>
                <w:color w:val="auto"/>
                <w:spacing w:val="4"/>
                <w:sz w:val="24"/>
                <w:highlight w:val="none"/>
              </w:rPr>
              <w:t>环境后果计算等进行环境风险评价，了解其环境风险的可接受程度，提出减少风险事故的应急措施，为工程设计和环境管理提供资料和依据，</w:t>
            </w:r>
            <w:r>
              <w:rPr>
                <w:rFonts w:hint="default" w:ascii="Times New Roman" w:hAnsi="Times New Roman" w:eastAsia="宋体" w:cs="Times New Roman"/>
                <w:color w:val="auto"/>
                <w:spacing w:val="4"/>
                <w:sz w:val="24"/>
                <w:highlight w:val="none"/>
                <w:lang w:eastAsia="zh-CN"/>
              </w:rPr>
              <w:t>以</w:t>
            </w:r>
            <w:r>
              <w:rPr>
                <w:rFonts w:hint="default" w:ascii="Times New Roman" w:hAnsi="Times New Roman" w:eastAsia="宋体" w:cs="Times New Roman"/>
                <w:color w:val="auto"/>
                <w:spacing w:val="4"/>
                <w:sz w:val="24"/>
                <w:highlight w:val="none"/>
              </w:rPr>
              <w:t>达到降低危险、减少公害的目的。</w:t>
            </w:r>
          </w:p>
          <w:p w14:paraId="3747BA91">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b/>
                <w:bCs/>
                <w:color w:val="auto"/>
                <w:sz w:val="24"/>
                <w:highlight w:val="none"/>
              </w:rPr>
            </w:pPr>
            <w:r>
              <w:rPr>
                <w:rFonts w:hint="eastAsia"/>
                <w:b/>
                <w:bCs/>
                <w:color w:val="auto"/>
                <w:sz w:val="24"/>
                <w:highlight w:val="none"/>
              </w:rPr>
              <w:t>（1）</w:t>
            </w:r>
            <w:r>
              <w:rPr>
                <w:b/>
                <w:bCs/>
                <w:color w:val="auto"/>
                <w:sz w:val="24"/>
                <w:highlight w:val="none"/>
              </w:rPr>
              <w:t>物质危险性识别</w:t>
            </w:r>
          </w:p>
          <w:p w14:paraId="749E2F56">
            <w:pPr>
              <w:pStyle w:val="75"/>
              <w:spacing w:beforeLines="50" w:line="360" w:lineRule="auto"/>
              <w:ind w:firstLine="480" w:firstLineChars="200"/>
              <w:jc w:val="both"/>
              <w:rPr>
                <w:rFonts w:ascii="Times New Roman" w:hAnsi="Times New Roman" w:cs="Times New Roman"/>
                <w:color w:val="auto"/>
              </w:rPr>
            </w:pPr>
            <w:r>
              <w:rPr>
                <w:rFonts w:ascii="Times New Roman" w:hAnsi="Times New Roman" w:cs="Times New Roman"/>
                <w:color w:val="auto"/>
              </w:rPr>
              <w:t>根据《建设项目环境风险评价技术导则》（HJ169-2018）中关于风险评价等级的划分原则见下表。</w:t>
            </w:r>
          </w:p>
          <w:p w14:paraId="15DDB5A3">
            <w:pPr>
              <w:pStyle w:val="68"/>
              <w:numPr>
                <w:ilvl w:val="0"/>
                <w:numId w:val="19"/>
              </w:numPr>
              <w:spacing w:line="360" w:lineRule="auto"/>
              <w:ind w:left="0" w:leftChars="0" w:firstLine="0" w:firstLineChars="0"/>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  风险评价工作级别划分一览表</w:t>
            </w:r>
          </w:p>
          <w:tbl>
            <w:tblPr>
              <w:tblStyle w:val="7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391"/>
              <w:gridCol w:w="1454"/>
              <w:gridCol w:w="1932"/>
              <w:gridCol w:w="1938"/>
              <w:gridCol w:w="1746"/>
            </w:tblGrid>
            <w:tr w14:paraId="29D2D3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22" w:type="pct"/>
                  <w:tcBorders>
                    <w:tl2br w:val="nil"/>
                    <w:tr2bl w:val="nil"/>
                  </w:tcBorders>
                  <w:noWrap w:val="0"/>
                  <w:vAlign w:val="center"/>
                </w:tcPr>
                <w:p w14:paraId="3752CB2E">
                  <w:pPr>
                    <w:pStyle w:val="75"/>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环境风险潜势</w:t>
                  </w:r>
                </w:p>
              </w:tc>
              <w:tc>
                <w:tcPr>
                  <w:tcW w:w="859" w:type="pct"/>
                  <w:tcBorders>
                    <w:tl2br w:val="nil"/>
                    <w:tr2bl w:val="nil"/>
                  </w:tcBorders>
                  <w:noWrap w:val="0"/>
                  <w:vAlign w:val="center"/>
                </w:tcPr>
                <w:p w14:paraId="76E4A3F6">
                  <w:pPr>
                    <w:pStyle w:val="75"/>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IV、IV+</w:t>
                  </w:r>
                </w:p>
              </w:tc>
              <w:tc>
                <w:tcPr>
                  <w:tcW w:w="1142" w:type="pct"/>
                  <w:tcBorders>
                    <w:tl2br w:val="nil"/>
                    <w:tr2bl w:val="nil"/>
                  </w:tcBorders>
                  <w:noWrap w:val="0"/>
                  <w:vAlign w:val="center"/>
                </w:tcPr>
                <w:p w14:paraId="5AB25AFF">
                  <w:pPr>
                    <w:spacing w:line="240" w:lineRule="auto"/>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III</w:t>
                  </w:r>
                </w:p>
              </w:tc>
              <w:tc>
                <w:tcPr>
                  <w:tcW w:w="1145" w:type="pct"/>
                  <w:tcBorders>
                    <w:tl2br w:val="nil"/>
                    <w:tr2bl w:val="nil"/>
                  </w:tcBorders>
                  <w:noWrap w:val="0"/>
                  <w:vAlign w:val="center"/>
                </w:tcPr>
                <w:p w14:paraId="36ABBDAB">
                  <w:pPr>
                    <w:spacing w:line="240" w:lineRule="auto"/>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II</w:t>
                  </w:r>
                </w:p>
              </w:tc>
              <w:tc>
                <w:tcPr>
                  <w:tcW w:w="1030" w:type="pct"/>
                  <w:tcBorders>
                    <w:tl2br w:val="nil"/>
                    <w:tr2bl w:val="nil"/>
                  </w:tcBorders>
                  <w:noWrap w:val="0"/>
                  <w:vAlign w:val="center"/>
                </w:tcPr>
                <w:p w14:paraId="2044B2B2">
                  <w:pPr>
                    <w:spacing w:line="240" w:lineRule="auto"/>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I</w:t>
                  </w:r>
                </w:p>
              </w:tc>
            </w:tr>
            <w:tr w14:paraId="3C60CF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22" w:type="pct"/>
                  <w:tcBorders>
                    <w:tl2br w:val="nil"/>
                    <w:tr2bl w:val="nil"/>
                  </w:tcBorders>
                  <w:noWrap w:val="0"/>
                  <w:vAlign w:val="center"/>
                </w:tcPr>
                <w:p w14:paraId="4810F773">
                  <w:pPr>
                    <w:pStyle w:val="75"/>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评价工作等级</w:t>
                  </w:r>
                </w:p>
              </w:tc>
              <w:tc>
                <w:tcPr>
                  <w:tcW w:w="859" w:type="pct"/>
                  <w:tcBorders>
                    <w:tl2br w:val="nil"/>
                    <w:tr2bl w:val="nil"/>
                  </w:tcBorders>
                  <w:noWrap w:val="0"/>
                  <w:vAlign w:val="center"/>
                </w:tcPr>
                <w:p w14:paraId="4582877D">
                  <w:pPr>
                    <w:pStyle w:val="75"/>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一</w:t>
                  </w:r>
                </w:p>
              </w:tc>
              <w:tc>
                <w:tcPr>
                  <w:tcW w:w="1142" w:type="pct"/>
                  <w:tcBorders>
                    <w:tl2br w:val="nil"/>
                    <w:tr2bl w:val="nil"/>
                  </w:tcBorders>
                  <w:noWrap w:val="0"/>
                  <w:vAlign w:val="center"/>
                </w:tcPr>
                <w:p w14:paraId="51C74D82">
                  <w:pPr>
                    <w:pStyle w:val="75"/>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二</w:t>
                  </w:r>
                </w:p>
              </w:tc>
              <w:tc>
                <w:tcPr>
                  <w:tcW w:w="1145" w:type="pct"/>
                  <w:tcBorders>
                    <w:tl2br w:val="nil"/>
                    <w:tr2bl w:val="nil"/>
                  </w:tcBorders>
                  <w:noWrap w:val="0"/>
                  <w:vAlign w:val="center"/>
                </w:tcPr>
                <w:p w14:paraId="367756C2">
                  <w:pPr>
                    <w:pStyle w:val="75"/>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三</w:t>
                  </w:r>
                </w:p>
              </w:tc>
              <w:tc>
                <w:tcPr>
                  <w:tcW w:w="1030" w:type="pct"/>
                  <w:tcBorders>
                    <w:tl2br w:val="nil"/>
                    <w:tr2bl w:val="nil"/>
                  </w:tcBorders>
                  <w:noWrap w:val="0"/>
                  <w:vAlign w:val="center"/>
                </w:tcPr>
                <w:p w14:paraId="643F81AF">
                  <w:pPr>
                    <w:pStyle w:val="75"/>
                    <w:spacing w:line="24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简单分析a</w:t>
                  </w:r>
                </w:p>
              </w:tc>
            </w:tr>
            <w:tr w14:paraId="573338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000" w:type="pct"/>
                  <w:gridSpan w:val="5"/>
                  <w:tcBorders>
                    <w:tl2br w:val="nil"/>
                    <w:tr2bl w:val="nil"/>
                  </w:tcBorders>
                  <w:noWrap w:val="0"/>
                  <w:vAlign w:val="center"/>
                </w:tcPr>
                <w:p w14:paraId="22E04BC2">
                  <w:pPr>
                    <w:pStyle w:val="75"/>
                    <w:spacing w:line="240" w:lineRule="auto"/>
                    <w:jc w:val="center"/>
                    <w:rPr>
                      <w:rFonts w:ascii="Times New Roman" w:hAnsi="Times New Roman" w:cs="Times New Roman"/>
                      <w:color w:val="auto"/>
                      <w:sz w:val="21"/>
                      <w:szCs w:val="21"/>
                    </w:rPr>
                  </w:pPr>
                  <w:r>
                    <w:rPr>
                      <w:rFonts w:hint="eastAsia" w:ascii="Times New Roman" w:hAnsi="Times New Roman" w:cs="Times New Roman"/>
                      <w:color w:val="auto"/>
                      <w:sz w:val="21"/>
                      <w:szCs w:val="21"/>
                      <w:lang w:eastAsia="zh-CN"/>
                    </w:rPr>
                    <w:t>a.</w:t>
                  </w:r>
                  <w:r>
                    <w:rPr>
                      <w:rFonts w:ascii="Times New Roman" w:hAnsi="Times New Roman" w:cs="Times New Roman"/>
                      <w:color w:val="auto"/>
                      <w:sz w:val="21"/>
                      <w:szCs w:val="21"/>
                    </w:rPr>
                    <w:t>是相对于详细评价工作内容而言，在描述危险物质、环境影响途径、环境危害后果、风险防范措施等方面给出定性的说明</w:t>
                  </w:r>
                </w:p>
              </w:tc>
            </w:tr>
          </w:tbl>
          <w:p w14:paraId="70A7528D">
            <w:pPr>
              <w:adjustRightInd w:val="0"/>
              <w:snapToGrid w:val="0"/>
              <w:ind w:firstLine="496" w:firstLineChars="200"/>
              <w:rPr>
                <w:rFonts w:hint="eastAsia" w:ascii="宋体" w:hAnsi="宋体" w:eastAsia="宋体" w:cs="宋体"/>
                <w:color w:val="auto"/>
                <w:spacing w:val="4"/>
                <w:sz w:val="24"/>
                <w:highlight w:val="none"/>
              </w:rPr>
            </w:pPr>
          </w:p>
          <w:p w14:paraId="07B2E8AF">
            <w:pPr>
              <w:pStyle w:val="75"/>
              <w:spacing w:beforeLines="50" w:line="360" w:lineRule="auto"/>
              <w:ind w:firstLine="480" w:firstLineChars="200"/>
              <w:jc w:val="both"/>
              <w:rPr>
                <w:rFonts w:ascii="Times New Roman" w:hAnsi="Times New Roman" w:cs="Times New Roman"/>
                <w:color w:val="auto"/>
              </w:rPr>
            </w:pPr>
            <w:r>
              <w:rPr>
                <w:rFonts w:ascii="Times New Roman" w:hAnsi="Times New Roman" w:cs="Times New Roman"/>
                <w:color w:val="auto"/>
              </w:rPr>
              <w:t>计算涉及的每种危险物质在厂界内的最大存在总量与对应临界量的比值。当存在多种危险物质时，则按下式计算物质总量与其临界量比值（Q）：</w:t>
            </w:r>
          </w:p>
          <w:p w14:paraId="6526650A">
            <w:pPr>
              <w:spacing w:before="89" w:line="510" w:lineRule="exact"/>
              <w:ind w:left="3038"/>
              <w:rPr>
                <w:rFonts w:ascii="Times New Roman" w:hAnsi="Times New Roman" w:eastAsia="宋体" w:cs="Times New Roman"/>
                <w:color w:val="auto"/>
              </w:rPr>
            </w:pPr>
            <w:r>
              <w:rPr>
                <w:rFonts w:ascii="Times New Roman" w:hAnsi="Times New Roman" w:eastAsia="宋体" w:cs="Times New Roman"/>
                <w:color w:val="auto"/>
                <w:lang w:eastAsia="zh-CN"/>
              </w:rPr>
              <w:drawing>
                <wp:inline distT="0" distB="0" distL="114300" distR="114300">
                  <wp:extent cx="1502410" cy="323850"/>
                  <wp:effectExtent l="0" t="0" r="2540" b="0"/>
                  <wp:docPr id="7" name="IM 24"/>
                  <wp:cNvGraphicFramePr/>
                  <a:graphic xmlns:a="http://schemas.openxmlformats.org/drawingml/2006/main">
                    <a:graphicData uri="http://schemas.openxmlformats.org/drawingml/2006/picture">
                      <pic:pic xmlns:pic="http://schemas.openxmlformats.org/drawingml/2006/picture">
                        <pic:nvPicPr>
                          <pic:cNvPr id="7" name="IM 24"/>
                          <pic:cNvPicPr/>
                        </pic:nvPicPr>
                        <pic:blipFill>
                          <a:blip r:embed="rId40"/>
                          <a:stretch>
                            <a:fillRect/>
                          </a:stretch>
                        </pic:blipFill>
                        <pic:spPr>
                          <a:xfrm>
                            <a:off x="0" y="0"/>
                            <a:ext cx="1502410" cy="323850"/>
                          </a:xfrm>
                          <a:prstGeom prst="rect">
                            <a:avLst/>
                          </a:prstGeom>
                          <a:noFill/>
                          <a:ln>
                            <a:noFill/>
                          </a:ln>
                        </pic:spPr>
                      </pic:pic>
                    </a:graphicData>
                  </a:graphic>
                </wp:inline>
              </w:drawing>
            </w:r>
          </w:p>
          <w:p w14:paraId="5ED4DBBD">
            <w:pPr>
              <w:pStyle w:val="75"/>
              <w:spacing w:beforeLines="50" w:line="360" w:lineRule="auto"/>
              <w:ind w:firstLine="480" w:firstLineChars="200"/>
              <w:jc w:val="both"/>
              <w:rPr>
                <w:rFonts w:ascii="Times New Roman" w:hAnsi="Times New Roman" w:cs="Times New Roman"/>
                <w:color w:val="auto"/>
              </w:rPr>
            </w:pPr>
            <w:r>
              <w:rPr>
                <w:rFonts w:ascii="Times New Roman" w:hAnsi="Times New Roman" w:cs="Times New Roman"/>
                <w:color w:val="auto"/>
              </w:rPr>
              <w:t>式中：q1，q2，...，qn——每种危险物质的最大存在总量，t；</w:t>
            </w:r>
          </w:p>
          <w:p w14:paraId="382AE4DC">
            <w:pPr>
              <w:pStyle w:val="75"/>
              <w:spacing w:beforeLines="50" w:line="360" w:lineRule="auto"/>
              <w:ind w:firstLine="480" w:firstLineChars="200"/>
              <w:jc w:val="both"/>
              <w:rPr>
                <w:rFonts w:ascii="Times New Roman" w:hAnsi="Times New Roman" w:cs="Times New Roman"/>
                <w:color w:val="auto"/>
              </w:rPr>
            </w:pPr>
            <w:r>
              <w:rPr>
                <w:rFonts w:ascii="Times New Roman" w:hAnsi="Times New Roman" w:cs="Times New Roman"/>
                <w:color w:val="auto"/>
              </w:rPr>
              <w:t>Q1，Q2，...，Qn——每种危险物质的临界量，t。</w:t>
            </w:r>
          </w:p>
          <w:p w14:paraId="59DF0A01">
            <w:pPr>
              <w:pStyle w:val="75"/>
              <w:spacing w:beforeLines="50" w:line="360" w:lineRule="auto"/>
              <w:ind w:firstLine="480" w:firstLineChars="200"/>
              <w:jc w:val="both"/>
              <w:rPr>
                <w:rFonts w:ascii="Times New Roman" w:hAnsi="Times New Roman" w:cs="Times New Roman"/>
                <w:color w:val="auto"/>
              </w:rPr>
            </w:pPr>
            <w:r>
              <w:rPr>
                <w:rFonts w:ascii="Times New Roman" w:hAnsi="Times New Roman" w:cs="Times New Roman"/>
                <w:color w:val="auto"/>
              </w:rPr>
              <w:t>当Q＜1时，该项目环境风险潜势为Ⅰ。</w:t>
            </w:r>
          </w:p>
          <w:p w14:paraId="3DD17210">
            <w:pPr>
              <w:pStyle w:val="75"/>
              <w:spacing w:beforeLines="50" w:line="360" w:lineRule="auto"/>
              <w:ind w:firstLine="480" w:firstLineChars="200"/>
              <w:jc w:val="both"/>
              <w:rPr>
                <w:rFonts w:ascii="Times New Roman" w:hAnsi="Times New Roman" w:cs="Times New Roman"/>
                <w:color w:val="auto"/>
              </w:rPr>
            </w:pPr>
            <w:r>
              <w:rPr>
                <w:rFonts w:ascii="Times New Roman" w:hAnsi="Times New Roman" w:cs="Times New Roman"/>
                <w:color w:val="auto"/>
              </w:rPr>
              <w:t>当Q≥1时，将Q值划分为：（1）1≤Q＜10；（2）10≤Q＜100；（3）Q≥100。</w:t>
            </w:r>
          </w:p>
          <w:p w14:paraId="4CD2359C">
            <w:pPr>
              <w:pStyle w:val="75"/>
              <w:spacing w:beforeLines="50" w:line="360" w:lineRule="auto"/>
              <w:ind w:firstLine="480" w:firstLineChars="200"/>
              <w:jc w:val="both"/>
              <w:rPr>
                <w:rFonts w:hint="eastAsia" w:ascii="宋体" w:hAnsi="宋体" w:eastAsia="宋体" w:cs="宋体"/>
                <w:color w:val="auto"/>
                <w:spacing w:val="4"/>
                <w:sz w:val="24"/>
                <w:highlight w:val="none"/>
              </w:rPr>
            </w:pPr>
            <w:r>
              <w:rPr>
                <w:rFonts w:ascii="Times New Roman" w:hAnsi="Times New Roman" w:cs="Times New Roman"/>
                <w:color w:val="auto"/>
              </w:rPr>
              <w:t>按照《建设项目环境风险评价技术导则》（HJ169-2018）附录B表B.1突发环境事件风险物质及临界量。</w:t>
            </w:r>
          </w:p>
          <w:p w14:paraId="3BDA8A54">
            <w:pPr>
              <w:adjustRightInd w:val="0"/>
              <w:snapToGrid w:val="0"/>
              <w:ind w:firstLine="496" w:firstLineChars="200"/>
              <w:rPr>
                <w:rFonts w:hint="default" w:ascii="Times New Roman" w:hAnsi="Times New Roman" w:eastAsia="宋体" w:cs="Times New Roman"/>
                <w:color w:val="auto"/>
                <w:spacing w:val="4"/>
                <w:sz w:val="24"/>
                <w:highlight w:val="none"/>
                <w:lang w:val="en-US" w:eastAsia="zh-CN"/>
              </w:rPr>
            </w:pPr>
            <w:r>
              <w:rPr>
                <w:rFonts w:hint="eastAsia" w:ascii="宋体" w:hAnsi="宋体" w:eastAsia="宋体" w:cs="宋体"/>
                <w:color w:val="auto"/>
                <w:spacing w:val="4"/>
                <w:sz w:val="24"/>
                <w:highlight w:val="none"/>
              </w:rPr>
              <w:t>本项目</w:t>
            </w:r>
            <w:r>
              <w:rPr>
                <w:rFonts w:hint="eastAsia"/>
                <w:color w:val="auto"/>
                <w:sz w:val="24"/>
                <w:highlight w:val="none"/>
              </w:rPr>
              <w:t>运营期</w:t>
            </w:r>
            <w:r>
              <w:rPr>
                <w:rFonts w:hint="default" w:ascii="Times New Roman" w:hAnsi="Times New Roman" w:eastAsia="宋体" w:cs="Times New Roman"/>
                <w:color w:val="auto"/>
                <w:spacing w:val="4"/>
                <w:sz w:val="24"/>
                <w:highlight w:val="none"/>
              </w:rPr>
              <w:t>涉及《建设项目环境风险评价技术导则》（HJ169-2018）附录</w:t>
            </w:r>
            <w:r>
              <w:rPr>
                <w:rFonts w:hint="eastAsia" w:ascii="Times New Roman" w:hAnsi="Times New Roman" w:eastAsia="宋体" w:cs="Times New Roman"/>
                <w:color w:val="auto"/>
                <w:spacing w:val="4"/>
                <w:sz w:val="24"/>
                <w:highlight w:val="none"/>
                <w:lang w:val="en-US" w:eastAsia="zh-CN"/>
              </w:rPr>
              <w:t>B</w:t>
            </w:r>
            <w:r>
              <w:rPr>
                <w:rFonts w:hint="default" w:ascii="Times New Roman" w:hAnsi="Times New Roman" w:eastAsia="宋体" w:cs="Times New Roman"/>
                <w:color w:val="auto"/>
                <w:spacing w:val="4"/>
                <w:sz w:val="24"/>
                <w:highlight w:val="none"/>
              </w:rPr>
              <w:t>中的风险物质为</w:t>
            </w:r>
            <w:r>
              <w:rPr>
                <w:rFonts w:hint="eastAsia" w:ascii="Times New Roman" w:hAnsi="Times New Roman" w:eastAsia="宋体" w:cs="Times New Roman"/>
                <w:color w:val="auto"/>
                <w:spacing w:val="4"/>
                <w:sz w:val="24"/>
                <w:highlight w:val="none"/>
                <w:lang w:val="en-US" w:eastAsia="zh-CN"/>
              </w:rPr>
              <w:t>UV底漆、UV面漆</w:t>
            </w:r>
            <w:r>
              <w:rPr>
                <w:rFonts w:hint="default" w:ascii="Times New Roman" w:hAnsi="Times New Roman" w:cs="Times New Roman"/>
                <w:color w:val="auto"/>
                <w:sz w:val="24"/>
                <w:highlight w:val="none"/>
              </w:rPr>
              <w:t>。</w:t>
            </w:r>
            <w:r>
              <w:rPr>
                <w:rFonts w:hint="eastAsia" w:ascii="Times New Roman" w:hAnsi="Times New Roman" w:cs="Times New Roman"/>
                <w:color w:val="auto"/>
                <w:sz w:val="24"/>
                <w:highlight w:val="none"/>
                <w:lang w:eastAsia="zh-CN"/>
              </w:rPr>
              <w:t>根据前文漆料的主要成分，对照</w:t>
            </w:r>
            <w:r>
              <w:rPr>
                <w:rFonts w:hint="default" w:ascii="Times New Roman" w:hAnsi="Times New Roman" w:eastAsia="宋体" w:cs="Times New Roman"/>
                <w:color w:val="auto"/>
                <w:spacing w:val="4"/>
                <w:sz w:val="24"/>
                <w:highlight w:val="none"/>
              </w:rPr>
              <w:t>附录</w:t>
            </w:r>
            <w:r>
              <w:rPr>
                <w:rFonts w:hint="eastAsia" w:ascii="Times New Roman" w:hAnsi="Times New Roman" w:eastAsia="宋体" w:cs="Times New Roman"/>
                <w:color w:val="auto"/>
                <w:spacing w:val="4"/>
                <w:sz w:val="24"/>
                <w:highlight w:val="none"/>
                <w:lang w:val="en-US" w:eastAsia="zh-CN"/>
              </w:rPr>
              <w:t>B，其主要成分未被列入，因此可知Q＜1。根据《建设项目环境风险评价技术导则》（HJ169-2018），环境风险潜势为I，可只进行简单分析。</w:t>
            </w:r>
          </w:p>
          <w:p w14:paraId="1960F926">
            <w:pPr>
              <w:pStyle w:val="68"/>
              <w:numPr>
                <w:ilvl w:val="0"/>
                <w:numId w:val="19"/>
              </w:numPr>
              <w:spacing w:line="360" w:lineRule="auto"/>
              <w:ind w:left="0" w:leftChars="0" w:firstLine="0" w:firstLineChars="0"/>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  风险物质识别一览表</w:t>
            </w:r>
          </w:p>
          <w:tbl>
            <w:tblPr>
              <w:tblStyle w:val="2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4"/>
              <w:gridCol w:w="1968"/>
              <w:gridCol w:w="1833"/>
              <w:gridCol w:w="1930"/>
              <w:gridCol w:w="1936"/>
            </w:tblGrid>
            <w:tr w14:paraId="0D8AA1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69" w:type="pct"/>
                  <w:noWrap w:val="0"/>
                  <w:vAlign w:val="center"/>
                </w:tcPr>
                <w:p w14:paraId="2A977F73">
                  <w:pPr>
                    <w:adjustRightInd w:val="0"/>
                    <w:snapToGrid w:val="0"/>
                    <w:spacing w:line="240" w:lineRule="auto"/>
                    <w:jc w:val="center"/>
                    <w:rPr>
                      <w:b/>
                      <w:bCs/>
                      <w:color w:val="auto"/>
                      <w:sz w:val="21"/>
                      <w:szCs w:val="21"/>
                    </w:rPr>
                  </w:pPr>
                  <w:r>
                    <w:rPr>
                      <w:b/>
                      <w:bCs/>
                      <w:color w:val="auto"/>
                      <w:sz w:val="21"/>
                      <w:szCs w:val="21"/>
                    </w:rPr>
                    <w:t>序号</w:t>
                  </w:r>
                </w:p>
              </w:tc>
              <w:tc>
                <w:tcPr>
                  <w:tcW w:w="1163" w:type="pct"/>
                  <w:noWrap w:val="0"/>
                  <w:vAlign w:val="center"/>
                </w:tcPr>
                <w:p w14:paraId="1A7DA6C8">
                  <w:pPr>
                    <w:adjustRightInd w:val="0"/>
                    <w:snapToGrid w:val="0"/>
                    <w:spacing w:line="240" w:lineRule="auto"/>
                    <w:jc w:val="center"/>
                    <w:rPr>
                      <w:b/>
                      <w:bCs/>
                      <w:color w:val="auto"/>
                      <w:sz w:val="21"/>
                      <w:szCs w:val="21"/>
                    </w:rPr>
                  </w:pPr>
                  <w:r>
                    <w:rPr>
                      <w:b/>
                      <w:bCs/>
                      <w:color w:val="auto"/>
                      <w:sz w:val="21"/>
                      <w:szCs w:val="21"/>
                    </w:rPr>
                    <w:t>危险化学品名称</w:t>
                  </w:r>
                </w:p>
              </w:tc>
              <w:tc>
                <w:tcPr>
                  <w:tcW w:w="1083" w:type="pct"/>
                  <w:noWrap w:val="0"/>
                  <w:vAlign w:val="center"/>
                </w:tcPr>
                <w:p w14:paraId="71BE5079">
                  <w:pPr>
                    <w:adjustRightInd w:val="0"/>
                    <w:snapToGrid w:val="0"/>
                    <w:spacing w:line="240" w:lineRule="auto"/>
                    <w:jc w:val="center"/>
                    <w:rPr>
                      <w:b/>
                      <w:bCs/>
                      <w:color w:val="auto"/>
                      <w:sz w:val="21"/>
                      <w:szCs w:val="21"/>
                    </w:rPr>
                  </w:pPr>
                  <w:r>
                    <w:rPr>
                      <w:b/>
                      <w:bCs/>
                      <w:color w:val="auto"/>
                      <w:sz w:val="21"/>
                      <w:szCs w:val="21"/>
                    </w:rPr>
                    <w:t>最大</w:t>
                  </w:r>
                  <w:r>
                    <w:rPr>
                      <w:rFonts w:hint="eastAsia"/>
                      <w:b/>
                      <w:bCs/>
                      <w:color w:val="auto"/>
                      <w:sz w:val="21"/>
                      <w:szCs w:val="21"/>
                    </w:rPr>
                    <w:t>存在</w:t>
                  </w:r>
                  <w:r>
                    <w:rPr>
                      <w:b/>
                      <w:bCs/>
                      <w:color w:val="auto"/>
                      <w:sz w:val="21"/>
                      <w:szCs w:val="21"/>
                    </w:rPr>
                    <w:t>量（t）</w:t>
                  </w:r>
                </w:p>
              </w:tc>
              <w:tc>
                <w:tcPr>
                  <w:tcW w:w="1140" w:type="pct"/>
                  <w:noWrap w:val="0"/>
                  <w:vAlign w:val="center"/>
                </w:tcPr>
                <w:p w14:paraId="6E50C73C">
                  <w:pPr>
                    <w:adjustRightInd w:val="0"/>
                    <w:snapToGrid w:val="0"/>
                    <w:spacing w:line="240" w:lineRule="auto"/>
                    <w:jc w:val="center"/>
                    <w:rPr>
                      <w:b/>
                      <w:bCs/>
                      <w:color w:val="auto"/>
                      <w:sz w:val="21"/>
                      <w:szCs w:val="21"/>
                    </w:rPr>
                  </w:pPr>
                  <w:r>
                    <w:rPr>
                      <w:b/>
                      <w:bCs/>
                      <w:color w:val="auto"/>
                      <w:sz w:val="21"/>
                      <w:szCs w:val="21"/>
                    </w:rPr>
                    <w:t>临界量（t）</w:t>
                  </w:r>
                </w:p>
              </w:tc>
              <w:tc>
                <w:tcPr>
                  <w:tcW w:w="1143" w:type="pct"/>
                  <w:noWrap w:val="0"/>
                  <w:vAlign w:val="center"/>
                </w:tcPr>
                <w:p w14:paraId="58A88C96">
                  <w:pPr>
                    <w:adjustRightInd w:val="0"/>
                    <w:snapToGrid w:val="0"/>
                    <w:spacing w:line="240" w:lineRule="auto"/>
                    <w:jc w:val="center"/>
                    <w:rPr>
                      <w:rFonts w:hint="eastAsia"/>
                      <w:b/>
                      <w:bCs/>
                      <w:color w:val="auto"/>
                      <w:sz w:val="21"/>
                      <w:szCs w:val="21"/>
                    </w:rPr>
                  </w:pPr>
                  <w:r>
                    <w:rPr>
                      <w:rFonts w:hint="eastAsia"/>
                      <w:b/>
                      <w:bCs/>
                      <w:color w:val="auto"/>
                      <w:sz w:val="21"/>
                      <w:szCs w:val="21"/>
                    </w:rPr>
                    <w:t>Q值</w:t>
                  </w:r>
                </w:p>
              </w:tc>
            </w:tr>
            <w:tr w14:paraId="7E6CE6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69" w:type="pct"/>
                  <w:noWrap w:val="0"/>
                  <w:vAlign w:val="center"/>
                </w:tcPr>
                <w:p w14:paraId="1F732B72">
                  <w:pPr>
                    <w:adjustRightInd w:val="0"/>
                    <w:snapToGrid w:val="0"/>
                    <w:spacing w:line="240" w:lineRule="auto"/>
                    <w:jc w:val="center"/>
                    <w:rPr>
                      <w:rFonts w:hint="eastAsia"/>
                      <w:color w:val="auto"/>
                      <w:sz w:val="21"/>
                      <w:szCs w:val="21"/>
                      <w:lang w:val="en-US" w:eastAsia="zh-CN"/>
                    </w:rPr>
                  </w:pPr>
                  <w:r>
                    <w:rPr>
                      <w:rFonts w:hint="eastAsia"/>
                      <w:color w:val="auto"/>
                      <w:sz w:val="21"/>
                      <w:szCs w:val="21"/>
                      <w:lang w:val="en-US" w:eastAsia="zh-CN"/>
                    </w:rPr>
                    <w:t>1</w:t>
                  </w:r>
                </w:p>
              </w:tc>
              <w:tc>
                <w:tcPr>
                  <w:tcW w:w="1163" w:type="pct"/>
                  <w:noWrap w:val="0"/>
                  <w:vAlign w:val="center"/>
                </w:tcPr>
                <w:p w14:paraId="577D0123">
                  <w:pPr>
                    <w:spacing w:line="240" w:lineRule="auto"/>
                    <w:ind w:right="-113" w:rightChars="0"/>
                    <w:jc w:val="center"/>
                    <w:rPr>
                      <w:rFonts w:hint="eastAsia"/>
                      <w:color w:val="auto"/>
                      <w:sz w:val="21"/>
                      <w:szCs w:val="21"/>
                    </w:rPr>
                  </w:pPr>
                  <w:r>
                    <w:rPr>
                      <w:rFonts w:hint="eastAsia"/>
                      <w:color w:val="auto"/>
                      <w:sz w:val="21"/>
                      <w:szCs w:val="21"/>
                    </w:rPr>
                    <w:t>UV底漆</w:t>
                  </w:r>
                </w:p>
              </w:tc>
              <w:tc>
                <w:tcPr>
                  <w:tcW w:w="1083" w:type="pct"/>
                  <w:noWrap w:val="0"/>
                  <w:vAlign w:val="center"/>
                </w:tcPr>
                <w:p w14:paraId="111C25C7">
                  <w:pPr>
                    <w:spacing w:line="240" w:lineRule="auto"/>
                    <w:ind w:right="-113" w:rightChars="0"/>
                    <w:jc w:val="center"/>
                    <w:rPr>
                      <w:rFonts w:hint="default" w:eastAsia="宋体"/>
                      <w:color w:val="auto"/>
                      <w:sz w:val="21"/>
                      <w:szCs w:val="21"/>
                      <w:lang w:val="en-US" w:eastAsia="zh-CN"/>
                    </w:rPr>
                  </w:pPr>
                  <w:r>
                    <w:rPr>
                      <w:rFonts w:hint="eastAsia"/>
                      <w:color w:val="auto"/>
                      <w:sz w:val="21"/>
                      <w:szCs w:val="21"/>
                      <w:lang w:val="en-US" w:eastAsia="zh-CN"/>
                    </w:rPr>
                    <w:t>0.25</w:t>
                  </w:r>
                </w:p>
              </w:tc>
              <w:tc>
                <w:tcPr>
                  <w:tcW w:w="1140" w:type="pct"/>
                  <w:noWrap w:val="0"/>
                  <w:vAlign w:val="center"/>
                </w:tcPr>
                <w:p w14:paraId="7536AFF1">
                  <w:pPr>
                    <w:spacing w:line="240" w:lineRule="auto"/>
                    <w:ind w:right="-113" w:rightChars="0"/>
                    <w:jc w:val="center"/>
                    <w:rPr>
                      <w:rFonts w:hint="default"/>
                      <w:color w:val="auto"/>
                      <w:sz w:val="21"/>
                      <w:szCs w:val="21"/>
                      <w:lang w:val="en-US" w:eastAsia="zh-CN"/>
                    </w:rPr>
                  </w:pPr>
                  <w:r>
                    <w:rPr>
                      <w:rFonts w:hint="eastAsia"/>
                      <w:color w:val="auto"/>
                      <w:sz w:val="21"/>
                      <w:szCs w:val="21"/>
                      <w:lang w:val="en-US" w:eastAsia="zh-CN"/>
                    </w:rPr>
                    <w:t>/</w:t>
                  </w:r>
                </w:p>
              </w:tc>
              <w:tc>
                <w:tcPr>
                  <w:tcW w:w="1143" w:type="pct"/>
                  <w:noWrap w:val="0"/>
                  <w:vAlign w:val="center"/>
                </w:tcPr>
                <w:p w14:paraId="5339545C">
                  <w:pPr>
                    <w:spacing w:line="240" w:lineRule="auto"/>
                    <w:ind w:right="-113" w:right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r>
            <w:tr w14:paraId="73DF7A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69" w:type="pct"/>
                  <w:noWrap w:val="0"/>
                  <w:vAlign w:val="center"/>
                </w:tcPr>
                <w:p w14:paraId="3AA424F3">
                  <w:pPr>
                    <w:adjustRightInd w:val="0"/>
                    <w:snapToGrid w:val="0"/>
                    <w:spacing w:line="240" w:lineRule="auto"/>
                    <w:jc w:val="center"/>
                    <w:rPr>
                      <w:rFonts w:hint="eastAsia"/>
                      <w:color w:val="auto"/>
                      <w:sz w:val="21"/>
                      <w:szCs w:val="21"/>
                      <w:lang w:val="en-US" w:eastAsia="zh-CN"/>
                    </w:rPr>
                  </w:pPr>
                  <w:r>
                    <w:rPr>
                      <w:rFonts w:hint="eastAsia"/>
                      <w:color w:val="auto"/>
                      <w:sz w:val="21"/>
                      <w:szCs w:val="21"/>
                      <w:lang w:val="en-US" w:eastAsia="zh-CN"/>
                    </w:rPr>
                    <w:t>2</w:t>
                  </w:r>
                </w:p>
              </w:tc>
              <w:tc>
                <w:tcPr>
                  <w:tcW w:w="1163" w:type="pct"/>
                  <w:noWrap w:val="0"/>
                  <w:vAlign w:val="center"/>
                </w:tcPr>
                <w:p w14:paraId="262E68C5">
                  <w:pPr>
                    <w:spacing w:line="240" w:lineRule="auto"/>
                    <w:ind w:right="-113" w:rightChars="0"/>
                    <w:jc w:val="center"/>
                    <w:rPr>
                      <w:rFonts w:hint="eastAsia"/>
                      <w:color w:val="auto"/>
                      <w:sz w:val="21"/>
                      <w:szCs w:val="21"/>
                    </w:rPr>
                  </w:pPr>
                  <w:r>
                    <w:rPr>
                      <w:rFonts w:hint="eastAsia"/>
                      <w:color w:val="auto"/>
                      <w:sz w:val="21"/>
                      <w:szCs w:val="21"/>
                    </w:rPr>
                    <w:t>UV面漆</w:t>
                  </w:r>
                </w:p>
              </w:tc>
              <w:tc>
                <w:tcPr>
                  <w:tcW w:w="1083" w:type="pct"/>
                  <w:noWrap w:val="0"/>
                  <w:vAlign w:val="center"/>
                </w:tcPr>
                <w:p w14:paraId="19B6865A">
                  <w:pPr>
                    <w:spacing w:line="240" w:lineRule="auto"/>
                    <w:ind w:right="-113" w:rightChars="0"/>
                    <w:jc w:val="center"/>
                    <w:rPr>
                      <w:rFonts w:hint="default" w:eastAsia="宋体"/>
                      <w:color w:val="auto"/>
                      <w:sz w:val="21"/>
                      <w:szCs w:val="21"/>
                      <w:lang w:val="en-US" w:eastAsia="zh-CN"/>
                    </w:rPr>
                  </w:pPr>
                  <w:r>
                    <w:rPr>
                      <w:rFonts w:hint="eastAsia"/>
                      <w:color w:val="auto"/>
                      <w:sz w:val="21"/>
                      <w:szCs w:val="21"/>
                      <w:lang w:val="en-US" w:eastAsia="zh-CN"/>
                    </w:rPr>
                    <w:t>0.2</w:t>
                  </w:r>
                </w:p>
              </w:tc>
              <w:tc>
                <w:tcPr>
                  <w:tcW w:w="1140" w:type="pct"/>
                  <w:noWrap w:val="0"/>
                  <w:vAlign w:val="center"/>
                </w:tcPr>
                <w:p w14:paraId="1D4193E6">
                  <w:pPr>
                    <w:spacing w:line="240" w:lineRule="auto"/>
                    <w:ind w:right="-113" w:rightChars="0"/>
                    <w:jc w:val="center"/>
                    <w:rPr>
                      <w:rFonts w:hint="default"/>
                      <w:color w:val="auto"/>
                      <w:sz w:val="21"/>
                      <w:szCs w:val="21"/>
                      <w:lang w:val="en-US" w:eastAsia="zh-CN"/>
                    </w:rPr>
                  </w:pPr>
                  <w:r>
                    <w:rPr>
                      <w:rFonts w:hint="eastAsia"/>
                      <w:color w:val="auto"/>
                      <w:sz w:val="21"/>
                      <w:szCs w:val="21"/>
                      <w:lang w:val="en-US" w:eastAsia="zh-CN"/>
                    </w:rPr>
                    <w:t>/</w:t>
                  </w:r>
                </w:p>
              </w:tc>
              <w:tc>
                <w:tcPr>
                  <w:tcW w:w="1143" w:type="pct"/>
                  <w:noWrap w:val="0"/>
                  <w:vAlign w:val="center"/>
                </w:tcPr>
                <w:p w14:paraId="4BA6C80D">
                  <w:pPr>
                    <w:spacing w:line="240" w:lineRule="auto"/>
                    <w:ind w:right="-113" w:right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r>
            <w:tr w14:paraId="714BD6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469" w:type="pct"/>
                  <w:noWrap w:val="0"/>
                  <w:vAlign w:val="center"/>
                </w:tcPr>
                <w:p w14:paraId="63C30378">
                  <w:pPr>
                    <w:adjustRightInd w:val="0"/>
                    <w:snapToGrid w:val="0"/>
                    <w:spacing w:line="240" w:lineRule="auto"/>
                    <w:jc w:val="center"/>
                    <w:rPr>
                      <w:rFonts w:hint="eastAsia"/>
                      <w:color w:val="auto"/>
                      <w:sz w:val="21"/>
                      <w:szCs w:val="21"/>
                    </w:rPr>
                  </w:pPr>
                  <w:r>
                    <w:rPr>
                      <w:rFonts w:hint="eastAsia"/>
                      <w:color w:val="auto"/>
                      <w:sz w:val="21"/>
                      <w:szCs w:val="21"/>
                    </w:rPr>
                    <w:t>/</w:t>
                  </w:r>
                </w:p>
              </w:tc>
              <w:tc>
                <w:tcPr>
                  <w:tcW w:w="1163" w:type="pct"/>
                  <w:noWrap w:val="0"/>
                  <w:vAlign w:val="center"/>
                </w:tcPr>
                <w:p w14:paraId="66578E31">
                  <w:pPr>
                    <w:adjustRightInd w:val="0"/>
                    <w:snapToGrid w:val="0"/>
                    <w:spacing w:line="240" w:lineRule="auto"/>
                    <w:jc w:val="center"/>
                    <w:rPr>
                      <w:color w:val="auto"/>
                      <w:sz w:val="21"/>
                      <w:szCs w:val="21"/>
                    </w:rPr>
                  </w:pPr>
                  <w:r>
                    <w:rPr>
                      <w:color w:val="auto"/>
                      <w:sz w:val="21"/>
                      <w:szCs w:val="21"/>
                    </w:rPr>
                    <w:t>Q值</w:t>
                  </w:r>
                  <w:r>
                    <w:rPr>
                      <w:rFonts w:hint="eastAsia"/>
                      <w:color w:val="auto"/>
                      <w:sz w:val="21"/>
                      <w:szCs w:val="21"/>
                    </w:rPr>
                    <w:t>合计</w:t>
                  </w:r>
                </w:p>
              </w:tc>
              <w:tc>
                <w:tcPr>
                  <w:tcW w:w="3367" w:type="pct"/>
                  <w:gridSpan w:val="3"/>
                  <w:noWrap w:val="0"/>
                  <w:vAlign w:val="center"/>
                </w:tcPr>
                <w:p w14:paraId="34ED465F">
                  <w:pPr>
                    <w:adjustRightInd w:val="0"/>
                    <w:snapToGrid w:val="0"/>
                    <w:spacing w:line="240" w:lineRule="auto"/>
                    <w:jc w:val="center"/>
                    <w:rPr>
                      <w:rFonts w:hint="eastAsia" w:eastAsia="宋体"/>
                      <w:color w:val="auto"/>
                      <w:sz w:val="21"/>
                      <w:szCs w:val="21"/>
                      <w:lang w:val="en-US" w:eastAsia="zh-CN"/>
                    </w:rPr>
                  </w:pPr>
                  <w:r>
                    <w:rPr>
                      <w:rFonts w:hint="eastAsia"/>
                      <w:color w:val="auto"/>
                      <w:sz w:val="21"/>
                      <w:szCs w:val="21"/>
                      <w:lang w:val="en-US" w:eastAsia="zh-CN"/>
                    </w:rPr>
                    <w:t>/</w:t>
                  </w:r>
                </w:p>
              </w:tc>
            </w:tr>
          </w:tbl>
          <w:p w14:paraId="05C3A8C1">
            <w:pPr>
              <w:pStyle w:val="75"/>
              <w:spacing w:line="240" w:lineRule="auto"/>
              <w:rPr>
                <w:rFonts w:ascii="Times New Roman" w:hAnsi="Times New Roman" w:cs="Times New Roman"/>
                <w:color w:val="auto"/>
                <w:spacing w:val="-2"/>
                <w:highlight w:val="none"/>
                <w:lang w:eastAsia="zh-CN"/>
              </w:rPr>
            </w:pPr>
          </w:p>
          <w:p w14:paraId="6C85F699">
            <w:pPr>
              <w:pStyle w:val="44"/>
              <w:spacing w:line="360" w:lineRule="auto"/>
              <w:ind w:left="0" w:firstLine="482" w:firstLineChars="200"/>
              <w:rPr>
                <w:rFonts w:hint="eastAsia" w:ascii="Times New Roman" w:hAnsi="Times New Roman" w:eastAsia="宋体" w:cs="Times New Roman"/>
                <w:b/>
                <w:bCs/>
                <w:color w:val="auto"/>
                <w:sz w:val="24"/>
                <w:highlight w:val="none"/>
              </w:rPr>
            </w:pPr>
            <w:r>
              <w:rPr>
                <w:rFonts w:hint="eastAsia"/>
                <w:b/>
                <w:bCs/>
                <w:color w:val="auto"/>
                <w:sz w:val="24"/>
                <w:highlight w:val="none"/>
              </w:rPr>
              <w:t>（</w:t>
            </w:r>
            <w:r>
              <w:rPr>
                <w:rFonts w:hint="eastAsia" w:ascii="Times New Roman" w:hAnsi="Times New Roman" w:eastAsia="宋体" w:cs="Times New Roman"/>
                <w:b/>
                <w:bCs/>
                <w:color w:val="auto"/>
                <w:sz w:val="24"/>
                <w:highlight w:val="none"/>
              </w:rPr>
              <w:t>2</w:t>
            </w:r>
            <w:r>
              <w:rPr>
                <w:rFonts w:hint="eastAsia"/>
                <w:b/>
                <w:bCs/>
                <w:color w:val="auto"/>
                <w:sz w:val="24"/>
                <w:highlight w:val="none"/>
              </w:rPr>
              <w:t>）</w:t>
            </w:r>
            <w:r>
              <w:rPr>
                <w:rFonts w:hint="eastAsia" w:ascii="Times New Roman" w:hAnsi="Times New Roman" w:eastAsia="宋体" w:cs="Times New Roman"/>
                <w:b/>
                <w:bCs/>
                <w:color w:val="auto"/>
                <w:sz w:val="24"/>
                <w:highlight w:val="none"/>
                <w:lang w:eastAsia="zh-CN"/>
              </w:rPr>
              <w:t>环境风险影响分析及采取的措施</w:t>
            </w:r>
          </w:p>
          <w:p w14:paraId="2B83A75A">
            <w:pPr>
              <w:adjustRightInd w:val="0"/>
              <w:snapToGrid w:val="0"/>
              <w:ind w:firstLine="480"/>
              <w:rPr>
                <w:rFonts w:hint="eastAsia"/>
                <w:color w:val="auto"/>
                <w:sz w:val="24"/>
                <w:highlight w:val="none"/>
              </w:rPr>
            </w:pPr>
            <w:r>
              <w:rPr>
                <w:rFonts w:hint="eastAsia"/>
                <w:color w:val="auto"/>
                <w:sz w:val="24"/>
                <w:highlight w:val="none"/>
              </w:rPr>
              <w:t>根据《建设项目环境风险评价技术导则》（HJ 169-2018）中要求，大气环境风险简单分析应定性分析说明大气环境影响后果。</w:t>
            </w:r>
          </w:p>
          <w:p w14:paraId="1301442A">
            <w:pPr>
              <w:pStyle w:val="44"/>
              <w:spacing w:line="360" w:lineRule="auto"/>
              <w:ind w:left="0" w:firstLine="480" w:firstLineChars="200"/>
              <w:rPr>
                <w:rFonts w:hint="eastAsia" w:ascii="Times New Roman" w:hAnsi="Times New Roman"/>
                <w:color w:val="auto"/>
                <w:sz w:val="24"/>
                <w:highlight w:val="none"/>
              </w:rPr>
            </w:pPr>
            <w:r>
              <w:rPr>
                <w:rFonts w:hint="eastAsia" w:ascii="Times New Roman" w:hAnsi="Times New Roman"/>
                <w:color w:val="auto"/>
                <w:sz w:val="24"/>
                <w:highlight w:val="none"/>
              </w:rPr>
              <w:t>本项目</w:t>
            </w:r>
            <w:r>
              <w:rPr>
                <w:rFonts w:hint="eastAsia" w:ascii="Times New Roman" w:hAnsi="Times New Roman" w:cs="Times New Roman"/>
                <w:color w:val="auto"/>
                <w:sz w:val="24"/>
                <w:szCs w:val="24"/>
                <w:lang w:eastAsia="zh-CN"/>
              </w:rPr>
              <w:t>的风险物质主要为漆料。由于漆料使用量及存储量很小，主要风险为小范围泄漏，可及时控制，不会对地表水、地下水、土壤等产生影响。本项目</w:t>
            </w:r>
            <w:r>
              <w:rPr>
                <w:rFonts w:hint="eastAsia" w:ascii="Times New Roman" w:hAnsi="Times New Roman"/>
                <w:color w:val="auto"/>
                <w:sz w:val="24"/>
                <w:highlight w:val="none"/>
              </w:rPr>
              <w:t>设专人</w:t>
            </w:r>
            <w:r>
              <w:rPr>
                <w:rFonts w:hint="eastAsia" w:ascii="Times New Roman" w:hAnsi="Times New Roman"/>
                <w:color w:val="auto"/>
                <w:sz w:val="24"/>
                <w:highlight w:val="none"/>
                <w:lang w:eastAsia="zh-CN"/>
              </w:rPr>
              <w:t>对漆料使用和暂存处</w:t>
            </w:r>
            <w:r>
              <w:rPr>
                <w:rFonts w:hint="eastAsia" w:ascii="Times New Roman" w:hAnsi="Times New Roman"/>
                <w:color w:val="auto"/>
                <w:sz w:val="24"/>
                <w:highlight w:val="none"/>
                <w:lang w:eastAsia="zh-CN"/>
              </w:rPr>
              <w:t>定期检查</w:t>
            </w:r>
            <w:r>
              <w:rPr>
                <w:rFonts w:hint="eastAsia" w:ascii="Times New Roman" w:hAnsi="Times New Roman"/>
                <w:color w:val="auto"/>
                <w:sz w:val="24"/>
                <w:highlight w:val="none"/>
              </w:rPr>
              <w:t>，遇到异常情况及时处理</w:t>
            </w:r>
            <w:r>
              <w:rPr>
                <w:rFonts w:ascii="Times New Roman" w:hAnsi="Times New Roman"/>
                <w:color w:val="auto"/>
                <w:kern w:val="2"/>
                <w:sz w:val="24"/>
                <w:szCs w:val="24"/>
                <w:highlight w:val="none"/>
              </w:rPr>
              <w:t>。</w:t>
            </w:r>
            <w:r>
              <w:rPr>
                <w:rFonts w:hint="eastAsia" w:ascii="Times New Roman" w:hAnsi="Times New Roman"/>
                <w:color w:val="auto"/>
                <w:kern w:val="2"/>
                <w:sz w:val="24"/>
                <w:szCs w:val="24"/>
                <w:highlight w:val="none"/>
                <w:lang w:eastAsia="zh-CN"/>
              </w:rPr>
              <w:t>且本项目生产车间的危险废物贮存点做重点防渗，</w:t>
            </w:r>
            <w:r>
              <w:rPr>
                <w:rFonts w:hint="eastAsia" w:ascii="Times New Roman" w:hAnsi="Times New Roman" w:eastAsia="宋体" w:cs="Times New Roman"/>
                <w:color w:val="auto"/>
                <w:spacing w:val="9"/>
                <w:sz w:val="24"/>
                <w:szCs w:val="24"/>
                <w:lang w:eastAsia="zh-CN"/>
              </w:rPr>
              <w:t>生产车间（</w:t>
            </w:r>
            <w:r>
              <w:rPr>
                <w:rFonts w:hint="eastAsia" w:ascii="Times New Roman" w:hAnsi="Times New Roman" w:eastAsia="宋体" w:cs="Times New Roman"/>
                <w:color w:val="auto"/>
                <w:sz w:val="24"/>
                <w:szCs w:val="24"/>
                <w:highlight w:val="none"/>
                <w:lang w:eastAsia="zh-CN"/>
              </w:rPr>
              <w:t>除危险废物贮存点的</w:t>
            </w:r>
            <w:r>
              <w:rPr>
                <w:rFonts w:hint="eastAsia" w:ascii="Times New Roman" w:hAnsi="Times New Roman" w:eastAsia="宋体" w:cs="Times New Roman"/>
                <w:color w:val="auto"/>
                <w:spacing w:val="9"/>
                <w:sz w:val="24"/>
                <w:szCs w:val="24"/>
                <w:lang w:eastAsia="zh-CN"/>
              </w:rPr>
              <w:t>其他区域）做一般防渗</w:t>
            </w:r>
            <w:r>
              <w:rPr>
                <w:rFonts w:hint="eastAsia" w:ascii="Times New Roman" w:hAnsi="Times New Roman"/>
                <w:color w:val="auto"/>
                <w:kern w:val="2"/>
                <w:sz w:val="24"/>
                <w:szCs w:val="24"/>
                <w:highlight w:val="none"/>
                <w:lang w:eastAsia="zh-CN"/>
              </w:rPr>
              <w:t>。</w:t>
            </w:r>
            <w:r>
              <w:rPr>
                <w:rFonts w:hint="eastAsia" w:ascii="Times New Roman" w:hAnsi="Times New Roman"/>
                <w:color w:val="auto"/>
                <w:sz w:val="24"/>
                <w:highlight w:val="none"/>
              </w:rPr>
              <w:t>经采取以上环境风险防范措施后，风险可控。</w:t>
            </w:r>
          </w:p>
          <w:p w14:paraId="60512F02">
            <w:pPr>
              <w:pStyle w:val="44"/>
              <w:spacing w:line="360" w:lineRule="auto"/>
              <w:ind w:left="0" w:firstLine="482" w:firstLineChars="200"/>
              <w:rPr>
                <w:rFonts w:hint="eastAsia" w:ascii="Times New Roman" w:hAnsi="Times New Roman"/>
                <w:b/>
                <w:bCs/>
                <w:color w:val="auto"/>
                <w:sz w:val="24"/>
                <w:highlight w:val="none"/>
              </w:rPr>
            </w:pPr>
            <w:r>
              <w:rPr>
                <w:rFonts w:hint="eastAsia" w:ascii="Times New Roman" w:hAnsi="Times New Roman"/>
                <w:b/>
                <w:bCs/>
                <w:color w:val="auto"/>
                <w:sz w:val="24"/>
                <w:highlight w:val="none"/>
              </w:rPr>
              <w:t>（</w:t>
            </w:r>
            <w:r>
              <w:rPr>
                <w:rFonts w:hint="eastAsia" w:ascii="Times New Roman" w:hAnsi="Times New Roman"/>
                <w:b/>
                <w:bCs/>
                <w:color w:val="auto"/>
                <w:sz w:val="24"/>
                <w:highlight w:val="none"/>
                <w:lang w:val="en-US" w:eastAsia="zh-CN"/>
              </w:rPr>
              <w:t>3</w:t>
            </w:r>
            <w:r>
              <w:rPr>
                <w:rFonts w:hint="eastAsia" w:ascii="Times New Roman" w:hAnsi="Times New Roman"/>
                <w:b/>
                <w:bCs/>
                <w:color w:val="auto"/>
                <w:sz w:val="24"/>
                <w:highlight w:val="none"/>
              </w:rPr>
              <w:t>）环境风险防范措施和应急措施</w:t>
            </w:r>
          </w:p>
          <w:p w14:paraId="41EEF28C">
            <w:pPr>
              <w:pStyle w:val="44"/>
              <w:spacing w:line="360" w:lineRule="auto"/>
              <w:ind w:left="0" w:firstLine="480" w:firstLineChars="200"/>
              <w:rPr>
                <w:rFonts w:hint="eastAsia" w:ascii="Times New Roman" w:hAnsi="Times New Roman"/>
                <w:color w:val="auto"/>
                <w:sz w:val="24"/>
                <w:highlight w:val="none"/>
              </w:rPr>
            </w:pPr>
            <w:r>
              <w:rPr>
                <w:rFonts w:hint="eastAsia" w:ascii="Times New Roman" w:hAnsi="Times New Roman"/>
                <w:color w:val="auto"/>
                <w:sz w:val="24"/>
                <w:highlight w:val="none"/>
              </w:rPr>
              <w:t>①加</w:t>
            </w:r>
            <w:r>
              <w:rPr>
                <w:rFonts w:hint="eastAsia" w:ascii="Times New Roman" w:hAnsi="Times New Roman"/>
                <w:color w:val="auto"/>
                <w:sz w:val="24"/>
                <w:highlight w:val="none"/>
                <w:lang w:eastAsia="zh-CN"/>
              </w:rPr>
              <w:t>强对</w:t>
            </w:r>
            <w:r>
              <w:rPr>
                <w:rFonts w:hint="eastAsia" w:ascii="Times New Roman" w:hAnsi="Times New Roman"/>
                <w:color w:val="auto"/>
                <w:sz w:val="24"/>
                <w:highlight w:val="none"/>
              </w:rPr>
              <w:t>员工进行相关突发环境事件应急培训，熟知公司内环境风险物质和装置的危险特性，具备一定的环境保护专业知识，降低因处置不当导致的环境污染事件，同时降低因对泄漏物料处置不当而造成不必要的伤亡。</w:t>
            </w:r>
          </w:p>
          <w:p w14:paraId="3570D6F0">
            <w:pPr>
              <w:pStyle w:val="44"/>
              <w:spacing w:line="360" w:lineRule="auto"/>
              <w:ind w:left="0" w:firstLine="480" w:firstLineChars="200"/>
              <w:rPr>
                <w:rFonts w:hint="eastAsia" w:ascii="Times New Roman" w:hAnsi="Times New Roman"/>
                <w:color w:val="auto"/>
                <w:sz w:val="24"/>
                <w:highlight w:val="none"/>
              </w:rPr>
            </w:pPr>
            <w:r>
              <w:rPr>
                <w:rFonts w:hint="eastAsia" w:ascii="Times New Roman" w:hAnsi="Times New Roman"/>
                <w:color w:val="auto"/>
                <w:sz w:val="24"/>
                <w:highlight w:val="none"/>
              </w:rPr>
              <w:t>②</w:t>
            </w:r>
            <w:r>
              <w:rPr>
                <w:rFonts w:hint="eastAsia" w:ascii="宋体" w:hAnsi="宋体"/>
                <w:color w:val="auto"/>
                <w:sz w:val="24"/>
                <w:szCs w:val="24"/>
                <w:highlight w:val="none"/>
              </w:rPr>
              <w:t>定期</w:t>
            </w:r>
            <w:r>
              <w:rPr>
                <w:rFonts w:ascii="宋体" w:hAnsi="宋体"/>
                <w:color w:val="auto"/>
                <w:sz w:val="24"/>
                <w:szCs w:val="24"/>
                <w:highlight w:val="none"/>
              </w:rPr>
              <w:t>检查</w:t>
            </w:r>
            <w:r>
              <w:rPr>
                <w:rFonts w:hint="eastAsia" w:ascii="Times New Roman" w:hAnsi="Times New Roman"/>
                <w:color w:val="auto"/>
                <w:sz w:val="24"/>
                <w:highlight w:val="none"/>
                <w:lang w:eastAsia="zh-CN"/>
              </w:rPr>
              <w:t>漆料使用和暂存处</w:t>
            </w:r>
            <w:r>
              <w:rPr>
                <w:rFonts w:ascii="宋体" w:hAnsi="宋体"/>
                <w:color w:val="auto"/>
                <w:sz w:val="24"/>
                <w:szCs w:val="24"/>
                <w:highlight w:val="none"/>
              </w:rPr>
              <w:t>，</w:t>
            </w:r>
            <w:r>
              <w:rPr>
                <w:rFonts w:hint="eastAsia" w:ascii="宋体" w:hAnsi="宋体"/>
                <w:color w:val="auto"/>
                <w:sz w:val="24"/>
                <w:szCs w:val="24"/>
                <w:highlight w:val="none"/>
                <w:lang w:eastAsia="zh-CN"/>
              </w:rPr>
              <w:t>并做好防渗，</w:t>
            </w:r>
            <w:r>
              <w:rPr>
                <w:rFonts w:ascii="宋体" w:hAnsi="宋体"/>
                <w:color w:val="auto"/>
                <w:sz w:val="24"/>
                <w:szCs w:val="24"/>
                <w:highlight w:val="none"/>
              </w:rPr>
              <w:t>确保</w:t>
            </w:r>
            <w:r>
              <w:rPr>
                <w:rFonts w:hint="eastAsia" w:ascii="宋体" w:hAnsi="宋体"/>
                <w:color w:val="auto"/>
                <w:sz w:val="24"/>
                <w:szCs w:val="24"/>
                <w:highlight w:val="none"/>
              </w:rPr>
              <w:t>处于</w:t>
            </w:r>
            <w:r>
              <w:rPr>
                <w:rFonts w:hint="eastAsia" w:ascii="宋体" w:hAnsi="宋体"/>
                <w:color w:val="auto"/>
                <w:sz w:val="24"/>
                <w:szCs w:val="24"/>
                <w:highlight w:val="none"/>
                <w:lang w:eastAsia="zh-CN"/>
              </w:rPr>
              <w:t>正常</w:t>
            </w:r>
            <w:r>
              <w:rPr>
                <w:rFonts w:hint="eastAsia" w:ascii="宋体" w:hAnsi="宋体"/>
                <w:color w:val="auto"/>
                <w:sz w:val="24"/>
                <w:szCs w:val="24"/>
                <w:highlight w:val="none"/>
                <w:lang w:eastAsia="zh-CN"/>
              </w:rPr>
              <w:t>存</w:t>
            </w:r>
            <w:r>
              <w:rPr>
                <w:rFonts w:hint="eastAsia" w:ascii="宋体" w:hAnsi="宋体"/>
                <w:color w:val="auto"/>
                <w:sz w:val="24"/>
                <w:szCs w:val="24"/>
                <w:highlight w:val="none"/>
                <w:lang w:eastAsia="zh-CN"/>
              </w:rPr>
              <w:t>储或使用</w:t>
            </w:r>
            <w:r>
              <w:rPr>
                <w:rFonts w:ascii="宋体" w:hAnsi="宋体"/>
                <w:color w:val="auto"/>
                <w:sz w:val="24"/>
                <w:szCs w:val="24"/>
                <w:highlight w:val="none"/>
              </w:rPr>
              <w:t>状态</w:t>
            </w:r>
            <w:r>
              <w:rPr>
                <w:rFonts w:hint="eastAsia" w:ascii="Times New Roman" w:hAnsi="Times New Roman"/>
                <w:color w:val="auto"/>
                <w:sz w:val="24"/>
                <w:highlight w:val="none"/>
              </w:rPr>
              <w:t>。</w:t>
            </w:r>
          </w:p>
          <w:p w14:paraId="39C0E0DA">
            <w:pPr>
              <w:pStyle w:val="44"/>
              <w:spacing w:line="360" w:lineRule="auto"/>
              <w:ind w:left="0" w:firstLine="480" w:firstLineChars="200"/>
              <w:rPr>
                <w:rFonts w:hint="eastAsia" w:ascii="Times New Roman" w:hAnsi="Times New Roman"/>
                <w:color w:val="auto"/>
                <w:sz w:val="24"/>
                <w:highlight w:val="none"/>
              </w:rPr>
            </w:pPr>
            <w:r>
              <w:rPr>
                <w:rFonts w:hint="eastAsia" w:ascii="Times New Roman" w:hAnsi="Times New Roman"/>
                <w:color w:val="auto"/>
                <w:sz w:val="24"/>
                <w:highlight w:val="none"/>
              </w:rPr>
              <w:t>③在发生</w:t>
            </w:r>
            <w:r>
              <w:rPr>
                <w:rFonts w:hint="eastAsia" w:ascii="Times New Roman" w:hAnsi="Times New Roman"/>
                <w:color w:val="auto"/>
                <w:sz w:val="24"/>
                <w:highlight w:val="none"/>
                <w:lang w:eastAsia="zh-CN"/>
              </w:rPr>
              <w:t>泄漏</w:t>
            </w:r>
            <w:r>
              <w:rPr>
                <w:rFonts w:hint="eastAsia" w:ascii="Times New Roman" w:hAnsi="Times New Roman"/>
                <w:color w:val="auto"/>
                <w:sz w:val="24"/>
                <w:highlight w:val="none"/>
              </w:rPr>
              <w:t>事故时，消防、公安、环保、安监等相关部门到场救援时，现场处置组应报告清楚发生</w:t>
            </w:r>
            <w:r>
              <w:rPr>
                <w:rFonts w:hint="eastAsia" w:ascii="Times New Roman" w:hAnsi="Times New Roman"/>
                <w:color w:val="auto"/>
                <w:sz w:val="24"/>
                <w:highlight w:val="none"/>
                <w:lang w:eastAsia="zh-CN"/>
              </w:rPr>
              <w:t>泄漏</w:t>
            </w:r>
            <w:r>
              <w:rPr>
                <w:rFonts w:hint="eastAsia" w:ascii="Times New Roman" w:hAnsi="Times New Roman"/>
                <w:color w:val="auto"/>
                <w:sz w:val="24"/>
                <w:highlight w:val="none"/>
              </w:rPr>
              <w:t>的物料、</w:t>
            </w:r>
            <w:r>
              <w:rPr>
                <w:rFonts w:hint="eastAsia" w:ascii="Times New Roman" w:hAnsi="Times New Roman"/>
                <w:color w:val="auto"/>
                <w:sz w:val="24"/>
                <w:highlight w:val="none"/>
                <w:lang w:eastAsia="zh-CN"/>
              </w:rPr>
              <w:t>位置</w:t>
            </w:r>
            <w:r>
              <w:rPr>
                <w:rFonts w:hint="eastAsia" w:ascii="Times New Roman" w:hAnsi="Times New Roman"/>
                <w:color w:val="auto"/>
                <w:sz w:val="24"/>
                <w:highlight w:val="none"/>
              </w:rPr>
              <w:t>、危险特性，以便上级部门做好准备，协同作战。</w:t>
            </w:r>
          </w:p>
          <w:p w14:paraId="267CA983">
            <w:pPr>
              <w:pStyle w:val="44"/>
              <w:spacing w:line="360" w:lineRule="auto"/>
              <w:ind w:left="0" w:firstLine="480" w:firstLineChars="200"/>
              <w:rPr>
                <w:rFonts w:hint="eastAsia" w:ascii="Times New Roman" w:hAnsi="Times New Roman"/>
                <w:color w:val="auto"/>
                <w:sz w:val="24"/>
                <w:highlight w:val="none"/>
              </w:rPr>
            </w:pPr>
            <w:r>
              <w:rPr>
                <w:rFonts w:hint="eastAsia" w:ascii="Times New Roman" w:hAnsi="Times New Roman"/>
                <w:color w:val="auto"/>
                <w:sz w:val="24"/>
                <w:highlight w:val="none"/>
              </w:rPr>
              <w:t>④应急保障组除确保事故救援期间的物资供应外，还要承担</w:t>
            </w:r>
            <w:r>
              <w:rPr>
                <w:rFonts w:hint="eastAsia" w:ascii="Times New Roman" w:hAnsi="Times New Roman"/>
                <w:color w:val="auto"/>
                <w:sz w:val="24"/>
                <w:highlight w:val="none"/>
                <w:lang w:eastAsia="zh-CN"/>
              </w:rPr>
              <w:t>泄漏</w:t>
            </w:r>
            <w:r>
              <w:rPr>
                <w:rFonts w:hint="eastAsia" w:ascii="Times New Roman" w:hAnsi="Times New Roman"/>
                <w:color w:val="auto"/>
                <w:sz w:val="24"/>
                <w:highlight w:val="none"/>
              </w:rPr>
              <w:t>事故结束后善后工作。</w:t>
            </w:r>
          </w:p>
          <w:p w14:paraId="5178E2EB">
            <w:pPr>
              <w:pStyle w:val="44"/>
              <w:spacing w:line="360" w:lineRule="auto"/>
              <w:ind w:left="0" w:firstLine="480" w:firstLineChars="200"/>
              <w:rPr>
                <w:rFonts w:hint="eastAsia" w:ascii="Times New Roman" w:hAnsi="Times New Roman"/>
                <w:color w:val="auto"/>
                <w:sz w:val="24"/>
                <w:highlight w:val="none"/>
              </w:rPr>
            </w:pPr>
            <w:r>
              <w:rPr>
                <w:rFonts w:hint="eastAsia" w:ascii="Times New Roman" w:hAnsi="Times New Roman"/>
                <w:color w:val="auto"/>
                <w:sz w:val="24"/>
                <w:highlight w:val="none"/>
              </w:rPr>
              <w:t>⑤岗位人员一旦发现</w:t>
            </w:r>
            <w:r>
              <w:rPr>
                <w:rFonts w:hint="eastAsia" w:ascii="Times New Roman" w:hAnsi="Times New Roman"/>
                <w:color w:val="auto"/>
                <w:sz w:val="24"/>
                <w:highlight w:val="none"/>
                <w:lang w:eastAsia="zh-CN"/>
              </w:rPr>
              <w:t>漆料</w:t>
            </w:r>
            <w:r>
              <w:rPr>
                <w:rFonts w:hint="eastAsia" w:ascii="Times New Roman" w:hAnsi="Times New Roman"/>
                <w:color w:val="auto"/>
                <w:sz w:val="24"/>
                <w:highlight w:val="none"/>
                <w:lang w:eastAsia="zh-CN"/>
              </w:rPr>
              <w:t>使用和暂存处有</w:t>
            </w:r>
            <w:r>
              <w:rPr>
                <w:rFonts w:hint="eastAsia" w:ascii="Times New Roman" w:hAnsi="Times New Roman"/>
                <w:color w:val="auto"/>
                <w:sz w:val="24"/>
                <w:highlight w:val="none"/>
              </w:rPr>
              <w:t>异常情况时，立即报告本部门领导，部门责任人立即组织相关人员对异常情况进行处置。</w:t>
            </w:r>
          </w:p>
          <w:p w14:paraId="79013DB3">
            <w:pPr>
              <w:pStyle w:val="44"/>
              <w:spacing w:line="360" w:lineRule="auto"/>
              <w:ind w:left="0" w:firstLine="480" w:firstLineChars="200"/>
              <w:rPr>
                <w:rFonts w:hint="eastAsia"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t>⑥各作业岗位停止作业，</w:t>
            </w:r>
            <w:r>
              <w:rPr>
                <w:rFonts w:hint="eastAsia" w:ascii="Times New Roman" w:hAnsi="Times New Roman" w:eastAsia="宋体" w:cs="Times New Roman"/>
                <w:color w:val="auto"/>
                <w:sz w:val="24"/>
                <w:highlight w:val="none"/>
                <w:lang w:eastAsia="zh-CN"/>
              </w:rPr>
              <w:t>及时处理泄漏漆料并做好泄漏物料的处置</w:t>
            </w:r>
            <w:r>
              <w:rPr>
                <w:rFonts w:hint="eastAsia" w:ascii="Times New Roman" w:hAnsi="Times New Roman" w:eastAsia="宋体" w:cs="Times New Roman"/>
                <w:color w:val="auto"/>
                <w:sz w:val="24"/>
                <w:highlight w:val="none"/>
              </w:rPr>
              <w:t>。</w:t>
            </w:r>
          </w:p>
          <w:p w14:paraId="244703E6">
            <w:pPr>
              <w:pStyle w:val="44"/>
              <w:spacing w:line="360" w:lineRule="auto"/>
              <w:ind w:left="0" w:firstLine="480" w:firstLineChars="200"/>
              <w:rPr>
                <w:rFonts w:hint="eastAsia"/>
                <w:color w:val="auto"/>
              </w:rPr>
            </w:pPr>
            <w:r>
              <w:rPr>
                <w:rFonts w:hint="eastAsia" w:ascii="Times New Roman" w:hAnsi="Times New Roman" w:eastAsia="宋体" w:cs="Times New Roman"/>
                <w:color w:val="auto"/>
                <w:sz w:val="24"/>
                <w:highlight w:val="none"/>
                <w:lang w:eastAsia="zh-CN"/>
              </w:rPr>
              <w:t>⑦当发生突发环境事件时，需及时与抚顺县产业园区突发环境事件应急预案进行联动。</w:t>
            </w:r>
          </w:p>
          <w:p w14:paraId="235C59F7">
            <w:pPr>
              <w:snapToGrid w:val="0"/>
              <w:ind w:firstLine="482" w:firstLineChars="200"/>
              <w:rPr>
                <w:rFonts w:hint="eastAsia"/>
                <w:b/>
                <w:color w:val="auto"/>
                <w:sz w:val="24"/>
                <w:highlight w:val="none"/>
              </w:rPr>
            </w:pPr>
            <w:r>
              <w:rPr>
                <w:rFonts w:hint="eastAsia"/>
                <w:b/>
                <w:color w:val="auto"/>
                <w:sz w:val="24"/>
                <w:highlight w:val="none"/>
              </w:rPr>
              <w:t>（</w:t>
            </w:r>
            <w:r>
              <w:rPr>
                <w:rFonts w:hint="eastAsia"/>
                <w:b/>
                <w:color w:val="auto"/>
                <w:sz w:val="24"/>
                <w:highlight w:val="none"/>
                <w:lang w:val="en-US" w:eastAsia="zh-CN"/>
              </w:rPr>
              <w:t>4</w:t>
            </w:r>
            <w:r>
              <w:rPr>
                <w:rFonts w:hint="eastAsia"/>
                <w:b/>
                <w:color w:val="auto"/>
                <w:sz w:val="24"/>
                <w:highlight w:val="none"/>
              </w:rPr>
              <w:t>）建设项目环境风险简单分析内容</w:t>
            </w:r>
          </w:p>
          <w:p w14:paraId="0CA6F0D3">
            <w:pPr>
              <w:pStyle w:val="68"/>
              <w:numPr>
                <w:ilvl w:val="0"/>
                <w:numId w:val="19"/>
              </w:numPr>
              <w:spacing w:line="360" w:lineRule="auto"/>
              <w:ind w:left="0" w:leftChars="0" w:firstLine="0" w:firstLineChars="0"/>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  建设项目环境风险简单分析内容表</w:t>
            </w:r>
          </w:p>
          <w:tbl>
            <w:tblPr>
              <w:tblStyle w:val="25"/>
              <w:tblW w:w="49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65"/>
              <w:gridCol w:w="967"/>
              <w:gridCol w:w="2180"/>
              <w:gridCol w:w="1062"/>
              <w:gridCol w:w="2405"/>
            </w:tblGrid>
            <w:tr w14:paraId="6324A1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34" w:type="dxa"/>
                  <w:noWrap w:val="0"/>
                  <w:vAlign w:val="center"/>
                </w:tcPr>
                <w:p w14:paraId="008D4C63">
                  <w:pPr>
                    <w:spacing w:line="240" w:lineRule="auto"/>
                    <w:jc w:val="center"/>
                    <w:rPr>
                      <w:color w:val="auto"/>
                      <w:szCs w:val="21"/>
                      <w:highlight w:val="none"/>
                    </w:rPr>
                  </w:pPr>
                  <w:r>
                    <w:rPr>
                      <w:rFonts w:hint="eastAsia"/>
                      <w:color w:val="auto"/>
                      <w:szCs w:val="21"/>
                      <w:highlight w:val="none"/>
                    </w:rPr>
                    <w:t>项目名称</w:t>
                  </w:r>
                </w:p>
              </w:tc>
              <w:tc>
                <w:tcPr>
                  <w:tcW w:w="6122" w:type="dxa"/>
                  <w:gridSpan w:val="4"/>
                  <w:noWrap w:val="0"/>
                  <w:vAlign w:val="center"/>
                </w:tcPr>
                <w:p w14:paraId="4A1122E9">
                  <w:pPr>
                    <w:autoSpaceDE w:val="0"/>
                    <w:autoSpaceDN w:val="0"/>
                    <w:spacing w:line="240" w:lineRule="auto"/>
                    <w:jc w:val="center"/>
                    <w:rPr>
                      <w:color w:val="auto"/>
                      <w:kern w:val="0"/>
                      <w:szCs w:val="21"/>
                      <w:highlight w:val="none"/>
                    </w:rPr>
                  </w:pPr>
                  <w:r>
                    <w:rPr>
                      <w:rFonts w:hint="eastAsia" w:ascii="Times New Roman" w:hAnsi="Times New Roman" w:eastAsia="宋体" w:cs="Times New Roman"/>
                      <w:color w:val="auto"/>
                      <w:sz w:val="21"/>
                      <w:szCs w:val="21"/>
                      <w:highlight w:val="none"/>
                      <w:lang w:eastAsia="zh-CN"/>
                    </w:rPr>
                    <w:t>抚顺市连升体育运动地板厂</w:t>
                  </w:r>
                  <w:r>
                    <w:rPr>
                      <w:rFonts w:hint="eastAsia" w:ascii="Times New Roman" w:hAnsi="Times New Roman" w:eastAsia="宋体" w:cs="Times New Roman"/>
                      <w:color w:val="auto"/>
                      <w:sz w:val="21"/>
                      <w:szCs w:val="21"/>
                      <w:highlight w:val="none"/>
                    </w:rPr>
                    <w:t>项目</w:t>
                  </w:r>
                </w:p>
              </w:tc>
            </w:tr>
            <w:tr w14:paraId="471874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34" w:type="dxa"/>
                  <w:noWrap w:val="0"/>
                  <w:vAlign w:val="center"/>
                </w:tcPr>
                <w:p w14:paraId="4CA065D4">
                  <w:pPr>
                    <w:spacing w:line="240" w:lineRule="auto"/>
                    <w:jc w:val="center"/>
                    <w:rPr>
                      <w:color w:val="auto"/>
                      <w:szCs w:val="21"/>
                      <w:highlight w:val="none"/>
                    </w:rPr>
                  </w:pPr>
                  <w:r>
                    <w:rPr>
                      <w:rFonts w:hint="eastAsia"/>
                      <w:color w:val="auto"/>
                      <w:szCs w:val="21"/>
                      <w:highlight w:val="none"/>
                    </w:rPr>
                    <w:t>建设地点</w:t>
                  </w:r>
                </w:p>
              </w:tc>
              <w:tc>
                <w:tcPr>
                  <w:tcW w:w="895" w:type="dxa"/>
                  <w:noWrap w:val="0"/>
                  <w:vAlign w:val="center"/>
                </w:tcPr>
                <w:p w14:paraId="751A2113">
                  <w:pPr>
                    <w:spacing w:line="240" w:lineRule="auto"/>
                    <w:jc w:val="center"/>
                    <w:rPr>
                      <w:color w:val="auto"/>
                      <w:szCs w:val="21"/>
                      <w:highlight w:val="none"/>
                    </w:rPr>
                  </w:pPr>
                  <w:r>
                    <w:rPr>
                      <w:rFonts w:hint="eastAsia"/>
                      <w:color w:val="auto"/>
                      <w:szCs w:val="21"/>
                      <w:highlight w:val="none"/>
                    </w:rPr>
                    <w:t>辽宁省</w:t>
                  </w:r>
                </w:p>
              </w:tc>
              <w:tc>
                <w:tcPr>
                  <w:tcW w:w="2018" w:type="dxa"/>
                  <w:noWrap w:val="0"/>
                  <w:vAlign w:val="center"/>
                </w:tcPr>
                <w:p w14:paraId="14286473">
                  <w:pPr>
                    <w:autoSpaceDE w:val="0"/>
                    <w:autoSpaceDN w:val="0"/>
                    <w:spacing w:line="240" w:lineRule="auto"/>
                    <w:jc w:val="center"/>
                    <w:rPr>
                      <w:rFonts w:hint="eastAsia"/>
                      <w:color w:val="auto"/>
                      <w:kern w:val="0"/>
                      <w:szCs w:val="21"/>
                      <w:highlight w:val="none"/>
                    </w:rPr>
                  </w:pPr>
                  <w:r>
                    <w:rPr>
                      <w:rFonts w:hint="eastAsia"/>
                      <w:color w:val="auto"/>
                      <w:kern w:val="0"/>
                      <w:szCs w:val="21"/>
                      <w:highlight w:val="none"/>
                    </w:rPr>
                    <w:t>抚顺市</w:t>
                  </w:r>
                </w:p>
              </w:tc>
              <w:tc>
                <w:tcPr>
                  <w:tcW w:w="983" w:type="dxa"/>
                  <w:noWrap w:val="0"/>
                  <w:vAlign w:val="center"/>
                </w:tcPr>
                <w:p w14:paraId="07232170">
                  <w:pPr>
                    <w:autoSpaceDE w:val="0"/>
                    <w:autoSpaceDN w:val="0"/>
                    <w:spacing w:line="240" w:lineRule="auto"/>
                    <w:jc w:val="center"/>
                    <w:rPr>
                      <w:rFonts w:hint="eastAsia" w:eastAsia="宋体"/>
                      <w:color w:val="auto"/>
                      <w:kern w:val="0"/>
                      <w:szCs w:val="21"/>
                      <w:highlight w:val="none"/>
                      <w:lang w:eastAsia="zh-CN"/>
                    </w:rPr>
                  </w:pPr>
                  <w:r>
                    <w:rPr>
                      <w:rFonts w:hint="eastAsia"/>
                      <w:color w:val="auto"/>
                      <w:kern w:val="0"/>
                      <w:szCs w:val="21"/>
                      <w:highlight w:val="none"/>
                      <w:lang w:eastAsia="zh-CN"/>
                    </w:rPr>
                    <w:t>抚顺县</w:t>
                  </w:r>
                </w:p>
              </w:tc>
              <w:tc>
                <w:tcPr>
                  <w:tcW w:w="2226" w:type="dxa"/>
                  <w:noWrap w:val="0"/>
                  <w:vAlign w:val="center"/>
                </w:tcPr>
                <w:p w14:paraId="3D6D98D6">
                  <w:pPr>
                    <w:autoSpaceDE w:val="0"/>
                    <w:autoSpaceDN w:val="0"/>
                    <w:spacing w:line="240" w:lineRule="auto"/>
                    <w:jc w:val="center"/>
                    <w:rPr>
                      <w:color w:val="auto"/>
                      <w:kern w:val="0"/>
                      <w:szCs w:val="21"/>
                      <w:highlight w:val="none"/>
                    </w:rPr>
                  </w:pPr>
                  <w:r>
                    <w:rPr>
                      <w:rFonts w:hint="eastAsia" w:ascii="Times New Roman" w:hAnsi="Times New Roman" w:eastAsia="宋体" w:cs="Times New Roman"/>
                      <w:color w:val="auto"/>
                      <w:kern w:val="0"/>
                      <w:szCs w:val="21"/>
                      <w:highlight w:val="none"/>
                      <w:lang w:eastAsia="zh-CN"/>
                    </w:rPr>
                    <w:t>救兵镇康西村救兵木业和新材料产业园区B区</w:t>
                  </w:r>
                </w:p>
              </w:tc>
            </w:tr>
            <w:tr w14:paraId="6F9D4B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1634" w:type="dxa"/>
                  <w:noWrap w:val="0"/>
                  <w:vAlign w:val="center"/>
                </w:tcPr>
                <w:p w14:paraId="3C05EFB8">
                  <w:pPr>
                    <w:spacing w:line="240" w:lineRule="auto"/>
                    <w:jc w:val="center"/>
                    <w:rPr>
                      <w:color w:val="auto"/>
                      <w:szCs w:val="21"/>
                      <w:highlight w:val="none"/>
                    </w:rPr>
                  </w:pPr>
                  <w:r>
                    <w:rPr>
                      <w:rFonts w:hint="eastAsia"/>
                      <w:color w:val="auto"/>
                      <w:szCs w:val="21"/>
                      <w:highlight w:val="none"/>
                    </w:rPr>
                    <w:t>地理坐标</w:t>
                  </w:r>
                </w:p>
              </w:tc>
              <w:tc>
                <w:tcPr>
                  <w:tcW w:w="895" w:type="dxa"/>
                  <w:noWrap w:val="0"/>
                  <w:vAlign w:val="center"/>
                </w:tcPr>
                <w:p w14:paraId="72176073">
                  <w:pPr>
                    <w:spacing w:line="240" w:lineRule="auto"/>
                    <w:jc w:val="center"/>
                    <w:rPr>
                      <w:color w:val="auto"/>
                      <w:szCs w:val="21"/>
                      <w:highlight w:val="none"/>
                    </w:rPr>
                  </w:pPr>
                  <w:r>
                    <w:rPr>
                      <w:rFonts w:hint="eastAsia"/>
                      <w:color w:val="auto"/>
                      <w:szCs w:val="21"/>
                      <w:highlight w:val="none"/>
                    </w:rPr>
                    <w:t>经度</w:t>
                  </w:r>
                </w:p>
              </w:tc>
              <w:tc>
                <w:tcPr>
                  <w:tcW w:w="2018" w:type="dxa"/>
                  <w:noWrap w:val="0"/>
                  <w:vAlign w:val="center"/>
                </w:tcPr>
                <w:p w14:paraId="604D1F1B">
                  <w:pPr>
                    <w:autoSpaceDE w:val="0"/>
                    <w:autoSpaceDN w:val="0"/>
                    <w:spacing w:line="240" w:lineRule="auto"/>
                    <w:jc w:val="center"/>
                    <w:rPr>
                      <w:color w:val="auto"/>
                      <w:kern w:val="0"/>
                      <w:szCs w:val="21"/>
                      <w:highlight w:val="none"/>
                    </w:rPr>
                  </w:pPr>
                  <w:r>
                    <w:rPr>
                      <w:color w:val="auto"/>
                      <w:szCs w:val="21"/>
                      <w:highlight w:val="none"/>
                      <w:u w:val="single"/>
                    </w:rPr>
                    <w:t>12</w:t>
                  </w:r>
                  <w:r>
                    <w:rPr>
                      <w:rFonts w:hint="eastAsia"/>
                      <w:color w:val="auto"/>
                      <w:szCs w:val="21"/>
                      <w:highlight w:val="none"/>
                      <w:u w:val="single"/>
                      <w:lang w:val="en-US" w:eastAsia="zh-CN"/>
                    </w:rPr>
                    <w:t>4</w:t>
                  </w:r>
                  <w:r>
                    <w:rPr>
                      <w:color w:val="auto"/>
                      <w:szCs w:val="21"/>
                      <w:highlight w:val="none"/>
                    </w:rPr>
                    <w:t>度</w:t>
                  </w:r>
                  <w:r>
                    <w:rPr>
                      <w:rFonts w:hint="eastAsia"/>
                      <w:color w:val="auto"/>
                      <w:szCs w:val="21"/>
                      <w:highlight w:val="none"/>
                      <w:u w:val="single"/>
                      <w:lang w:val="en-US" w:eastAsia="zh-CN"/>
                    </w:rPr>
                    <w:t>0</w:t>
                  </w:r>
                  <w:r>
                    <w:rPr>
                      <w:color w:val="auto"/>
                      <w:szCs w:val="21"/>
                      <w:highlight w:val="none"/>
                    </w:rPr>
                    <w:t>分</w:t>
                  </w:r>
                  <w:r>
                    <w:rPr>
                      <w:rFonts w:hint="eastAsia"/>
                      <w:color w:val="auto"/>
                      <w:szCs w:val="21"/>
                      <w:highlight w:val="none"/>
                      <w:u w:val="single"/>
                    </w:rPr>
                    <w:t>57</w:t>
                  </w:r>
                  <w:r>
                    <w:rPr>
                      <w:rFonts w:hint="eastAsia"/>
                      <w:color w:val="auto"/>
                      <w:szCs w:val="21"/>
                      <w:highlight w:val="none"/>
                      <w:u w:val="single"/>
                      <w:lang w:val="en-US" w:eastAsia="zh-CN"/>
                    </w:rPr>
                    <w:t>1.962</w:t>
                  </w:r>
                  <w:r>
                    <w:rPr>
                      <w:color w:val="auto"/>
                      <w:szCs w:val="21"/>
                      <w:highlight w:val="none"/>
                    </w:rPr>
                    <w:t>秒</w:t>
                  </w:r>
                </w:p>
              </w:tc>
              <w:tc>
                <w:tcPr>
                  <w:tcW w:w="983" w:type="dxa"/>
                  <w:noWrap w:val="0"/>
                  <w:vAlign w:val="center"/>
                </w:tcPr>
                <w:p w14:paraId="0A27951C">
                  <w:pPr>
                    <w:autoSpaceDE w:val="0"/>
                    <w:autoSpaceDN w:val="0"/>
                    <w:spacing w:line="240" w:lineRule="auto"/>
                    <w:jc w:val="center"/>
                    <w:rPr>
                      <w:color w:val="auto"/>
                      <w:kern w:val="0"/>
                      <w:szCs w:val="21"/>
                      <w:highlight w:val="none"/>
                    </w:rPr>
                  </w:pPr>
                  <w:r>
                    <w:rPr>
                      <w:rFonts w:hint="eastAsia"/>
                      <w:color w:val="auto"/>
                      <w:kern w:val="0"/>
                      <w:szCs w:val="21"/>
                      <w:highlight w:val="none"/>
                    </w:rPr>
                    <w:t>纬度</w:t>
                  </w:r>
                </w:p>
              </w:tc>
              <w:tc>
                <w:tcPr>
                  <w:tcW w:w="2226" w:type="dxa"/>
                  <w:noWrap w:val="0"/>
                  <w:vAlign w:val="center"/>
                </w:tcPr>
                <w:p w14:paraId="2DEF2A57">
                  <w:pPr>
                    <w:autoSpaceDE w:val="0"/>
                    <w:autoSpaceDN w:val="0"/>
                    <w:spacing w:line="240" w:lineRule="auto"/>
                    <w:jc w:val="center"/>
                    <w:rPr>
                      <w:color w:val="auto"/>
                      <w:kern w:val="0"/>
                      <w:szCs w:val="21"/>
                      <w:highlight w:val="none"/>
                    </w:rPr>
                  </w:pPr>
                  <w:r>
                    <w:rPr>
                      <w:color w:val="auto"/>
                      <w:szCs w:val="21"/>
                      <w:highlight w:val="none"/>
                      <w:u w:val="single"/>
                    </w:rPr>
                    <w:t>41</w:t>
                  </w:r>
                  <w:r>
                    <w:rPr>
                      <w:color w:val="auto"/>
                      <w:szCs w:val="21"/>
                      <w:highlight w:val="none"/>
                    </w:rPr>
                    <w:t>度</w:t>
                  </w:r>
                  <w:r>
                    <w:rPr>
                      <w:rFonts w:hint="eastAsia"/>
                      <w:color w:val="auto"/>
                      <w:szCs w:val="21"/>
                      <w:highlight w:val="none"/>
                      <w:u w:val="single"/>
                      <w:lang w:val="en-US" w:eastAsia="zh-CN"/>
                    </w:rPr>
                    <w:t>43</w:t>
                  </w:r>
                  <w:r>
                    <w:rPr>
                      <w:color w:val="auto"/>
                      <w:szCs w:val="21"/>
                      <w:highlight w:val="none"/>
                    </w:rPr>
                    <w:t>分</w:t>
                  </w:r>
                  <w:r>
                    <w:rPr>
                      <w:rFonts w:hint="eastAsia"/>
                      <w:color w:val="auto"/>
                      <w:szCs w:val="21"/>
                      <w:highlight w:val="none"/>
                      <w:u w:val="single"/>
                      <w:lang w:val="en-US" w:eastAsia="zh-CN"/>
                    </w:rPr>
                    <w:t>24.945</w:t>
                  </w:r>
                  <w:r>
                    <w:rPr>
                      <w:color w:val="auto"/>
                      <w:szCs w:val="21"/>
                      <w:highlight w:val="none"/>
                    </w:rPr>
                    <w:t>秒</w:t>
                  </w:r>
                </w:p>
              </w:tc>
            </w:tr>
            <w:tr w14:paraId="0C9B07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34" w:type="dxa"/>
                  <w:noWrap w:val="0"/>
                  <w:vAlign w:val="center"/>
                </w:tcPr>
                <w:p w14:paraId="74BA841F">
                  <w:pPr>
                    <w:spacing w:line="240" w:lineRule="auto"/>
                    <w:jc w:val="center"/>
                    <w:rPr>
                      <w:rFonts w:hint="eastAsia"/>
                      <w:color w:val="auto"/>
                      <w:szCs w:val="21"/>
                      <w:highlight w:val="none"/>
                    </w:rPr>
                  </w:pPr>
                  <w:r>
                    <w:rPr>
                      <w:rFonts w:hint="eastAsia"/>
                      <w:color w:val="auto"/>
                      <w:szCs w:val="21"/>
                      <w:highlight w:val="none"/>
                    </w:rPr>
                    <w:t>主要危险</w:t>
                  </w:r>
                </w:p>
                <w:p w14:paraId="01EE943A">
                  <w:pPr>
                    <w:spacing w:line="240" w:lineRule="auto"/>
                    <w:jc w:val="center"/>
                    <w:rPr>
                      <w:color w:val="auto"/>
                      <w:szCs w:val="21"/>
                      <w:highlight w:val="none"/>
                    </w:rPr>
                  </w:pPr>
                  <w:r>
                    <w:rPr>
                      <w:rFonts w:hint="eastAsia"/>
                      <w:color w:val="auto"/>
                      <w:szCs w:val="21"/>
                      <w:highlight w:val="none"/>
                    </w:rPr>
                    <w:t>物质及分布</w:t>
                  </w:r>
                </w:p>
              </w:tc>
              <w:tc>
                <w:tcPr>
                  <w:tcW w:w="6122" w:type="dxa"/>
                  <w:gridSpan w:val="4"/>
                  <w:noWrap w:val="0"/>
                  <w:vAlign w:val="center"/>
                </w:tcPr>
                <w:p w14:paraId="2586968E">
                  <w:pPr>
                    <w:autoSpaceDE w:val="0"/>
                    <w:autoSpaceDN w:val="0"/>
                    <w:spacing w:line="240" w:lineRule="auto"/>
                    <w:jc w:val="center"/>
                    <w:rPr>
                      <w:color w:val="auto"/>
                      <w:kern w:val="0"/>
                      <w:szCs w:val="21"/>
                      <w:highlight w:val="none"/>
                    </w:rPr>
                  </w:pPr>
                  <w:r>
                    <w:rPr>
                      <w:rFonts w:hint="eastAsia"/>
                      <w:color w:val="auto"/>
                      <w:kern w:val="0"/>
                      <w:szCs w:val="21"/>
                      <w:highlight w:val="none"/>
                    </w:rPr>
                    <w:t>主要</w:t>
                  </w:r>
                  <w:r>
                    <w:rPr>
                      <w:rFonts w:hint="eastAsia"/>
                      <w:color w:val="auto"/>
                      <w:kern w:val="0"/>
                      <w:szCs w:val="21"/>
                      <w:highlight w:val="none"/>
                      <w:lang w:eastAsia="zh-CN"/>
                    </w:rPr>
                    <w:t>风</w:t>
                  </w:r>
                  <w:r>
                    <w:rPr>
                      <w:rFonts w:hint="eastAsia"/>
                      <w:color w:val="auto"/>
                      <w:kern w:val="0"/>
                      <w:szCs w:val="21"/>
                      <w:highlight w:val="none"/>
                    </w:rPr>
                    <w:t>险物质为</w:t>
                  </w:r>
                  <w:r>
                    <w:rPr>
                      <w:rFonts w:hint="eastAsia"/>
                      <w:color w:val="auto"/>
                      <w:kern w:val="0"/>
                      <w:szCs w:val="21"/>
                      <w:highlight w:val="none"/>
                      <w:lang w:val="en-US" w:eastAsia="zh-CN"/>
                    </w:rPr>
                    <w:t>UV漆料</w:t>
                  </w:r>
                  <w:r>
                    <w:rPr>
                      <w:rFonts w:hint="eastAsia"/>
                      <w:color w:val="auto"/>
                      <w:kern w:val="0"/>
                      <w:szCs w:val="21"/>
                      <w:highlight w:val="none"/>
                    </w:rPr>
                    <w:t>，储存于厂内</w:t>
                  </w:r>
                  <w:r>
                    <w:rPr>
                      <w:rFonts w:hint="eastAsia"/>
                      <w:color w:val="auto"/>
                      <w:kern w:val="0"/>
                      <w:szCs w:val="21"/>
                      <w:highlight w:val="none"/>
                      <w:lang w:eastAsia="zh-CN"/>
                    </w:rPr>
                    <w:t>生产车间</w:t>
                  </w:r>
                  <w:r>
                    <w:rPr>
                      <w:rFonts w:hint="eastAsia"/>
                      <w:color w:val="auto"/>
                      <w:kern w:val="0"/>
                      <w:szCs w:val="21"/>
                      <w:highlight w:val="none"/>
                    </w:rPr>
                    <w:t>内</w:t>
                  </w:r>
                </w:p>
              </w:tc>
            </w:tr>
            <w:tr w14:paraId="372B33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34" w:type="dxa"/>
                  <w:noWrap w:val="0"/>
                  <w:vAlign w:val="center"/>
                </w:tcPr>
                <w:p w14:paraId="0BCC948D">
                  <w:pPr>
                    <w:spacing w:line="240" w:lineRule="auto"/>
                    <w:jc w:val="center"/>
                    <w:rPr>
                      <w:rFonts w:hint="eastAsia"/>
                      <w:color w:val="auto"/>
                      <w:szCs w:val="21"/>
                      <w:highlight w:val="none"/>
                    </w:rPr>
                  </w:pPr>
                  <w:r>
                    <w:rPr>
                      <w:rFonts w:hint="eastAsia"/>
                      <w:color w:val="auto"/>
                      <w:szCs w:val="21"/>
                      <w:highlight w:val="none"/>
                    </w:rPr>
                    <w:t>环境影响途径及危害后果</w:t>
                  </w:r>
                </w:p>
              </w:tc>
              <w:tc>
                <w:tcPr>
                  <w:tcW w:w="6122" w:type="dxa"/>
                  <w:gridSpan w:val="4"/>
                  <w:noWrap w:val="0"/>
                  <w:vAlign w:val="center"/>
                </w:tcPr>
                <w:p w14:paraId="79B43EE7">
                  <w:pPr>
                    <w:autoSpaceDE w:val="0"/>
                    <w:autoSpaceDN w:val="0"/>
                    <w:spacing w:line="240" w:lineRule="auto"/>
                    <w:jc w:val="center"/>
                    <w:rPr>
                      <w:rFonts w:hint="eastAsia"/>
                      <w:color w:val="auto"/>
                      <w:kern w:val="0"/>
                      <w:szCs w:val="21"/>
                      <w:highlight w:val="none"/>
                    </w:rPr>
                  </w:pPr>
                  <w:r>
                    <w:rPr>
                      <w:rFonts w:hint="eastAsia"/>
                      <w:color w:val="auto"/>
                      <w:kern w:val="0"/>
                      <w:szCs w:val="21"/>
                      <w:highlight w:val="none"/>
                    </w:rPr>
                    <w:t>环境风险主要为</w:t>
                  </w:r>
                  <w:r>
                    <w:rPr>
                      <w:rFonts w:hint="eastAsia"/>
                      <w:color w:val="auto"/>
                      <w:kern w:val="0"/>
                      <w:szCs w:val="21"/>
                      <w:highlight w:val="none"/>
                      <w:lang w:eastAsia="zh-CN"/>
                    </w:rPr>
                    <w:t>漆料泄漏</w:t>
                  </w:r>
                  <w:r>
                    <w:rPr>
                      <w:rFonts w:hint="eastAsia"/>
                      <w:color w:val="auto"/>
                      <w:kern w:val="0"/>
                      <w:szCs w:val="21"/>
                      <w:highlight w:val="none"/>
                    </w:rPr>
                    <w:t>对</w:t>
                  </w:r>
                  <w:r>
                    <w:rPr>
                      <w:rFonts w:hint="eastAsia"/>
                      <w:color w:val="auto"/>
                      <w:kern w:val="0"/>
                      <w:szCs w:val="21"/>
                      <w:highlight w:val="none"/>
                      <w:lang w:eastAsia="zh-CN"/>
                    </w:rPr>
                    <w:t>土壤及地下水环境</w:t>
                  </w:r>
                  <w:r>
                    <w:rPr>
                      <w:rFonts w:hint="eastAsia"/>
                      <w:color w:val="auto"/>
                      <w:kern w:val="0"/>
                      <w:szCs w:val="21"/>
                      <w:highlight w:val="none"/>
                    </w:rPr>
                    <w:t>产生的影响。</w:t>
                  </w:r>
                </w:p>
              </w:tc>
            </w:tr>
            <w:tr w14:paraId="41CB85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34" w:type="dxa"/>
                  <w:noWrap w:val="0"/>
                  <w:vAlign w:val="center"/>
                </w:tcPr>
                <w:p w14:paraId="702F72F5">
                  <w:pPr>
                    <w:autoSpaceDE w:val="0"/>
                    <w:autoSpaceDN w:val="0"/>
                    <w:spacing w:line="240" w:lineRule="auto"/>
                    <w:jc w:val="center"/>
                    <w:rPr>
                      <w:rFonts w:hint="eastAsia"/>
                      <w:color w:val="auto"/>
                      <w:kern w:val="0"/>
                      <w:szCs w:val="21"/>
                      <w:highlight w:val="none"/>
                    </w:rPr>
                  </w:pPr>
                  <w:r>
                    <w:rPr>
                      <w:rFonts w:hint="eastAsia"/>
                      <w:color w:val="auto"/>
                      <w:kern w:val="0"/>
                      <w:szCs w:val="21"/>
                      <w:highlight w:val="none"/>
                    </w:rPr>
                    <w:t>风险防范</w:t>
                  </w:r>
                </w:p>
                <w:p w14:paraId="26F693F0">
                  <w:pPr>
                    <w:autoSpaceDE w:val="0"/>
                    <w:autoSpaceDN w:val="0"/>
                    <w:spacing w:line="240" w:lineRule="auto"/>
                    <w:jc w:val="center"/>
                    <w:rPr>
                      <w:rFonts w:hint="eastAsia"/>
                      <w:color w:val="auto"/>
                      <w:kern w:val="0"/>
                      <w:szCs w:val="21"/>
                      <w:highlight w:val="none"/>
                    </w:rPr>
                  </w:pPr>
                  <w:r>
                    <w:rPr>
                      <w:rFonts w:hint="eastAsia"/>
                      <w:color w:val="auto"/>
                      <w:kern w:val="0"/>
                      <w:szCs w:val="21"/>
                      <w:highlight w:val="none"/>
                    </w:rPr>
                    <w:t>措施要求</w:t>
                  </w:r>
                </w:p>
              </w:tc>
              <w:tc>
                <w:tcPr>
                  <w:tcW w:w="6122" w:type="dxa"/>
                  <w:gridSpan w:val="4"/>
                  <w:noWrap w:val="0"/>
                  <w:vAlign w:val="center"/>
                </w:tcPr>
                <w:p w14:paraId="38F1D98D">
                  <w:pPr>
                    <w:autoSpaceDE w:val="0"/>
                    <w:autoSpaceDN w:val="0"/>
                    <w:spacing w:line="240" w:lineRule="auto"/>
                    <w:jc w:val="center"/>
                    <w:rPr>
                      <w:rFonts w:hint="eastAsia"/>
                      <w:color w:val="auto"/>
                      <w:kern w:val="0"/>
                      <w:szCs w:val="21"/>
                      <w:highlight w:val="none"/>
                    </w:rPr>
                  </w:pPr>
                  <w:r>
                    <w:rPr>
                      <w:rFonts w:hint="eastAsia" w:ascii="宋体" w:hAnsi="宋体"/>
                      <w:color w:val="auto"/>
                      <w:sz w:val="21"/>
                      <w:szCs w:val="21"/>
                      <w:highlight w:val="none"/>
                    </w:rPr>
                    <w:t>定期</w:t>
                  </w:r>
                  <w:r>
                    <w:rPr>
                      <w:rFonts w:ascii="宋体" w:hAnsi="宋体"/>
                      <w:color w:val="auto"/>
                      <w:sz w:val="21"/>
                      <w:szCs w:val="21"/>
                      <w:highlight w:val="none"/>
                    </w:rPr>
                    <w:t>检查</w:t>
                  </w:r>
                  <w:r>
                    <w:rPr>
                      <w:rFonts w:hint="eastAsia" w:ascii="Times New Roman" w:hAnsi="Times New Roman"/>
                      <w:color w:val="auto"/>
                      <w:sz w:val="21"/>
                      <w:szCs w:val="21"/>
                      <w:highlight w:val="none"/>
                      <w:lang w:eastAsia="zh-CN"/>
                    </w:rPr>
                    <w:t>漆料使用和暂存处</w:t>
                  </w:r>
                  <w:r>
                    <w:rPr>
                      <w:rFonts w:ascii="宋体" w:hAnsi="宋体"/>
                      <w:color w:val="auto"/>
                      <w:sz w:val="21"/>
                      <w:szCs w:val="21"/>
                      <w:highlight w:val="none"/>
                    </w:rPr>
                    <w:t>，</w:t>
                  </w:r>
                  <w:r>
                    <w:rPr>
                      <w:rFonts w:hint="eastAsia" w:ascii="宋体" w:hAnsi="宋体"/>
                      <w:color w:val="auto"/>
                      <w:sz w:val="21"/>
                      <w:szCs w:val="21"/>
                      <w:highlight w:val="none"/>
                      <w:lang w:eastAsia="zh-CN"/>
                    </w:rPr>
                    <w:t>并做好防渗</w:t>
                  </w:r>
                  <w:r>
                    <w:rPr>
                      <w:rFonts w:hint="eastAsia"/>
                      <w:color w:val="auto"/>
                      <w:kern w:val="0"/>
                      <w:sz w:val="21"/>
                      <w:szCs w:val="21"/>
                      <w:highlight w:val="none"/>
                    </w:rPr>
                    <w:t>；一旦发现</w:t>
                  </w:r>
                  <w:r>
                    <w:rPr>
                      <w:rFonts w:hint="eastAsia" w:ascii="Times New Roman" w:hAnsi="Times New Roman"/>
                      <w:color w:val="auto"/>
                      <w:sz w:val="21"/>
                      <w:szCs w:val="21"/>
                      <w:highlight w:val="none"/>
                      <w:lang w:eastAsia="zh-CN"/>
                    </w:rPr>
                    <w:t>漆料使用和暂存处有</w:t>
                  </w:r>
                  <w:r>
                    <w:rPr>
                      <w:rFonts w:hint="eastAsia"/>
                      <w:color w:val="auto"/>
                      <w:kern w:val="0"/>
                      <w:sz w:val="21"/>
                      <w:szCs w:val="21"/>
                      <w:highlight w:val="none"/>
                    </w:rPr>
                    <w:t>异常情况，需立即上报并及时处置，并做好与上级相关部门沟通与对接；保障事故救援期间的物</w:t>
                  </w:r>
                  <w:r>
                    <w:rPr>
                      <w:rFonts w:hint="eastAsia"/>
                      <w:color w:val="auto"/>
                      <w:kern w:val="0"/>
                      <w:szCs w:val="21"/>
                      <w:highlight w:val="none"/>
                    </w:rPr>
                    <w:t>资供应；加</w:t>
                  </w:r>
                  <w:r>
                    <w:rPr>
                      <w:rFonts w:hint="eastAsia"/>
                      <w:color w:val="auto"/>
                      <w:kern w:val="0"/>
                      <w:szCs w:val="21"/>
                      <w:highlight w:val="none"/>
                      <w:lang w:eastAsia="zh-CN"/>
                    </w:rPr>
                    <w:t>强对</w:t>
                  </w:r>
                  <w:r>
                    <w:rPr>
                      <w:rFonts w:hint="eastAsia"/>
                      <w:color w:val="auto"/>
                      <w:kern w:val="0"/>
                      <w:szCs w:val="21"/>
                      <w:highlight w:val="none"/>
                    </w:rPr>
                    <w:t>员工进行相关突发环境事件应急培训。</w:t>
                  </w:r>
                </w:p>
              </w:tc>
            </w:tr>
          </w:tbl>
          <w:p w14:paraId="7B4893D9">
            <w:pPr>
              <w:pStyle w:val="13"/>
              <w:rPr>
                <w:rFonts w:hint="eastAsia"/>
                <w:color w:val="auto"/>
                <w:highlight w:val="none"/>
              </w:rPr>
            </w:pPr>
          </w:p>
          <w:p w14:paraId="06D58B32">
            <w:pPr>
              <w:pStyle w:val="44"/>
              <w:spacing w:line="360" w:lineRule="auto"/>
              <w:ind w:left="0" w:firstLine="482" w:firstLineChars="200"/>
              <w:rPr>
                <w:rFonts w:hint="eastAsia" w:ascii="Times New Roman" w:hAnsi="Times New Roman"/>
                <w:b/>
                <w:bCs/>
                <w:color w:val="auto"/>
                <w:sz w:val="24"/>
                <w:highlight w:val="none"/>
              </w:rPr>
            </w:pPr>
            <w:r>
              <w:rPr>
                <w:rFonts w:hint="eastAsia" w:ascii="Times New Roman" w:hAnsi="Times New Roman"/>
                <w:b/>
                <w:bCs/>
                <w:color w:val="auto"/>
                <w:sz w:val="24"/>
                <w:highlight w:val="none"/>
              </w:rPr>
              <w:t>（</w:t>
            </w:r>
            <w:r>
              <w:rPr>
                <w:rFonts w:hint="eastAsia" w:ascii="Times New Roman" w:hAnsi="Times New Roman"/>
                <w:b/>
                <w:bCs/>
                <w:color w:val="auto"/>
                <w:sz w:val="24"/>
                <w:highlight w:val="none"/>
                <w:lang w:val="en-US" w:eastAsia="zh-CN"/>
              </w:rPr>
              <w:t>5</w:t>
            </w:r>
            <w:r>
              <w:rPr>
                <w:rFonts w:hint="eastAsia" w:ascii="Times New Roman" w:hAnsi="Times New Roman"/>
                <w:b/>
                <w:bCs/>
                <w:color w:val="auto"/>
                <w:sz w:val="24"/>
                <w:highlight w:val="none"/>
              </w:rPr>
              <w:t>）分析结论</w:t>
            </w:r>
          </w:p>
          <w:p w14:paraId="68D38DE9">
            <w:pPr>
              <w:pStyle w:val="44"/>
              <w:spacing w:line="360" w:lineRule="auto"/>
              <w:ind w:left="0" w:firstLine="480" w:firstLineChars="200"/>
              <w:rPr>
                <w:rFonts w:hint="eastAsia" w:ascii="Times New Roman"/>
                <w:b/>
                <w:iCs/>
                <w:color w:val="auto"/>
                <w:highlight w:val="none"/>
              </w:rPr>
            </w:pPr>
            <w:r>
              <w:rPr>
                <w:rFonts w:hint="eastAsia" w:ascii="Times New Roman" w:hAnsi="Times New Roman"/>
                <w:color w:val="auto"/>
                <w:sz w:val="24"/>
                <w:highlight w:val="none"/>
              </w:rPr>
              <w:t>本项目营运</w:t>
            </w:r>
            <w:r>
              <w:rPr>
                <w:rFonts w:hint="eastAsia" w:ascii="Times New Roman" w:hAnsi="Times New Roman"/>
                <w:color w:val="auto"/>
                <w:sz w:val="24"/>
                <w:highlight w:val="none"/>
                <w:lang w:eastAsia="zh-CN"/>
              </w:rPr>
              <w:t>过程中存在</w:t>
            </w:r>
            <w:r>
              <w:rPr>
                <w:rFonts w:hint="eastAsia" w:ascii="Times New Roman" w:hAnsi="Times New Roman"/>
                <w:color w:val="auto"/>
                <w:sz w:val="24"/>
                <w:highlight w:val="none"/>
              </w:rPr>
              <w:t>一定的环境风险，但只要加强管理，建立健全相应的风险防范管理、应急措施，并在管理及运行中认真落实工程安全措施、消防措施及评价所提出的风险防范、管理措施，则其营运期的环境风险可接受。</w:t>
            </w:r>
          </w:p>
          <w:p w14:paraId="550B7CF6">
            <w:pPr>
              <w:pStyle w:val="42"/>
              <w:rPr>
                <w:rFonts w:ascii="Times New Roman"/>
                <w:color w:val="auto"/>
                <w:highlight w:val="none"/>
              </w:rPr>
            </w:pPr>
            <w:r>
              <w:rPr>
                <w:rFonts w:hint="eastAsia" w:ascii="Times New Roman"/>
                <w:b/>
                <w:iCs/>
                <w:color w:val="auto"/>
                <w:highlight w:val="none"/>
                <w:lang w:val="en-US" w:eastAsia="zh-CN"/>
              </w:rPr>
              <w:t>7</w:t>
            </w:r>
            <w:r>
              <w:rPr>
                <w:rFonts w:hint="eastAsia" w:ascii="Times New Roman"/>
                <w:b/>
                <w:iCs/>
                <w:color w:val="auto"/>
                <w:highlight w:val="none"/>
              </w:rPr>
              <w:t>、</w:t>
            </w:r>
            <w:r>
              <w:rPr>
                <w:rFonts w:hint="eastAsia" w:ascii="Times New Roman"/>
                <w:b/>
                <w:iCs/>
                <w:color w:val="auto"/>
                <w:highlight w:val="none"/>
                <w:lang w:eastAsia="zh-CN"/>
              </w:rPr>
              <w:t>排污口规范化要求</w:t>
            </w:r>
          </w:p>
          <w:p w14:paraId="340B86C4">
            <w:pPr>
              <w:pStyle w:val="75"/>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ascii="Times New Roman" w:hAnsi="Times New Roman" w:cs="Times New Roman"/>
                <w:color w:val="auto"/>
              </w:rPr>
            </w:pPr>
            <w:r>
              <w:rPr>
                <w:rFonts w:hint="eastAsia" w:ascii="Times New Roman" w:hAnsi="Times New Roman" w:cs="Times New Roman"/>
                <w:color w:val="auto"/>
                <w:lang w:eastAsia="zh-CN"/>
              </w:rPr>
              <w:t>企</w:t>
            </w:r>
            <w:r>
              <w:rPr>
                <w:rFonts w:ascii="Times New Roman" w:hAnsi="Times New Roman" w:cs="Times New Roman"/>
                <w:color w:val="auto"/>
              </w:rPr>
              <w:t>业在严格进行环境管理的同时还应遵照国家对排污口规范的要求，</w:t>
            </w:r>
            <w:r>
              <w:rPr>
                <w:rFonts w:hint="eastAsia" w:ascii="Times New Roman" w:hAnsi="Times New Roman" w:cs="Times New Roman"/>
                <w:color w:val="auto"/>
                <w:lang w:eastAsia="zh-CN"/>
              </w:rPr>
              <w:t>“</w:t>
            </w:r>
            <w:r>
              <w:rPr>
                <w:rFonts w:ascii="Times New Roman" w:hAnsi="Times New Roman" w:cs="Times New Roman"/>
                <w:color w:val="auto"/>
              </w:rPr>
              <w:t>三废</w:t>
            </w:r>
            <w:r>
              <w:rPr>
                <w:rFonts w:hint="eastAsia" w:ascii="Times New Roman" w:hAnsi="Times New Roman" w:cs="Times New Roman"/>
                <w:color w:val="auto"/>
                <w:lang w:eastAsia="zh-CN"/>
              </w:rPr>
              <w:t>”</w:t>
            </w:r>
            <w:r>
              <w:rPr>
                <w:rFonts w:ascii="Times New Roman" w:hAnsi="Times New Roman" w:cs="Times New Roman"/>
                <w:color w:val="auto"/>
              </w:rPr>
              <w:t>及噪声排放点设置明显标志，标志的设置应执行《排污单位污染物排放口二维码标识技术规范》（HJ1297-2023）、《环境保护图形标志排放口》（GB15562.1-1995）、《环境保护图形标志固体废物贮存（处置）场》（GB15562.2-1995）及《危险废物识别标志设置技术规范》</w:t>
            </w:r>
            <w:r>
              <w:rPr>
                <w:rFonts w:hint="eastAsia" w:ascii="Times New Roman" w:hAnsi="Times New Roman" w:cs="Times New Roman"/>
                <w:color w:val="auto"/>
                <w:lang w:eastAsia="zh-CN"/>
              </w:rPr>
              <w:t>（</w:t>
            </w:r>
            <w:r>
              <w:rPr>
                <w:rFonts w:ascii="Times New Roman" w:hAnsi="Times New Roman" w:cs="Times New Roman"/>
                <w:color w:val="auto"/>
              </w:rPr>
              <w:t>HJ</w:t>
            </w:r>
            <w:r>
              <w:rPr>
                <w:rFonts w:hint="eastAsia" w:ascii="Times New Roman" w:hAnsi="Times New Roman" w:cs="Times New Roman"/>
                <w:color w:val="auto"/>
                <w:lang w:val="en-US" w:eastAsia="zh-CN"/>
              </w:rPr>
              <w:t xml:space="preserve"> </w:t>
            </w:r>
            <w:r>
              <w:rPr>
                <w:rFonts w:ascii="Times New Roman" w:hAnsi="Times New Roman" w:cs="Times New Roman"/>
                <w:color w:val="auto"/>
              </w:rPr>
              <w:t>1276-2022</w:t>
            </w:r>
            <w:r>
              <w:rPr>
                <w:rFonts w:hint="eastAsia" w:ascii="Times New Roman" w:hAnsi="Times New Roman" w:cs="Times New Roman"/>
                <w:color w:val="auto"/>
                <w:lang w:eastAsia="zh-CN"/>
              </w:rPr>
              <w:t>）</w:t>
            </w:r>
            <w:r>
              <w:rPr>
                <w:rFonts w:ascii="Times New Roman" w:hAnsi="Times New Roman" w:cs="Times New Roman"/>
                <w:color w:val="auto"/>
              </w:rPr>
              <w:t>中有关规定。</w:t>
            </w:r>
          </w:p>
          <w:p w14:paraId="551C53DD">
            <w:pPr>
              <w:pStyle w:val="68"/>
              <w:numPr>
                <w:ilvl w:val="0"/>
                <w:numId w:val="19"/>
              </w:numPr>
              <w:spacing w:line="360" w:lineRule="auto"/>
              <w:ind w:left="0" w:leftChars="0" w:firstLine="0" w:firstLineChars="0"/>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  环境保护图形符号一览表</w:t>
            </w:r>
          </w:p>
          <w:tbl>
            <w:tblPr>
              <w:tblStyle w:val="73"/>
              <w:tblW w:w="847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745"/>
              <w:gridCol w:w="1922"/>
              <w:gridCol w:w="3257"/>
              <w:gridCol w:w="2548"/>
            </w:tblGrid>
            <w:tr w14:paraId="6EB5B4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6" w:hRule="atLeast"/>
                <w:jc w:val="center"/>
              </w:trPr>
              <w:tc>
                <w:tcPr>
                  <w:tcW w:w="745" w:type="dxa"/>
                  <w:tcBorders>
                    <w:tl2br w:val="nil"/>
                    <w:tr2bl w:val="nil"/>
                  </w:tcBorders>
                  <w:noWrap w:val="0"/>
                  <w:vAlign w:val="center"/>
                </w:tcPr>
                <w:p w14:paraId="641D785E">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sz w:val="21"/>
                      <w:szCs w:val="21"/>
                    </w:rPr>
                  </w:pPr>
                  <w:r>
                    <w:rPr>
                      <w:rFonts w:ascii="Times New Roman" w:hAnsi="Times New Roman" w:cs="Times New Roman"/>
                      <w:color w:val="auto"/>
                      <w:sz w:val="21"/>
                      <w:szCs w:val="21"/>
                    </w:rPr>
                    <w:t>序号</w:t>
                  </w:r>
                </w:p>
              </w:tc>
              <w:tc>
                <w:tcPr>
                  <w:tcW w:w="1922" w:type="dxa"/>
                  <w:tcBorders>
                    <w:tl2br w:val="nil"/>
                    <w:tr2bl w:val="nil"/>
                  </w:tcBorders>
                  <w:noWrap w:val="0"/>
                  <w:vAlign w:val="center"/>
                </w:tcPr>
                <w:p w14:paraId="4F605708">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sz w:val="21"/>
                      <w:szCs w:val="21"/>
                    </w:rPr>
                  </w:pPr>
                  <w:r>
                    <w:rPr>
                      <w:rFonts w:ascii="Times New Roman" w:hAnsi="Times New Roman" w:cs="Times New Roman"/>
                      <w:color w:val="auto"/>
                      <w:sz w:val="21"/>
                      <w:szCs w:val="21"/>
                    </w:rPr>
                    <w:t>提示性图形符号</w:t>
                  </w:r>
                </w:p>
              </w:tc>
              <w:tc>
                <w:tcPr>
                  <w:tcW w:w="3257" w:type="dxa"/>
                  <w:tcBorders>
                    <w:tl2br w:val="nil"/>
                    <w:tr2bl w:val="nil"/>
                  </w:tcBorders>
                  <w:noWrap w:val="0"/>
                  <w:vAlign w:val="center"/>
                </w:tcPr>
                <w:p w14:paraId="09A3DBEB">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sz w:val="21"/>
                      <w:szCs w:val="21"/>
                    </w:rPr>
                  </w:pPr>
                  <w:r>
                    <w:rPr>
                      <w:rFonts w:ascii="Times New Roman" w:hAnsi="Times New Roman" w:cs="Times New Roman"/>
                      <w:color w:val="auto"/>
                      <w:sz w:val="21"/>
                      <w:szCs w:val="21"/>
                    </w:rPr>
                    <w:t>警告图形符号</w:t>
                  </w:r>
                </w:p>
              </w:tc>
              <w:tc>
                <w:tcPr>
                  <w:tcW w:w="2548" w:type="dxa"/>
                  <w:tcBorders>
                    <w:tl2br w:val="nil"/>
                    <w:tr2bl w:val="nil"/>
                  </w:tcBorders>
                  <w:noWrap w:val="0"/>
                  <w:vAlign w:val="center"/>
                </w:tcPr>
                <w:p w14:paraId="1D6163FA">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sz w:val="21"/>
                      <w:szCs w:val="21"/>
                    </w:rPr>
                  </w:pPr>
                  <w:r>
                    <w:rPr>
                      <w:rFonts w:ascii="Times New Roman" w:hAnsi="Times New Roman" w:cs="Times New Roman"/>
                      <w:color w:val="auto"/>
                      <w:sz w:val="21"/>
                      <w:szCs w:val="21"/>
                    </w:rPr>
                    <w:t>排放口及堆场</w:t>
                  </w:r>
                </w:p>
              </w:tc>
            </w:tr>
            <w:tr w14:paraId="6AE704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388" w:hRule="atLeast"/>
                <w:jc w:val="center"/>
              </w:trPr>
              <w:tc>
                <w:tcPr>
                  <w:tcW w:w="745" w:type="dxa"/>
                  <w:tcBorders>
                    <w:tl2br w:val="nil"/>
                    <w:tr2bl w:val="nil"/>
                  </w:tcBorders>
                  <w:noWrap w:val="0"/>
                  <w:vAlign w:val="center"/>
                </w:tcPr>
                <w:p w14:paraId="6E60F1E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1</w:t>
                  </w:r>
                </w:p>
              </w:tc>
              <w:tc>
                <w:tcPr>
                  <w:tcW w:w="1922" w:type="dxa"/>
                  <w:tcBorders>
                    <w:tl2br w:val="nil"/>
                    <w:tr2bl w:val="nil"/>
                  </w:tcBorders>
                  <w:noWrap w:val="0"/>
                  <w:vAlign w:val="center"/>
                </w:tcPr>
                <w:p w14:paraId="21A1700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w:t>
                  </w:r>
                </w:p>
              </w:tc>
              <w:tc>
                <w:tcPr>
                  <w:tcW w:w="3257" w:type="dxa"/>
                  <w:tcBorders>
                    <w:tl2br w:val="nil"/>
                    <w:tr2bl w:val="nil"/>
                  </w:tcBorders>
                  <w:noWrap w:val="0"/>
                  <w:vAlign w:val="center"/>
                </w:tcPr>
                <w:p w14:paraId="7C92553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lang w:eastAsia="zh-CN"/>
                    </w:rPr>
                    <w:drawing>
                      <wp:inline distT="0" distB="0" distL="114300" distR="114300">
                        <wp:extent cx="1090930" cy="807720"/>
                        <wp:effectExtent l="0" t="0" r="13970" b="11430"/>
                        <wp:docPr id="8" name="IM 26"/>
                        <wp:cNvGraphicFramePr/>
                        <a:graphic xmlns:a="http://schemas.openxmlformats.org/drawingml/2006/main">
                          <a:graphicData uri="http://schemas.openxmlformats.org/drawingml/2006/picture">
                            <pic:pic xmlns:pic="http://schemas.openxmlformats.org/drawingml/2006/picture">
                              <pic:nvPicPr>
                                <pic:cNvPr id="8" name="IM 26"/>
                                <pic:cNvPicPr/>
                              </pic:nvPicPr>
                              <pic:blipFill>
                                <a:blip r:embed="rId41"/>
                                <a:stretch>
                                  <a:fillRect/>
                                </a:stretch>
                              </pic:blipFill>
                              <pic:spPr>
                                <a:xfrm>
                                  <a:off x="0" y="0"/>
                                  <a:ext cx="1090930" cy="807720"/>
                                </a:xfrm>
                                <a:prstGeom prst="rect">
                                  <a:avLst/>
                                </a:prstGeom>
                                <a:noFill/>
                                <a:ln>
                                  <a:noFill/>
                                </a:ln>
                              </pic:spPr>
                            </pic:pic>
                          </a:graphicData>
                        </a:graphic>
                      </wp:inline>
                    </w:drawing>
                  </w:r>
                </w:p>
              </w:tc>
              <w:tc>
                <w:tcPr>
                  <w:tcW w:w="2548" w:type="dxa"/>
                  <w:tcBorders>
                    <w:tl2br w:val="nil"/>
                    <w:tr2bl w:val="nil"/>
                  </w:tcBorders>
                  <w:noWrap w:val="0"/>
                  <w:vAlign w:val="center"/>
                </w:tcPr>
                <w:p w14:paraId="7F6EFFCA">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sz w:val="21"/>
                      <w:szCs w:val="21"/>
                    </w:rPr>
                  </w:pPr>
                  <w:r>
                    <w:rPr>
                      <w:rFonts w:ascii="Times New Roman" w:hAnsi="Times New Roman" w:cs="Times New Roman"/>
                      <w:color w:val="auto"/>
                      <w:sz w:val="21"/>
                      <w:szCs w:val="21"/>
                    </w:rPr>
                    <w:t>危险废物标志</w:t>
                  </w:r>
                </w:p>
              </w:tc>
            </w:tr>
            <w:tr w14:paraId="68AD9B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457" w:hRule="atLeast"/>
                <w:jc w:val="center"/>
              </w:trPr>
              <w:tc>
                <w:tcPr>
                  <w:tcW w:w="745" w:type="dxa"/>
                  <w:tcBorders>
                    <w:tl2br w:val="nil"/>
                    <w:tr2bl w:val="nil"/>
                  </w:tcBorders>
                  <w:noWrap w:val="0"/>
                  <w:vAlign w:val="center"/>
                </w:tcPr>
                <w:p w14:paraId="136425D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2</w:t>
                  </w:r>
                </w:p>
              </w:tc>
              <w:tc>
                <w:tcPr>
                  <w:tcW w:w="1922" w:type="dxa"/>
                  <w:tcBorders>
                    <w:tl2br w:val="nil"/>
                    <w:tr2bl w:val="nil"/>
                  </w:tcBorders>
                  <w:noWrap w:val="0"/>
                  <w:vAlign w:val="center"/>
                </w:tcPr>
                <w:p w14:paraId="7C99DCF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lang w:eastAsia="zh-CN"/>
                    </w:rPr>
                    <w:drawing>
                      <wp:inline distT="0" distB="0" distL="114300" distR="114300">
                        <wp:extent cx="878205" cy="878205"/>
                        <wp:effectExtent l="0" t="0" r="17145" b="17145"/>
                        <wp:docPr id="9" name="IM 28"/>
                        <wp:cNvGraphicFramePr/>
                        <a:graphic xmlns:a="http://schemas.openxmlformats.org/drawingml/2006/main">
                          <a:graphicData uri="http://schemas.openxmlformats.org/drawingml/2006/picture">
                            <pic:pic xmlns:pic="http://schemas.openxmlformats.org/drawingml/2006/picture">
                              <pic:nvPicPr>
                                <pic:cNvPr id="9" name="IM 28"/>
                                <pic:cNvPicPr/>
                              </pic:nvPicPr>
                              <pic:blipFill>
                                <a:blip r:embed="rId42"/>
                                <a:stretch>
                                  <a:fillRect/>
                                </a:stretch>
                              </pic:blipFill>
                              <pic:spPr>
                                <a:xfrm>
                                  <a:off x="0" y="0"/>
                                  <a:ext cx="878205" cy="878205"/>
                                </a:xfrm>
                                <a:prstGeom prst="rect">
                                  <a:avLst/>
                                </a:prstGeom>
                                <a:noFill/>
                                <a:ln>
                                  <a:noFill/>
                                </a:ln>
                              </pic:spPr>
                            </pic:pic>
                          </a:graphicData>
                        </a:graphic>
                      </wp:inline>
                    </w:drawing>
                  </w:r>
                </w:p>
              </w:tc>
              <w:tc>
                <w:tcPr>
                  <w:tcW w:w="3257" w:type="dxa"/>
                  <w:tcBorders>
                    <w:tl2br w:val="nil"/>
                    <w:tr2bl w:val="nil"/>
                  </w:tcBorders>
                  <w:noWrap w:val="0"/>
                  <w:vAlign w:val="center"/>
                </w:tcPr>
                <w:p w14:paraId="49205E2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lang w:eastAsia="zh-CN"/>
                    </w:rPr>
                    <w:drawing>
                      <wp:inline distT="0" distB="0" distL="114300" distR="114300">
                        <wp:extent cx="901065" cy="901700"/>
                        <wp:effectExtent l="0" t="0" r="13335" b="12700"/>
                        <wp:docPr id="10" name="IM 30"/>
                        <wp:cNvGraphicFramePr/>
                        <a:graphic xmlns:a="http://schemas.openxmlformats.org/drawingml/2006/main">
                          <a:graphicData uri="http://schemas.openxmlformats.org/drawingml/2006/picture">
                            <pic:pic xmlns:pic="http://schemas.openxmlformats.org/drawingml/2006/picture">
                              <pic:nvPicPr>
                                <pic:cNvPr id="10" name="IM 30"/>
                                <pic:cNvPicPr/>
                              </pic:nvPicPr>
                              <pic:blipFill>
                                <a:blip r:embed="rId43"/>
                                <a:stretch>
                                  <a:fillRect/>
                                </a:stretch>
                              </pic:blipFill>
                              <pic:spPr>
                                <a:xfrm>
                                  <a:off x="0" y="0"/>
                                  <a:ext cx="901065" cy="901700"/>
                                </a:xfrm>
                                <a:prstGeom prst="rect">
                                  <a:avLst/>
                                </a:prstGeom>
                                <a:noFill/>
                                <a:ln>
                                  <a:noFill/>
                                </a:ln>
                              </pic:spPr>
                            </pic:pic>
                          </a:graphicData>
                        </a:graphic>
                      </wp:inline>
                    </w:drawing>
                  </w:r>
                </w:p>
              </w:tc>
              <w:tc>
                <w:tcPr>
                  <w:tcW w:w="2548" w:type="dxa"/>
                  <w:tcBorders>
                    <w:tl2br w:val="nil"/>
                    <w:tr2bl w:val="nil"/>
                  </w:tcBorders>
                  <w:noWrap w:val="0"/>
                  <w:vAlign w:val="center"/>
                </w:tcPr>
                <w:p w14:paraId="07EDDA5F">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sz w:val="21"/>
                      <w:szCs w:val="21"/>
                    </w:rPr>
                  </w:pPr>
                  <w:r>
                    <w:rPr>
                      <w:rFonts w:ascii="Times New Roman" w:hAnsi="Times New Roman" w:cs="Times New Roman"/>
                      <w:color w:val="auto"/>
                      <w:sz w:val="21"/>
                      <w:szCs w:val="21"/>
                    </w:rPr>
                    <w:t>噪声排放源</w:t>
                  </w:r>
                </w:p>
              </w:tc>
            </w:tr>
            <w:tr w14:paraId="2CCE5F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442" w:hRule="atLeast"/>
                <w:jc w:val="center"/>
              </w:trPr>
              <w:tc>
                <w:tcPr>
                  <w:tcW w:w="745" w:type="dxa"/>
                  <w:tcBorders>
                    <w:tl2br w:val="nil"/>
                    <w:tr2bl w:val="nil"/>
                  </w:tcBorders>
                  <w:noWrap w:val="0"/>
                  <w:vAlign w:val="center"/>
                </w:tcPr>
                <w:p w14:paraId="384072E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3</w:t>
                  </w:r>
                </w:p>
              </w:tc>
              <w:tc>
                <w:tcPr>
                  <w:tcW w:w="1922" w:type="dxa"/>
                  <w:tcBorders>
                    <w:tl2br w:val="nil"/>
                    <w:tr2bl w:val="nil"/>
                  </w:tcBorders>
                  <w:noWrap w:val="0"/>
                  <w:vAlign w:val="center"/>
                </w:tcPr>
                <w:p w14:paraId="69AA50D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lang w:eastAsia="zh-CN"/>
                    </w:rPr>
                    <w:drawing>
                      <wp:inline distT="0" distB="0" distL="114300" distR="114300">
                        <wp:extent cx="857885" cy="857885"/>
                        <wp:effectExtent l="0" t="0" r="18415" b="18415"/>
                        <wp:docPr id="11" name="IM 32"/>
                        <wp:cNvGraphicFramePr/>
                        <a:graphic xmlns:a="http://schemas.openxmlformats.org/drawingml/2006/main">
                          <a:graphicData uri="http://schemas.openxmlformats.org/drawingml/2006/picture">
                            <pic:pic xmlns:pic="http://schemas.openxmlformats.org/drawingml/2006/picture">
                              <pic:nvPicPr>
                                <pic:cNvPr id="11" name="IM 32"/>
                                <pic:cNvPicPr/>
                              </pic:nvPicPr>
                              <pic:blipFill>
                                <a:blip r:embed="rId44"/>
                                <a:stretch>
                                  <a:fillRect/>
                                </a:stretch>
                              </pic:blipFill>
                              <pic:spPr>
                                <a:xfrm>
                                  <a:off x="0" y="0"/>
                                  <a:ext cx="857885" cy="857885"/>
                                </a:xfrm>
                                <a:prstGeom prst="rect">
                                  <a:avLst/>
                                </a:prstGeom>
                                <a:noFill/>
                                <a:ln>
                                  <a:noFill/>
                                </a:ln>
                              </pic:spPr>
                            </pic:pic>
                          </a:graphicData>
                        </a:graphic>
                      </wp:inline>
                    </w:drawing>
                  </w:r>
                </w:p>
              </w:tc>
              <w:tc>
                <w:tcPr>
                  <w:tcW w:w="3257" w:type="dxa"/>
                  <w:tcBorders>
                    <w:tl2br w:val="nil"/>
                    <w:tr2bl w:val="nil"/>
                  </w:tcBorders>
                  <w:noWrap w:val="0"/>
                  <w:vAlign w:val="center"/>
                </w:tcPr>
                <w:p w14:paraId="291A8F1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lang w:eastAsia="zh-CN"/>
                    </w:rPr>
                    <w:drawing>
                      <wp:inline distT="0" distB="0" distL="114300" distR="114300">
                        <wp:extent cx="929640" cy="907415"/>
                        <wp:effectExtent l="0" t="0" r="3810" b="6985"/>
                        <wp:docPr id="12" name="IM 34"/>
                        <wp:cNvGraphicFramePr/>
                        <a:graphic xmlns:a="http://schemas.openxmlformats.org/drawingml/2006/main">
                          <a:graphicData uri="http://schemas.openxmlformats.org/drawingml/2006/picture">
                            <pic:pic xmlns:pic="http://schemas.openxmlformats.org/drawingml/2006/picture">
                              <pic:nvPicPr>
                                <pic:cNvPr id="12" name="IM 34"/>
                                <pic:cNvPicPr/>
                              </pic:nvPicPr>
                              <pic:blipFill>
                                <a:blip r:embed="rId45"/>
                                <a:stretch>
                                  <a:fillRect/>
                                </a:stretch>
                              </pic:blipFill>
                              <pic:spPr>
                                <a:xfrm>
                                  <a:off x="0" y="0"/>
                                  <a:ext cx="929640" cy="907415"/>
                                </a:xfrm>
                                <a:prstGeom prst="rect">
                                  <a:avLst/>
                                </a:prstGeom>
                                <a:noFill/>
                                <a:ln>
                                  <a:noFill/>
                                </a:ln>
                              </pic:spPr>
                            </pic:pic>
                          </a:graphicData>
                        </a:graphic>
                      </wp:inline>
                    </w:drawing>
                  </w:r>
                </w:p>
              </w:tc>
              <w:tc>
                <w:tcPr>
                  <w:tcW w:w="2548" w:type="dxa"/>
                  <w:tcBorders>
                    <w:tl2br w:val="nil"/>
                    <w:tr2bl w:val="nil"/>
                  </w:tcBorders>
                  <w:noWrap w:val="0"/>
                  <w:vAlign w:val="center"/>
                </w:tcPr>
                <w:p w14:paraId="0D5C33C5">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sz w:val="21"/>
                      <w:szCs w:val="21"/>
                    </w:rPr>
                  </w:pPr>
                  <w:r>
                    <w:rPr>
                      <w:rFonts w:ascii="Times New Roman" w:hAnsi="Times New Roman" w:cs="Times New Roman"/>
                      <w:color w:val="auto"/>
                      <w:sz w:val="21"/>
                      <w:szCs w:val="21"/>
                    </w:rPr>
                    <w:t>废气排放口</w:t>
                  </w:r>
                </w:p>
              </w:tc>
            </w:tr>
            <w:tr w14:paraId="18651A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382" w:hRule="atLeast"/>
                <w:jc w:val="center"/>
              </w:trPr>
              <w:tc>
                <w:tcPr>
                  <w:tcW w:w="745" w:type="dxa"/>
                  <w:tcBorders>
                    <w:tl2br w:val="nil"/>
                    <w:tr2bl w:val="nil"/>
                  </w:tcBorders>
                  <w:noWrap w:val="0"/>
                  <w:vAlign w:val="center"/>
                </w:tcPr>
                <w:p w14:paraId="595E6C7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4</w:t>
                  </w:r>
                </w:p>
              </w:tc>
              <w:tc>
                <w:tcPr>
                  <w:tcW w:w="1922" w:type="dxa"/>
                  <w:tcBorders>
                    <w:tl2br w:val="nil"/>
                    <w:tr2bl w:val="nil"/>
                  </w:tcBorders>
                  <w:noWrap w:val="0"/>
                  <w:vAlign w:val="center"/>
                </w:tcPr>
                <w:p w14:paraId="0E5AB4E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lang w:eastAsia="zh-CN"/>
                    </w:rPr>
                    <w:drawing>
                      <wp:inline distT="0" distB="0" distL="114300" distR="114300">
                        <wp:extent cx="859155" cy="851535"/>
                        <wp:effectExtent l="0" t="0" r="17145" b="5715"/>
                        <wp:docPr id="13" name="IM 36"/>
                        <wp:cNvGraphicFramePr/>
                        <a:graphic xmlns:a="http://schemas.openxmlformats.org/drawingml/2006/main">
                          <a:graphicData uri="http://schemas.openxmlformats.org/drawingml/2006/picture">
                            <pic:pic xmlns:pic="http://schemas.openxmlformats.org/drawingml/2006/picture">
                              <pic:nvPicPr>
                                <pic:cNvPr id="13" name="IM 36"/>
                                <pic:cNvPicPr/>
                              </pic:nvPicPr>
                              <pic:blipFill>
                                <a:blip r:embed="rId46"/>
                                <a:stretch>
                                  <a:fillRect/>
                                </a:stretch>
                              </pic:blipFill>
                              <pic:spPr>
                                <a:xfrm>
                                  <a:off x="0" y="0"/>
                                  <a:ext cx="859155" cy="851535"/>
                                </a:xfrm>
                                <a:prstGeom prst="rect">
                                  <a:avLst/>
                                </a:prstGeom>
                                <a:noFill/>
                                <a:ln>
                                  <a:noFill/>
                                </a:ln>
                              </pic:spPr>
                            </pic:pic>
                          </a:graphicData>
                        </a:graphic>
                      </wp:inline>
                    </w:drawing>
                  </w:r>
                </w:p>
              </w:tc>
              <w:tc>
                <w:tcPr>
                  <w:tcW w:w="3257" w:type="dxa"/>
                  <w:tcBorders>
                    <w:tl2br w:val="nil"/>
                    <w:tr2bl w:val="nil"/>
                  </w:tcBorders>
                  <w:noWrap w:val="0"/>
                  <w:vAlign w:val="center"/>
                </w:tcPr>
                <w:p w14:paraId="1124D5C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lang w:eastAsia="zh-CN"/>
                    </w:rPr>
                    <w:drawing>
                      <wp:inline distT="0" distB="0" distL="114300" distR="114300">
                        <wp:extent cx="952500" cy="866140"/>
                        <wp:effectExtent l="0" t="0" r="0" b="10160"/>
                        <wp:docPr id="14" name="IM 38"/>
                        <wp:cNvGraphicFramePr/>
                        <a:graphic xmlns:a="http://schemas.openxmlformats.org/drawingml/2006/main">
                          <a:graphicData uri="http://schemas.openxmlformats.org/drawingml/2006/picture">
                            <pic:pic xmlns:pic="http://schemas.openxmlformats.org/drawingml/2006/picture">
                              <pic:nvPicPr>
                                <pic:cNvPr id="14" name="IM 38"/>
                                <pic:cNvPicPr/>
                              </pic:nvPicPr>
                              <pic:blipFill>
                                <a:blip r:embed="rId47"/>
                                <a:stretch>
                                  <a:fillRect/>
                                </a:stretch>
                              </pic:blipFill>
                              <pic:spPr>
                                <a:xfrm>
                                  <a:off x="0" y="0"/>
                                  <a:ext cx="952500" cy="866140"/>
                                </a:xfrm>
                                <a:prstGeom prst="rect">
                                  <a:avLst/>
                                </a:prstGeom>
                                <a:noFill/>
                                <a:ln>
                                  <a:noFill/>
                                </a:ln>
                              </pic:spPr>
                            </pic:pic>
                          </a:graphicData>
                        </a:graphic>
                      </wp:inline>
                    </w:drawing>
                  </w:r>
                </w:p>
              </w:tc>
              <w:tc>
                <w:tcPr>
                  <w:tcW w:w="2548" w:type="dxa"/>
                  <w:tcBorders>
                    <w:tl2br w:val="nil"/>
                    <w:tr2bl w:val="nil"/>
                  </w:tcBorders>
                  <w:noWrap w:val="0"/>
                  <w:vAlign w:val="center"/>
                </w:tcPr>
                <w:p w14:paraId="593EFFE7">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sz w:val="21"/>
                      <w:szCs w:val="21"/>
                    </w:rPr>
                  </w:pPr>
                  <w:r>
                    <w:rPr>
                      <w:rFonts w:hint="eastAsia" w:ascii="Times New Roman" w:hAnsi="Times New Roman" w:cs="Times New Roman"/>
                      <w:color w:val="auto"/>
                      <w:sz w:val="21"/>
                      <w:szCs w:val="21"/>
                      <w:lang w:eastAsia="zh-CN"/>
                    </w:rPr>
                    <w:t>一般</w:t>
                  </w:r>
                  <w:r>
                    <w:rPr>
                      <w:rFonts w:ascii="Times New Roman" w:hAnsi="Times New Roman" w:cs="Times New Roman"/>
                      <w:color w:val="auto"/>
                      <w:sz w:val="21"/>
                      <w:szCs w:val="21"/>
                    </w:rPr>
                    <w:t>固体废物</w:t>
                  </w:r>
                </w:p>
              </w:tc>
            </w:tr>
            <w:tr w14:paraId="75EEC1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297" w:hRule="atLeast"/>
                <w:jc w:val="center"/>
              </w:trPr>
              <w:tc>
                <w:tcPr>
                  <w:tcW w:w="745" w:type="dxa"/>
                  <w:tcBorders>
                    <w:tl2br w:val="nil"/>
                    <w:tr2bl w:val="nil"/>
                  </w:tcBorders>
                  <w:noWrap w:val="0"/>
                  <w:vAlign w:val="center"/>
                </w:tcPr>
                <w:p w14:paraId="21FE314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5</w:t>
                  </w:r>
                </w:p>
              </w:tc>
              <w:tc>
                <w:tcPr>
                  <w:tcW w:w="1922" w:type="dxa"/>
                  <w:tcBorders>
                    <w:tl2br w:val="nil"/>
                    <w:tr2bl w:val="nil"/>
                  </w:tcBorders>
                  <w:noWrap w:val="0"/>
                  <w:vAlign w:val="center"/>
                </w:tcPr>
                <w:p w14:paraId="45A5F1A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lang w:eastAsia="zh-CN"/>
                    </w:rPr>
                    <w:drawing>
                      <wp:inline distT="0" distB="0" distL="114300" distR="114300">
                        <wp:extent cx="875665" cy="805180"/>
                        <wp:effectExtent l="0" t="0" r="635" b="13970"/>
                        <wp:docPr id="15" name="IM 40"/>
                        <wp:cNvGraphicFramePr/>
                        <a:graphic xmlns:a="http://schemas.openxmlformats.org/drawingml/2006/main">
                          <a:graphicData uri="http://schemas.openxmlformats.org/drawingml/2006/picture">
                            <pic:pic xmlns:pic="http://schemas.openxmlformats.org/drawingml/2006/picture">
                              <pic:nvPicPr>
                                <pic:cNvPr id="15" name="IM 40"/>
                                <pic:cNvPicPr/>
                              </pic:nvPicPr>
                              <pic:blipFill>
                                <a:blip r:embed="rId48"/>
                                <a:stretch>
                                  <a:fillRect/>
                                </a:stretch>
                              </pic:blipFill>
                              <pic:spPr>
                                <a:xfrm>
                                  <a:off x="0" y="0"/>
                                  <a:ext cx="875665" cy="805180"/>
                                </a:xfrm>
                                <a:prstGeom prst="rect">
                                  <a:avLst/>
                                </a:prstGeom>
                                <a:noFill/>
                                <a:ln>
                                  <a:noFill/>
                                </a:ln>
                              </pic:spPr>
                            </pic:pic>
                          </a:graphicData>
                        </a:graphic>
                      </wp:inline>
                    </w:drawing>
                  </w:r>
                </w:p>
              </w:tc>
              <w:tc>
                <w:tcPr>
                  <w:tcW w:w="3257" w:type="dxa"/>
                  <w:tcBorders>
                    <w:tl2br w:val="nil"/>
                    <w:tr2bl w:val="nil"/>
                  </w:tcBorders>
                  <w:noWrap w:val="0"/>
                  <w:vAlign w:val="center"/>
                </w:tcPr>
                <w:p w14:paraId="75245B2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w:t>
                  </w:r>
                </w:p>
              </w:tc>
              <w:tc>
                <w:tcPr>
                  <w:tcW w:w="2548" w:type="dxa"/>
                  <w:tcBorders>
                    <w:tl2br w:val="nil"/>
                    <w:tr2bl w:val="nil"/>
                  </w:tcBorders>
                  <w:noWrap w:val="0"/>
                  <w:vAlign w:val="center"/>
                </w:tcPr>
                <w:p w14:paraId="7D5520EF">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cs="Times New Roman"/>
                      <w:color w:val="auto"/>
                      <w:sz w:val="21"/>
                      <w:szCs w:val="21"/>
                    </w:rPr>
                  </w:pPr>
                  <w:r>
                    <w:rPr>
                      <w:rFonts w:ascii="Times New Roman" w:hAnsi="Times New Roman" w:cs="Times New Roman"/>
                      <w:color w:val="auto"/>
                      <w:sz w:val="21"/>
                      <w:szCs w:val="21"/>
                    </w:rPr>
                    <w:t>城市生活垃圾分类标志</w:t>
                  </w:r>
                </w:p>
              </w:tc>
            </w:tr>
          </w:tbl>
          <w:p w14:paraId="05A9A5CF">
            <w:pPr>
              <w:pStyle w:val="75"/>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ascii="Times New Roman" w:hAnsi="Times New Roman" w:cs="Times New Roman"/>
                <w:color w:val="auto"/>
              </w:rPr>
            </w:pPr>
          </w:p>
          <w:p w14:paraId="2E466513">
            <w:pPr>
              <w:pStyle w:val="75"/>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ascii="Times New Roman" w:hAnsi="Times New Roman" w:cs="Times New Roman"/>
                <w:color w:val="auto"/>
              </w:rPr>
            </w:pPr>
            <w:r>
              <w:rPr>
                <w:rFonts w:ascii="Times New Roman" w:hAnsi="Times New Roman" w:cs="Times New Roman"/>
                <w:color w:val="auto"/>
              </w:rPr>
              <w:t>排污口是本项目污染物进入环境，污染环境的</w:t>
            </w:r>
            <w:r>
              <w:rPr>
                <w:rFonts w:hint="eastAsia" w:ascii="Times New Roman" w:hAnsi="Times New Roman" w:cs="Times New Roman"/>
                <w:color w:val="auto"/>
                <w:lang w:eastAsia="zh-CN"/>
              </w:rPr>
              <w:t>通</w:t>
            </w:r>
            <w:r>
              <w:rPr>
                <w:rFonts w:ascii="Times New Roman" w:hAnsi="Times New Roman" w:cs="Times New Roman"/>
                <w:color w:val="auto"/>
              </w:rPr>
              <w:t>道，强化排污口的管理是实施污染物总量控制的基础工作之一，也是区域环境管理逐步实现污染物排放科学化、定量化的重要手段。具体管理原则如下：</w:t>
            </w:r>
          </w:p>
          <w:p w14:paraId="3EDF486C">
            <w:pPr>
              <w:pStyle w:val="75"/>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ascii="Times New Roman" w:hAnsi="Times New Roman" w:cs="Times New Roman"/>
                <w:color w:val="auto"/>
              </w:rPr>
            </w:pPr>
            <w:r>
              <w:rPr>
                <w:rFonts w:ascii="Times New Roman" w:hAnsi="Times New Roman" w:cs="Times New Roman"/>
                <w:color w:val="auto"/>
              </w:rPr>
              <w:t>①向环境排放的污染物的排放口必须规范化；</w:t>
            </w:r>
          </w:p>
          <w:p w14:paraId="17B9ADED">
            <w:pPr>
              <w:pStyle w:val="75"/>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ascii="Times New Roman" w:hAnsi="Times New Roman" w:cs="Times New Roman"/>
                <w:color w:val="auto"/>
              </w:rPr>
            </w:pPr>
            <w:r>
              <w:rPr>
                <w:rFonts w:ascii="Times New Roman" w:hAnsi="Times New Roman" w:cs="Times New Roman"/>
                <w:color w:val="auto"/>
              </w:rPr>
              <w:t>②列入总量控制的污染物、排污口列为管理的重点；</w:t>
            </w:r>
          </w:p>
          <w:p w14:paraId="73BD91CE">
            <w:pPr>
              <w:pStyle w:val="75"/>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ascii="Times New Roman" w:hAnsi="Times New Roman" w:cs="Times New Roman"/>
                <w:color w:val="auto"/>
              </w:rPr>
            </w:pPr>
            <w:r>
              <w:rPr>
                <w:rFonts w:ascii="Times New Roman" w:hAnsi="Times New Roman" w:cs="Times New Roman"/>
                <w:color w:val="auto"/>
              </w:rPr>
              <w:t>③排污口应便于采样与计量监测，便于日常现场监督检查；</w:t>
            </w:r>
          </w:p>
          <w:p w14:paraId="6B5C01A3">
            <w:pPr>
              <w:pStyle w:val="75"/>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ascii="Times New Roman" w:hAnsi="Times New Roman" w:cs="Times New Roman"/>
                <w:color w:val="auto"/>
              </w:rPr>
            </w:pPr>
            <w:r>
              <w:rPr>
                <w:rFonts w:ascii="Times New Roman" w:hAnsi="Times New Roman" w:cs="Times New Roman"/>
                <w:color w:val="auto"/>
              </w:rPr>
              <w:t>④如实向环保管理部门申报排污口数量、位置及所排放的主要污染物种类、数量、浓度、排放去向等情况；</w:t>
            </w:r>
          </w:p>
          <w:p w14:paraId="3F50D80F">
            <w:pPr>
              <w:pStyle w:val="75"/>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ascii="Times New Roman" w:hAnsi="Times New Roman" w:cs="Times New Roman"/>
                <w:color w:val="auto"/>
              </w:rPr>
            </w:pPr>
            <w:r>
              <w:rPr>
                <w:rFonts w:ascii="Times New Roman" w:hAnsi="Times New Roman" w:cs="Times New Roman"/>
                <w:color w:val="auto"/>
              </w:rPr>
              <w:t>⑤</w:t>
            </w:r>
            <w:r>
              <w:rPr>
                <w:rFonts w:hint="eastAsia" w:ascii="Times New Roman" w:hAnsi="Times New Roman" w:cs="Times New Roman"/>
                <w:color w:val="auto"/>
                <w:lang w:eastAsia="zh-CN"/>
              </w:rPr>
              <w:t>项目在</w:t>
            </w:r>
            <w:r>
              <w:rPr>
                <w:rFonts w:ascii="Times New Roman" w:hAnsi="Times New Roman" w:cs="Times New Roman"/>
                <w:color w:val="auto"/>
              </w:rPr>
              <w:t>固废堆存时，专用堆放场应设有防扬散、防流失、防渗漏措施。</w:t>
            </w:r>
          </w:p>
          <w:p w14:paraId="72E06C6C">
            <w:pPr>
              <w:pStyle w:val="75"/>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ascii="Times New Roman" w:hAnsi="Times New Roman" w:cs="Times New Roman"/>
                <w:color w:val="auto"/>
              </w:rPr>
            </w:pPr>
            <w:r>
              <w:rPr>
                <w:rFonts w:ascii="Times New Roman" w:hAnsi="Times New Roman" w:cs="Times New Roman"/>
                <w:color w:val="auto"/>
              </w:rPr>
              <w:t>排污口立标管理对上述污染物排放口和固体废物堆场，应按照国家《排污单位污染物排放口二维码标识技术规范》（HJ1297-2023）、《环境保护图形标志》（GB15562.1-1995）与《环境保护图形标志固体废物贮存（处置）场》（GB1556.2-1995）规定，设置国家环保局统一制作的环境保护图形标志牌：</w:t>
            </w:r>
          </w:p>
          <w:p w14:paraId="06C94F3E">
            <w:pPr>
              <w:pStyle w:val="75"/>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ascii="Times New Roman" w:hAnsi="Times New Roman" w:cs="Times New Roman"/>
                <w:color w:val="auto"/>
              </w:rPr>
            </w:pPr>
            <w:r>
              <w:rPr>
                <w:rFonts w:ascii="Times New Roman" w:hAnsi="Times New Roman" w:cs="Times New Roman"/>
                <w:color w:val="auto"/>
              </w:rPr>
              <w:t>①污染物排放口的环保图形标志牌应设置在靠近采样点且醒目处，标志牌设置高度为其上边缘距离地面约2m；</w:t>
            </w:r>
          </w:p>
          <w:p w14:paraId="1B4F4CDF">
            <w:pPr>
              <w:pStyle w:val="75"/>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ascii="Times New Roman" w:hAnsi="Times New Roman" w:cs="Times New Roman"/>
                <w:color w:val="auto"/>
              </w:rPr>
            </w:pPr>
            <w:r>
              <w:rPr>
                <w:rFonts w:ascii="Times New Roman" w:hAnsi="Times New Roman" w:cs="Times New Roman"/>
                <w:color w:val="auto"/>
              </w:rPr>
              <w:t>②重点排污单位的污染物排放口以设置立式标志牌为主，一般排污单位的污染物排放口，可根据情况设置立式或平面固定式标志牌。</w:t>
            </w:r>
          </w:p>
          <w:p w14:paraId="1A7E71CB">
            <w:pPr>
              <w:pStyle w:val="75"/>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ascii="Times New Roman" w:hAnsi="Times New Roman" w:cs="Times New Roman"/>
                <w:color w:val="auto"/>
              </w:rPr>
            </w:pPr>
            <w:r>
              <w:rPr>
                <w:rFonts w:ascii="Times New Roman" w:hAnsi="Times New Roman" w:cs="Times New Roman"/>
                <w:color w:val="auto"/>
              </w:rPr>
              <w:t>③污染物排放口二</w:t>
            </w:r>
            <w:r>
              <w:rPr>
                <w:rFonts w:hint="eastAsia" w:ascii="Times New Roman" w:hAnsi="Times New Roman" w:cs="Times New Roman"/>
                <w:color w:val="auto"/>
                <w:lang w:eastAsia="zh-CN"/>
              </w:rPr>
              <w:t>维码</w:t>
            </w:r>
            <w:r>
              <w:rPr>
                <w:rFonts w:ascii="Times New Roman" w:hAnsi="Times New Roman" w:cs="Times New Roman"/>
                <w:color w:val="auto"/>
              </w:rPr>
              <w:t>：以二维码为载体对污染物排放口管理对象进行唯一标识，用于承载排污单位污染物排放口代码、信息服务地址等信息。</w:t>
            </w:r>
          </w:p>
          <w:p w14:paraId="4F672934">
            <w:pPr>
              <w:pStyle w:val="75"/>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ascii="Times New Roman" w:hAnsi="Times New Roman" w:cs="Times New Roman"/>
                <w:color w:val="auto"/>
              </w:rPr>
            </w:pPr>
            <w:r>
              <w:rPr>
                <w:rFonts w:ascii="Times New Roman" w:hAnsi="Times New Roman" w:cs="Times New Roman"/>
                <w:color w:val="auto"/>
              </w:rPr>
              <w:t>排污口建档管理要求如下：</w:t>
            </w:r>
          </w:p>
          <w:p w14:paraId="790A7364">
            <w:pPr>
              <w:pStyle w:val="75"/>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ascii="Times New Roman" w:hAnsi="Times New Roman" w:cs="Times New Roman"/>
                <w:color w:val="auto"/>
              </w:rPr>
            </w:pPr>
            <w:r>
              <w:rPr>
                <w:rFonts w:ascii="Times New Roman" w:hAnsi="Times New Roman" w:cs="Times New Roman"/>
                <w:color w:val="auto"/>
              </w:rPr>
              <w:t>①本项目应使用国家环保局统一印制的《中华人民共和国规范化排污口标志登记证》，并按要求填写有关内容；</w:t>
            </w:r>
          </w:p>
          <w:p w14:paraId="00B25909">
            <w:pPr>
              <w:pStyle w:val="75"/>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b/>
                <w:iCs/>
                <w:color w:val="auto"/>
                <w:highlight w:val="none"/>
              </w:rPr>
            </w:pPr>
            <w:r>
              <w:rPr>
                <w:rFonts w:ascii="Times New Roman" w:hAnsi="Times New Roman" w:cs="Times New Roman"/>
                <w:color w:val="auto"/>
              </w:rPr>
              <w:t>②根据排污口管理内容要求，项目建成投产后，应将主要污染物种类、数量、浓度、排放去向，立标情况及设施运行情况记录于档案。</w:t>
            </w:r>
          </w:p>
          <w:p w14:paraId="05396004">
            <w:pPr>
              <w:pStyle w:val="42"/>
              <w:rPr>
                <w:rFonts w:ascii="Times New Roman"/>
                <w:color w:val="auto"/>
                <w:highlight w:val="none"/>
              </w:rPr>
            </w:pPr>
            <w:r>
              <w:rPr>
                <w:rFonts w:hint="eastAsia" w:ascii="Times New Roman"/>
                <w:b/>
                <w:iCs/>
                <w:color w:val="auto"/>
                <w:highlight w:val="none"/>
              </w:rPr>
              <w:t>8、</w:t>
            </w:r>
            <w:r>
              <w:rPr>
                <w:rFonts w:hint="eastAsia" w:hAnsi="宋体"/>
                <w:b/>
                <w:color w:val="auto"/>
                <w:highlight w:val="none"/>
              </w:rPr>
              <w:t>环保投资一览表</w:t>
            </w:r>
          </w:p>
          <w:p w14:paraId="15DC7A62">
            <w:pPr>
              <w:pStyle w:val="44"/>
              <w:spacing w:line="360" w:lineRule="auto"/>
              <w:ind w:left="0" w:firstLine="472" w:firstLineChars="200"/>
              <w:rPr>
                <w:rFonts w:hint="eastAsia"/>
                <w:b/>
                <w:bCs/>
                <w:color w:val="auto"/>
                <w:szCs w:val="21"/>
                <w:highlight w:val="none"/>
              </w:rPr>
            </w:pPr>
            <w:r>
              <w:rPr>
                <w:rFonts w:hint="eastAsia" w:ascii="Times New Roman" w:hAnsi="Times New Roman"/>
                <w:color w:val="auto"/>
                <w:spacing w:val="-2"/>
                <w:sz w:val="24"/>
                <w:szCs w:val="24"/>
                <w:highlight w:val="none"/>
              </w:rPr>
              <w:t>本项目总投资</w:t>
            </w:r>
            <w:r>
              <w:rPr>
                <w:rFonts w:hint="eastAsia" w:ascii="Times New Roman" w:hAnsi="Times New Roman"/>
                <w:color w:val="auto"/>
                <w:spacing w:val="-2"/>
                <w:sz w:val="24"/>
                <w:szCs w:val="24"/>
                <w:highlight w:val="none"/>
                <w:lang w:val="en-US" w:eastAsia="zh-CN"/>
              </w:rPr>
              <w:t>5</w:t>
            </w:r>
            <w:r>
              <w:rPr>
                <w:rFonts w:hint="eastAsia" w:ascii="Times New Roman" w:hAnsi="Times New Roman"/>
                <w:color w:val="auto"/>
                <w:spacing w:val="-2"/>
                <w:sz w:val="24"/>
                <w:szCs w:val="24"/>
                <w:highlight w:val="none"/>
              </w:rPr>
              <w:t>0万元，其中环保投资</w:t>
            </w:r>
            <w:r>
              <w:rPr>
                <w:rFonts w:hint="eastAsia" w:ascii="Times New Roman" w:hAnsi="Times New Roman"/>
                <w:color w:val="auto"/>
                <w:spacing w:val="-2"/>
                <w:sz w:val="24"/>
                <w:szCs w:val="24"/>
                <w:highlight w:val="none"/>
                <w:lang w:val="en-US" w:eastAsia="zh-CN"/>
              </w:rPr>
              <w:t>18.4</w:t>
            </w:r>
            <w:r>
              <w:rPr>
                <w:rFonts w:hint="eastAsia" w:ascii="Times New Roman" w:hAnsi="Times New Roman"/>
                <w:color w:val="auto"/>
                <w:spacing w:val="-2"/>
                <w:sz w:val="24"/>
                <w:szCs w:val="24"/>
                <w:highlight w:val="none"/>
              </w:rPr>
              <w:t>万元，环保投资具体情况见下表。</w:t>
            </w:r>
          </w:p>
          <w:p w14:paraId="1FC457B5">
            <w:pPr>
              <w:pStyle w:val="68"/>
              <w:numPr>
                <w:ilvl w:val="0"/>
                <w:numId w:val="19"/>
              </w:numPr>
              <w:spacing w:line="360" w:lineRule="auto"/>
              <w:ind w:left="0" w:leftChars="0" w:firstLine="0" w:firstLineChars="0"/>
              <w:jc w:val="center"/>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 xml:space="preserve">  本项目环保投资一览表</w:t>
            </w:r>
          </w:p>
          <w:tbl>
            <w:tblPr>
              <w:tblStyle w:val="7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116"/>
              <w:gridCol w:w="953"/>
              <w:gridCol w:w="5046"/>
              <w:gridCol w:w="1346"/>
            </w:tblGrid>
            <w:tr w14:paraId="0AB48E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39" w:hRule="atLeast"/>
                <w:jc w:val="center"/>
              </w:trPr>
              <w:tc>
                <w:tcPr>
                  <w:tcW w:w="660" w:type="pct"/>
                  <w:tcBorders>
                    <w:tl2br w:val="nil"/>
                    <w:tr2bl w:val="nil"/>
                  </w:tcBorders>
                  <w:noWrap w:val="0"/>
                  <w:vAlign w:val="center"/>
                </w:tcPr>
                <w:p w14:paraId="23BC7DAB">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项目</w:t>
                  </w:r>
                </w:p>
              </w:tc>
              <w:tc>
                <w:tcPr>
                  <w:tcW w:w="3544" w:type="pct"/>
                  <w:gridSpan w:val="2"/>
                  <w:tcBorders>
                    <w:tl2br w:val="nil"/>
                    <w:tr2bl w:val="nil"/>
                  </w:tcBorders>
                  <w:noWrap w:val="0"/>
                  <w:vAlign w:val="center"/>
                </w:tcPr>
                <w:p w14:paraId="1DA74187">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环保措施</w:t>
                  </w:r>
                </w:p>
              </w:tc>
              <w:tc>
                <w:tcPr>
                  <w:tcW w:w="795" w:type="pct"/>
                  <w:tcBorders>
                    <w:tl2br w:val="nil"/>
                    <w:tr2bl w:val="nil"/>
                  </w:tcBorders>
                  <w:noWrap w:val="0"/>
                  <w:vAlign w:val="center"/>
                </w:tcPr>
                <w:p w14:paraId="48E39F4B">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投资</w:t>
                  </w:r>
                </w:p>
                <w:p w14:paraId="49B2FBCB">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（万元）</w:t>
                  </w:r>
                </w:p>
              </w:tc>
            </w:tr>
            <w:tr w14:paraId="7E3EA5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60" w:type="pct"/>
                  <w:vMerge w:val="restart"/>
                  <w:tcBorders>
                    <w:tl2br w:val="nil"/>
                    <w:tr2bl w:val="nil"/>
                  </w:tcBorders>
                  <w:noWrap w:val="0"/>
                  <w:vAlign w:val="center"/>
                </w:tcPr>
                <w:p w14:paraId="02ED6C69">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废气防治</w:t>
                  </w:r>
                </w:p>
              </w:tc>
              <w:tc>
                <w:tcPr>
                  <w:tcW w:w="563" w:type="pct"/>
                  <w:tcBorders>
                    <w:tl2br w:val="nil"/>
                    <w:tr2bl w:val="nil"/>
                  </w:tcBorders>
                  <w:noWrap w:val="0"/>
                  <w:vAlign w:val="center"/>
                </w:tcPr>
                <w:p w14:paraId="305F8694">
                  <w:pPr>
                    <w:pStyle w:val="75"/>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rPr>
                  </w:pPr>
                  <w:r>
                    <w:rPr>
                      <w:rFonts w:hint="eastAsia" w:ascii="Times New Roman" w:hAnsi="Times New Roman" w:cs="Times New Roman"/>
                      <w:color w:val="auto"/>
                      <w:sz w:val="21"/>
                      <w:szCs w:val="21"/>
                      <w:lang w:eastAsia="zh-CN"/>
                    </w:rPr>
                    <w:t>木加工</w:t>
                  </w:r>
                  <w:r>
                    <w:rPr>
                      <w:rFonts w:hint="default" w:ascii="Times New Roman" w:hAnsi="Times New Roman" w:eastAsia="宋体" w:cs="Times New Roman"/>
                      <w:color w:val="auto"/>
                      <w:sz w:val="21"/>
                      <w:szCs w:val="21"/>
                    </w:rPr>
                    <w:t>废气</w:t>
                  </w:r>
                  <w:r>
                    <w:rPr>
                      <w:rFonts w:hint="eastAsia" w:ascii="Times New Roman" w:hAnsi="Times New Roman" w:cs="Times New Roman"/>
                      <w:color w:val="auto"/>
                      <w:sz w:val="21"/>
                      <w:szCs w:val="21"/>
                      <w:lang w:eastAsia="zh-CN"/>
                    </w:rPr>
                    <w:t>（</w:t>
                  </w:r>
                  <w:r>
                    <w:rPr>
                      <w:rFonts w:hint="default" w:ascii="Times New Roman" w:hAnsi="Times New Roman" w:eastAsia="宋体" w:cs="Times New Roman"/>
                      <w:color w:val="auto"/>
                      <w:sz w:val="21"/>
                      <w:szCs w:val="21"/>
                    </w:rPr>
                    <w:t>下料、刨光、</w:t>
                  </w:r>
                  <w:r>
                    <w:rPr>
                      <w:rFonts w:hint="eastAsia" w:ascii="Times New Roman" w:hAnsi="Times New Roman" w:eastAsia="宋体" w:cs="Times New Roman"/>
                      <w:color w:val="auto"/>
                      <w:sz w:val="21"/>
                      <w:szCs w:val="21"/>
                      <w:lang w:eastAsia="zh-CN"/>
                    </w:rPr>
                    <w:t>梳齿指接</w:t>
                  </w:r>
                  <w:r>
                    <w:rPr>
                      <w:rFonts w:hint="eastAsia" w:ascii="Times New Roman" w:hAnsi="Times New Roman" w:cs="Times New Roman"/>
                      <w:color w:val="auto"/>
                      <w:sz w:val="21"/>
                      <w:szCs w:val="21"/>
                      <w:lang w:eastAsia="zh-CN"/>
                    </w:rPr>
                    <w:t>）</w:t>
                  </w:r>
                </w:p>
              </w:tc>
              <w:tc>
                <w:tcPr>
                  <w:tcW w:w="2980" w:type="pct"/>
                  <w:tcBorders>
                    <w:tl2br w:val="nil"/>
                    <w:tr2bl w:val="nil"/>
                  </w:tcBorders>
                  <w:noWrap w:val="0"/>
                  <w:vAlign w:val="center"/>
                </w:tcPr>
                <w:p w14:paraId="2DC26E84">
                  <w:pPr>
                    <w:pStyle w:val="75"/>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rPr>
                  </w:pPr>
                  <w:r>
                    <w:rPr>
                      <w:rFonts w:hint="eastAsia" w:ascii="Times New Roman" w:hAnsi="Times New Roman" w:cs="Times New Roman"/>
                      <w:color w:val="auto"/>
                      <w:sz w:val="21"/>
                      <w:szCs w:val="21"/>
                      <w:lang w:eastAsia="zh-CN"/>
                    </w:rPr>
                    <w:t>集气罩（</w:t>
                  </w:r>
                  <w:r>
                    <w:rPr>
                      <w:rFonts w:hint="eastAsia" w:ascii="Times New Roman" w:hAnsi="Times New Roman" w:cs="Times New Roman"/>
                      <w:color w:val="auto"/>
                      <w:sz w:val="21"/>
                      <w:szCs w:val="21"/>
                      <w:lang w:val="en-US" w:eastAsia="zh-CN"/>
                    </w:rPr>
                    <w:t>3个</w:t>
                  </w:r>
                  <w:r>
                    <w:rPr>
                      <w:rFonts w:hint="eastAsia" w:ascii="Times New Roman" w:hAnsi="Times New Roman" w:cs="Times New Roman"/>
                      <w:color w:val="auto"/>
                      <w:sz w:val="21"/>
                      <w:szCs w:val="21"/>
                      <w:lang w:eastAsia="zh-CN"/>
                    </w:rPr>
                    <w:t>）</w:t>
                  </w:r>
                  <w:r>
                    <w:rPr>
                      <w:rFonts w:hint="eastAsia" w:ascii="宋体" w:hAnsi="宋体" w:eastAsia="宋体" w:cs="宋体"/>
                      <w:color w:val="auto"/>
                      <w:sz w:val="21"/>
                      <w:szCs w:val="21"/>
                      <w:highlight w:val="none"/>
                      <w:lang w:eastAsia="zh-CN"/>
                    </w:rPr>
                    <w:t>收集</w:t>
                  </w:r>
                  <w:r>
                    <w:rPr>
                      <w:rFonts w:hint="eastAsia" w:ascii="Times New Roman" w:hAnsi="Times New Roman" w:eastAsia="宋体"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eastAsia="zh-CN"/>
                    </w:rPr>
                    <w:t>布袋除尘器</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eastAsia="zh-CN"/>
                    </w:rPr>
                    <w:t>15m排气筒</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eastAsia="zh-CN"/>
                    </w:rPr>
                    <w:t>DA00</w:t>
                  </w:r>
                  <w:r>
                    <w:rPr>
                      <w:rFonts w:hint="eastAsia" w:ascii="Times New Roman" w:hAnsi="Times New Roman" w:eastAsia="宋体" w:cs="Times New Roman"/>
                      <w:color w:val="auto"/>
                      <w:sz w:val="21"/>
                      <w:szCs w:val="21"/>
                      <w:highlight w:val="none"/>
                      <w:lang w:val="en-US" w:eastAsia="zh-CN"/>
                    </w:rPr>
                    <w:t>1</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eastAsia="zh-CN"/>
                    </w:rPr>
                    <w:t>排放</w:t>
                  </w:r>
                </w:p>
              </w:tc>
              <w:tc>
                <w:tcPr>
                  <w:tcW w:w="1347" w:type="dxa"/>
                  <w:tcBorders>
                    <w:tl2br w:val="nil"/>
                    <w:tr2bl w:val="nil"/>
                  </w:tcBorders>
                  <w:noWrap w:val="0"/>
                  <w:vAlign w:val="center"/>
                </w:tcPr>
                <w:p w14:paraId="6D657D85">
                  <w:pPr>
                    <w:adjustRightInd w:val="0"/>
                    <w:snapToGrid w:val="0"/>
                    <w:spacing w:line="240" w:lineRule="auto"/>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2.39</w:t>
                  </w:r>
                </w:p>
              </w:tc>
            </w:tr>
            <w:tr w14:paraId="4DBE7A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60" w:type="pct"/>
                  <w:vMerge w:val="continue"/>
                  <w:tcBorders>
                    <w:tl2br w:val="nil"/>
                    <w:tr2bl w:val="nil"/>
                  </w:tcBorders>
                  <w:noWrap w:val="0"/>
                  <w:vAlign w:val="center"/>
                </w:tcPr>
                <w:p w14:paraId="72B84A5D">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p>
              </w:tc>
              <w:tc>
                <w:tcPr>
                  <w:tcW w:w="563" w:type="pct"/>
                  <w:tcBorders>
                    <w:tl2br w:val="nil"/>
                    <w:tr2bl w:val="nil"/>
                  </w:tcBorders>
                  <w:noWrap w:val="0"/>
                  <w:vAlign w:val="center"/>
                </w:tcPr>
                <w:p w14:paraId="6CD1515C">
                  <w:pPr>
                    <w:pStyle w:val="75"/>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rPr>
                  </w:pPr>
                  <w:r>
                    <w:rPr>
                      <w:rFonts w:hint="eastAsia" w:ascii="Times New Roman" w:hAnsi="Times New Roman" w:cs="Times New Roman"/>
                      <w:color w:val="auto"/>
                      <w:sz w:val="21"/>
                      <w:szCs w:val="21"/>
                      <w:lang w:eastAsia="zh-CN"/>
                    </w:rPr>
                    <w:t>砂光</w:t>
                  </w:r>
                  <w:r>
                    <w:rPr>
                      <w:rFonts w:hint="default" w:ascii="Times New Roman" w:hAnsi="Times New Roman" w:eastAsia="宋体" w:cs="Times New Roman"/>
                      <w:color w:val="auto"/>
                      <w:sz w:val="21"/>
                      <w:szCs w:val="21"/>
                    </w:rPr>
                    <w:t>废气</w:t>
                  </w:r>
                </w:p>
              </w:tc>
              <w:tc>
                <w:tcPr>
                  <w:tcW w:w="2980" w:type="pct"/>
                  <w:tcBorders>
                    <w:tl2br w:val="nil"/>
                    <w:tr2bl w:val="nil"/>
                  </w:tcBorders>
                  <w:noWrap w:val="0"/>
                  <w:vAlign w:val="center"/>
                </w:tcPr>
                <w:p w14:paraId="67F8DA91">
                  <w:pPr>
                    <w:pStyle w:val="75"/>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rPr>
                  </w:pPr>
                  <w:r>
                    <w:rPr>
                      <w:rFonts w:hint="eastAsia" w:ascii="Times New Roman" w:hAnsi="Times New Roman" w:cs="Times New Roman"/>
                      <w:color w:val="auto"/>
                      <w:sz w:val="21"/>
                      <w:szCs w:val="21"/>
                      <w:lang w:eastAsia="zh-CN"/>
                    </w:rPr>
                    <w:t>集气罩</w:t>
                  </w:r>
                  <w:r>
                    <w:rPr>
                      <w:rFonts w:hint="eastAsia" w:ascii="宋体" w:hAnsi="宋体" w:eastAsia="宋体" w:cs="宋体"/>
                      <w:color w:val="auto"/>
                      <w:sz w:val="21"/>
                      <w:szCs w:val="21"/>
                      <w:highlight w:val="none"/>
                      <w:lang w:eastAsia="zh-CN"/>
                    </w:rPr>
                    <w:t>收集</w:t>
                  </w:r>
                  <w:r>
                    <w:rPr>
                      <w:rFonts w:hint="eastAsia" w:ascii="Times New Roman" w:hAnsi="Times New Roman" w:eastAsia="宋体"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eastAsia="zh-CN"/>
                    </w:rPr>
                    <w:t>布袋除尘器</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eastAsia="zh-CN"/>
                    </w:rPr>
                    <w:t>15m排气筒</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eastAsia="zh-CN"/>
                    </w:rPr>
                    <w:t>DA00</w:t>
                  </w:r>
                  <w:r>
                    <w:rPr>
                      <w:rFonts w:hint="eastAsia" w:ascii="Times New Roman" w:hAnsi="Times New Roman" w:eastAsia="宋体" w:cs="Times New Roman"/>
                      <w:color w:val="auto"/>
                      <w:sz w:val="21"/>
                      <w:szCs w:val="21"/>
                      <w:highlight w:val="none"/>
                      <w:lang w:val="en-US" w:eastAsia="zh-CN"/>
                    </w:rPr>
                    <w:t>2</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eastAsia="zh-CN"/>
                    </w:rPr>
                    <w:t>排放</w:t>
                  </w:r>
                </w:p>
              </w:tc>
              <w:tc>
                <w:tcPr>
                  <w:tcW w:w="1347" w:type="dxa"/>
                  <w:tcBorders>
                    <w:tl2br w:val="nil"/>
                    <w:tr2bl w:val="nil"/>
                  </w:tcBorders>
                  <w:noWrap w:val="0"/>
                  <w:vAlign w:val="center"/>
                </w:tcPr>
                <w:p w14:paraId="63E3BF0B">
                  <w:pPr>
                    <w:adjustRightInd w:val="0"/>
                    <w:snapToGrid w:val="0"/>
                    <w:spacing w:line="240" w:lineRule="auto"/>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1.93</w:t>
                  </w:r>
                </w:p>
              </w:tc>
            </w:tr>
            <w:tr w14:paraId="12B114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60" w:type="pct"/>
                  <w:vMerge w:val="continue"/>
                  <w:tcBorders>
                    <w:tl2br w:val="nil"/>
                    <w:tr2bl w:val="nil"/>
                  </w:tcBorders>
                  <w:noWrap w:val="0"/>
                  <w:vAlign w:val="center"/>
                </w:tcPr>
                <w:p w14:paraId="70C16FE6">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p>
              </w:tc>
              <w:tc>
                <w:tcPr>
                  <w:tcW w:w="563" w:type="pct"/>
                  <w:tcBorders>
                    <w:tl2br w:val="nil"/>
                    <w:tr2bl w:val="nil"/>
                  </w:tcBorders>
                  <w:noWrap w:val="0"/>
                  <w:vAlign w:val="center"/>
                </w:tcPr>
                <w:p w14:paraId="61D84C4A">
                  <w:pPr>
                    <w:pStyle w:val="75"/>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rPr>
                  </w:pPr>
                  <w:r>
                    <w:rPr>
                      <w:rFonts w:hint="eastAsia" w:ascii="Times New Roman" w:hAnsi="Times New Roman" w:cs="Times New Roman"/>
                      <w:color w:val="auto"/>
                      <w:sz w:val="21"/>
                      <w:szCs w:val="21"/>
                      <w:lang w:eastAsia="zh-CN"/>
                    </w:rPr>
                    <w:t>轻砂光、油砂砂光</w:t>
                  </w:r>
                  <w:r>
                    <w:rPr>
                      <w:rFonts w:hint="default" w:ascii="Times New Roman" w:hAnsi="Times New Roman" w:eastAsia="宋体" w:cs="Times New Roman"/>
                      <w:color w:val="auto"/>
                      <w:sz w:val="21"/>
                      <w:szCs w:val="21"/>
                    </w:rPr>
                    <w:t>废气</w:t>
                  </w:r>
                </w:p>
              </w:tc>
              <w:tc>
                <w:tcPr>
                  <w:tcW w:w="2980" w:type="pct"/>
                  <w:tcBorders>
                    <w:tl2br w:val="nil"/>
                    <w:tr2bl w:val="nil"/>
                  </w:tcBorders>
                  <w:noWrap w:val="0"/>
                  <w:vAlign w:val="center"/>
                </w:tcPr>
                <w:p w14:paraId="122DD9B3">
                  <w:pPr>
                    <w:pStyle w:val="75"/>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rPr>
                  </w:pPr>
                  <w:r>
                    <w:rPr>
                      <w:rFonts w:hint="eastAsia" w:ascii="Times New Roman" w:hAnsi="Times New Roman" w:cs="Times New Roman"/>
                      <w:color w:val="auto"/>
                      <w:sz w:val="21"/>
                      <w:szCs w:val="21"/>
                      <w:lang w:eastAsia="zh-CN"/>
                    </w:rPr>
                    <w:t>集气罩（</w:t>
                  </w:r>
                  <w:r>
                    <w:rPr>
                      <w:rFonts w:hint="eastAsia" w:ascii="Times New Roman" w:hAnsi="Times New Roman" w:cs="Times New Roman"/>
                      <w:color w:val="auto"/>
                      <w:sz w:val="21"/>
                      <w:szCs w:val="21"/>
                      <w:lang w:val="en-US" w:eastAsia="zh-CN"/>
                    </w:rPr>
                    <w:t>2个</w:t>
                  </w:r>
                  <w:r>
                    <w:rPr>
                      <w:rFonts w:hint="eastAsia" w:ascii="Times New Roman" w:hAnsi="Times New Roman" w:cs="Times New Roman"/>
                      <w:color w:val="auto"/>
                      <w:sz w:val="21"/>
                      <w:szCs w:val="21"/>
                      <w:lang w:eastAsia="zh-CN"/>
                    </w:rPr>
                    <w:t>）</w:t>
                  </w:r>
                  <w:r>
                    <w:rPr>
                      <w:rFonts w:hint="eastAsia" w:ascii="宋体" w:hAnsi="宋体" w:eastAsia="宋体" w:cs="宋体"/>
                      <w:color w:val="auto"/>
                      <w:sz w:val="21"/>
                      <w:szCs w:val="21"/>
                      <w:highlight w:val="none"/>
                      <w:lang w:eastAsia="zh-CN"/>
                    </w:rPr>
                    <w:t>收集</w:t>
                  </w:r>
                  <w:r>
                    <w:rPr>
                      <w:rFonts w:hint="eastAsia" w:ascii="Times New Roman" w:hAnsi="Times New Roman" w:eastAsia="宋体"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eastAsia="zh-CN"/>
                    </w:rPr>
                    <w:t>布袋除尘器</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eastAsia="zh-CN"/>
                    </w:rPr>
                    <w:t>15m排气筒</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eastAsia="zh-CN"/>
                    </w:rPr>
                    <w:t>DA00</w:t>
                  </w:r>
                  <w:r>
                    <w:rPr>
                      <w:rFonts w:hint="eastAsia" w:ascii="Times New Roman" w:hAnsi="Times New Roman" w:eastAsia="宋体" w:cs="Times New Roman"/>
                      <w:color w:val="auto"/>
                      <w:sz w:val="21"/>
                      <w:szCs w:val="21"/>
                      <w:highlight w:val="none"/>
                      <w:lang w:val="en-US" w:eastAsia="zh-CN"/>
                    </w:rPr>
                    <w:t>3</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eastAsia="zh-CN"/>
                    </w:rPr>
                    <w:t>排放</w:t>
                  </w:r>
                </w:p>
              </w:tc>
              <w:tc>
                <w:tcPr>
                  <w:tcW w:w="1347" w:type="dxa"/>
                  <w:tcBorders>
                    <w:tl2br w:val="nil"/>
                    <w:tr2bl w:val="nil"/>
                  </w:tcBorders>
                  <w:noWrap w:val="0"/>
                  <w:vAlign w:val="center"/>
                </w:tcPr>
                <w:p w14:paraId="281091FF">
                  <w:pPr>
                    <w:adjustRightInd w:val="0"/>
                    <w:snapToGrid w:val="0"/>
                    <w:spacing w:line="240" w:lineRule="auto"/>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2.16</w:t>
                  </w:r>
                </w:p>
              </w:tc>
            </w:tr>
            <w:tr w14:paraId="19E1C7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60" w:type="pct"/>
                  <w:vMerge w:val="continue"/>
                  <w:tcBorders>
                    <w:tl2br w:val="nil"/>
                    <w:tr2bl w:val="nil"/>
                  </w:tcBorders>
                  <w:noWrap w:val="0"/>
                  <w:vAlign w:val="center"/>
                </w:tcPr>
                <w:p w14:paraId="5C7D87FC">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p>
              </w:tc>
              <w:tc>
                <w:tcPr>
                  <w:tcW w:w="563" w:type="pct"/>
                  <w:tcBorders>
                    <w:tl2br w:val="nil"/>
                    <w:tr2bl w:val="nil"/>
                  </w:tcBorders>
                  <w:noWrap w:val="0"/>
                  <w:vAlign w:val="center"/>
                </w:tcPr>
                <w:p w14:paraId="6BC1793B">
                  <w:pPr>
                    <w:pStyle w:val="75"/>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lang w:eastAsia="zh-CN"/>
                    </w:rPr>
                  </w:pPr>
                  <w:r>
                    <w:rPr>
                      <w:rFonts w:hint="eastAsia" w:ascii="Times New Roman" w:hAnsi="Times New Roman" w:cs="Times New Roman"/>
                      <w:color w:val="auto"/>
                      <w:sz w:val="21"/>
                      <w:szCs w:val="21"/>
                      <w:lang w:eastAsia="zh-CN"/>
                    </w:rPr>
                    <w:t>轻开槽</w:t>
                  </w:r>
                  <w:r>
                    <w:rPr>
                      <w:rFonts w:hint="default" w:ascii="Times New Roman" w:hAnsi="Times New Roman" w:eastAsia="宋体" w:cs="Times New Roman"/>
                      <w:color w:val="auto"/>
                      <w:sz w:val="21"/>
                      <w:szCs w:val="21"/>
                    </w:rPr>
                    <w:t>废气</w:t>
                  </w:r>
                </w:p>
              </w:tc>
              <w:tc>
                <w:tcPr>
                  <w:tcW w:w="2980" w:type="pct"/>
                  <w:tcBorders>
                    <w:tl2br w:val="nil"/>
                    <w:tr2bl w:val="nil"/>
                  </w:tcBorders>
                  <w:noWrap w:val="0"/>
                  <w:vAlign w:val="center"/>
                </w:tcPr>
                <w:p w14:paraId="3716E783">
                  <w:pPr>
                    <w:pStyle w:val="75"/>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rPr>
                  </w:pPr>
                  <w:r>
                    <w:rPr>
                      <w:rFonts w:hint="eastAsia" w:ascii="Times New Roman" w:hAnsi="Times New Roman" w:cs="Times New Roman"/>
                      <w:color w:val="auto"/>
                      <w:sz w:val="21"/>
                      <w:szCs w:val="21"/>
                      <w:lang w:eastAsia="zh-CN"/>
                    </w:rPr>
                    <w:t>集气罩</w:t>
                  </w:r>
                  <w:r>
                    <w:rPr>
                      <w:rFonts w:hint="eastAsia" w:ascii="宋体" w:hAnsi="宋体" w:eastAsia="宋体" w:cs="宋体"/>
                      <w:color w:val="auto"/>
                      <w:sz w:val="21"/>
                      <w:szCs w:val="21"/>
                      <w:highlight w:val="none"/>
                      <w:lang w:eastAsia="zh-CN"/>
                    </w:rPr>
                    <w:t>收集</w:t>
                  </w:r>
                  <w:r>
                    <w:rPr>
                      <w:rFonts w:hint="eastAsia" w:ascii="Times New Roman" w:hAnsi="Times New Roman" w:eastAsia="宋体"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eastAsia="zh-CN"/>
                    </w:rPr>
                    <w:t>布袋除尘器</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eastAsia="zh-CN"/>
                    </w:rPr>
                    <w:t>15m排气筒</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eastAsia="zh-CN"/>
                    </w:rPr>
                    <w:t>DA00</w:t>
                  </w:r>
                  <w:r>
                    <w:rPr>
                      <w:rFonts w:hint="eastAsia" w:ascii="Times New Roman" w:hAnsi="Times New Roman" w:eastAsia="宋体" w:cs="Times New Roman"/>
                      <w:color w:val="auto"/>
                      <w:sz w:val="21"/>
                      <w:szCs w:val="21"/>
                      <w:highlight w:val="none"/>
                      <w:lang w:val="en-US" w:eastAsia="zh-CN"/>
                    </w:rPr>
                    <w:t>4</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eastAsia="zh-CN"/>
                    </w:rPr>
                    <w:t>排放</w:t>
                  </w:r>
                </w:p>
              </w:tc>
              <w:tc>
                <w:tcPr>
                  <w:tcW w:w="1347" w:type="dxa"/>
                  <w:tcBorders>
                    <w:tl2br w:val="nil"/>
                    <w:tr2bl w:val="nil"/>
                  </w:tcBorders>
                  <w:noWrap w:val="0"/>
                  <w:vAlign w:val="center"/>
                </w:tcPr>
                <w:p w14:paraId="4F911614">
                  <w:pPr>
                    <w:adjustRightInd w:val="0"/>
                    <w:snapToGrid w:val="0"/>
                    <w:spacing w:line="240" w:lineRule="auto"/>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1.93</w:t>
                  </w:r>
                </w:p>
              </w:tc>
            </w:tr>
            <w:tr w14:paraId="7D789B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60" w:type="pct"/>
                  <w:vMerge w:val="continue"/>
                  <w:tcBorders>
                    <w:tl2br w:val="nil"/>
                    <w:tr2bl w:val="nil"/>
                  </w:tcBorders>
                  <w:noWrap w:val="0"/>
                  <w:vAlign w:val="center"/>
                </w:tcPr>
                <w:p w14:paraId="655E457A">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p>
              </w:tc>
              <w:tc>
                <w:tcPr>
                  <w:tcW w:w="563" w:type="pct"/>
                  <w:tcBorders>
                    <w:tl2br w:val="nil"/>
                    <w:tr2bl w:val="nil"/>
                  </w:tcBorders>
                  <w:noWrap w:val="0"/>
                  <w:vAlign w:val="center"/>
                </w:tcPr>
                <w:p w14:paraId="3794EBCE">
                  <w:pPr>
                    <w:pStyle w:val="75"/>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highlight w:val="none"/>
                      <w:lang w:eastAsia="zh-CN"/>
                    </w:rPr>
                    <w:t>辊漆</w:t>
                  </w:r>
                  <w:r>
                    <w:rPr>
                      <w:rFonts w:hint="eastAsia" w:ascii="Times New Roman" w:hAnsi="Times New Roman" w:eastAsia="宋体"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紫外光固化</w:t>
                  </w:r>
                  <w:r>
                    <w:rPr>
                      <w:rFonts w:hint="eastAsia" w:ascii="Times New Roman" w:hAnsi="Times New Roman" w:eastAsia="宋体" w:cs="Times New Roman"/>
                      <w:color w:val="auto"/>
                      <w:sz w:val="21"/>
                      <w:szCs w:val="21"/>
                      <w:highlight w:val="none"/>
                      <w:lang w:val="en-US" w:eastAsia="zh-CN"/>
                    </w:rPr>
                    <w:t>废气</w:t>
                  </w:r>
                </w:p>
              </w:tc>
              <w:tc>
                <w:tcPr>
                  <w:tcW w:w="2980" w:type="pct"/>
                  <w:tcBorders>
                    <w:tl2br w:val="nil"/>
                    <w:tr2bl w:val="nil"/>
                  </w:tcBorders>
                  <w:noWrap w:val="0"/>
                  <w:vAlign w:val="center"/>
                </w:tcPr>
                <w:p w14:paraId="3E5DD513">
                  <w:pPr>
                    <w:pStyle w:val="75"/>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color w:val="auto"/>
                      <w:sz w:val="21"/>
                      <w:szCs w:val="21"/>
                    </w:rPr>
                  </w:pPr>
                  <w:r>
                    <w:rPr>
                      <w:rFonts w:hint="eastAsia" w:ascii="Times New Roman" w:hAnsi="Times New Roman" w:cs="Times New Roman"/>
                      <w:color w:val="auto"/>
                      <w:sz w:val="21"/>
                      <w:szCs w:val="21"/>
                      <w:lang w:eastAsia="zh-CN"/>
                    </w:rPr>
                    <w:t>集气罩</w:t>
                  </w:r>
                  <w:r>
                    <w:rPr>
                      <w:rFonts w:hint="default" w:ascii="Times New Roman" w:hAnsi="Times New Roman" w:eastAsia="宋体" w:cs="Times New Roman"/>
                      <w:color w:val="auto"/>
                      <w:sz w:val="21"/>
                      <w:szCs w:val="21"/>
                      <w:highlight w:val="none"/>
                      <w:lang w:eastAsia="zh-CN"/>
                    </w:rPr>
                    <w:t>收集</w:t>
                  </w:r>
                  <w:r>
                    <w:rPr>
                      <w:rFonts w:hint="eastAsia" w:ascii="Times New Roman" w:hAnsi="Times New Roman" w:eastAsia="宋体"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eastAsia="zh-CN"/>
                    </w:rPr>
                    <w:t>带有自动控制系统的</w:t>
                  </w:r>
                  <w:r>
                    <w:rPr>
                      <w:rFonts w:hint="eastAsia" w:ascii="Times New Roman" w:hAnsi="Times New Roman" w:eastAsia="宋体" w:cs="Times New Roman"/>
                      <w:color w:val="auto"/>
                      <w:kern w:val="2"/>
                      <w:sz w:val="21"/>
                      <w:szCs w:val="21"/>
                      <w:highlight w:val="none"/>
                      <w:lang w:val="en-US" w:eastAsia="zh-CN" w:bidi="ar-SA"/>
                    </w:rPr>
                    <w:t>二级</w:t>
                  </w:r>
                  <w:r>
                    <w:rPr>
                      <w:rFonts w:hint="eastAsia" w:ascii="Times New Roman" w:hAnsi="Times New Roman" w:eastAsia="宋体" w:cs="Times New Roman"/>
                      <w:color w:val="auto"/>
                      <w:sz w:val="21"/>
                      <w:szCs w:val="21"/>
                      <w:highlight w:val="none"/>
                      <w:lang w:eastAsia="zh-CN"/>
                    </w:rPr>
                    <w:t>活性炭吸附</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eastAsia="zh-CN"/>
                    </w:rPr>
                    <w:t>15m排气筒</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eastAsia="zh-CN"/>
                    </w:rPr>
                    <w:t>DA00</w:t>
                  </w:r>
                  <w:r>
                    <w:rPr>
                      <w:rFonts w:hint="eastAsia" w:ascii="Times New Roman" w:hAnsi="Times New Roman" w:eastAsia="宋体" w:cs="Times New Roman"/>
                      <w:color w:val="auto"/>
                      <w:sz w:val="21"/>
                      <w:szCs w:val="21"/>
                      <w:highlight w:val="none"/>
                      <w:lang w:val="en-US" w:eastAsia="zh-CN"/>
                    </w:rPr>
                    <w:t>5</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eastAsia="zh-CN"/>
                    </w:rPr>
                    <w:t>排放</w:t>
                  </w:r>
                </w:p>
              </w:tc>
              <w:tc>
                <w:tcPr>
                  <w:tcW w:w="1347" w:type="dxa"/>
                  <w:tcBorders>
                    <w:tl2br w:val="nil"/>
                    <w:tr2bl w:val="nil"/>
                  </w:tcBorders>
                  <w:noWrap w:val="0"/>
                  <w:vAlign w:val="center"/>
                </w:tcPr>
                <w:p w14:paraId="1EFC3D89">
                  <w:pPr>
                    <w:adjustRightInd w:val="0"/>
                    <w:snapToGrid w:val="0"/>
                    <w:spacing w:line="240" w:lineRule="auto"/>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2.05</w:t>
                  </w:r>
                </w:p>
              </w:tc>
            </w:tr>
            <w:tr w14:paraId="5AC32D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60" w:type="pct"/>
                  <w:tcBorders>
                    <w:tl2br w:val="nil"/>
                    <w:tr2bl w:val="nil"/>
                  </w:tcBorders>
                  <w:noWrap w:val="0"/>
                  <w:vAlign w:val="center"/>
                </w:tcPr>
                <w:p w14:paraId="0C80B74A">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噪声防治</w:t>
                  </w:r>
                </w:p>
              </w:tc>
              <w:tc>
                <w:tcPr>
                  <w:tcW w:w="3544" w:type="pct"/>
                  <w:gridSpan w:val="2"/>
                  <w:tcBorders>
                    <w:tl2br w:val="nil"/>
                    <w:tr2bl w:val="nil"/>
                  </w:tcBorders>
                  <w:noWrap w:val="0"/>
                  <w:vAlign w:val="center"/>
                </w:tcPr>
                <w:p w14:paraId="47ACFDC0">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采用低噪声设备、基础</w:t>
                  </w:r>
                  <w:r>
                    <w:rPr>
                      <w:rFonts w:hint="eastAsia" w:ascii="Times New Roman" w:hAnsi="Times New Roman" w:cs="Times New Roman"/>
                      <w:color w:val="auto"/>
                      <w:sz w:val="21"/>
                      <w:szCs w:val="21"/>
                      <w:lang w:eastAsia="zh-CN"/>
                    </w:rPr>
                    <w:t>减振</w:t>
                  </w:r>
                  <w:r>
                    <w:rPr>
                      <w:rFonts w:hint="default" w:ascii="Times New Roman" w:hAnsi="Times New Roman" w:eastAsia="宋体" w:cs="Times New Roman"/>
                      <w:color w:val="auto"/>
                      <w:sz w:val="21"/>
                      <w:szCs w:val="21"/>
                    </w:rPr>
                    <w:t>、建筑隔声</w:t>
                  </w:r>
                </w:p>
              </w:tc>
              <w:tc>
                <w:tcPr>
                  <w:tcW w:w="1347" w:type="dxa"/>
                  <w:tcBorders>
                    <w:tl2br w:val="nil"/>
                    <w:tr2bl w:val="nil"/>
                  </w:tcBorders>
                  <w:noWrap w:val="0"/>
                  <w:vAlign w:val="center"/>
                </w:tcPr>
                <w:p w14:paraId="51A2FBB7">
                  <w:pPr>
                    <w:adjustRightInd w:val="0"/>
                    <w:snapToGrid w:val="0"/>
                    <w:spacing w:line="240" w:lineRule="auto"/>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1.36</w:t>
                  </w:r>
                </w:p>
              </w:tc>
            </w:tr>
            <w:tr w14:paraId="73F99C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60" w:type="pct"/>
                  <w:vMerge w:val="restart"/>
                  <w:tcBorders>
                    <w:tl2br w:val="nil"/>
                    <w:tr2bl w:val="nil"/>
                  </w:tcBorders>
                  <w:noWrap w:val="0"/>
                  <w:vAlign w:val="center"/>
                </w:tcPr>
                <w:p w14:paraId="7476A390">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固废防治</w:t>
                  </w:r>
                </w:p>
              </w:tc>
              <w:tc>
                <w:tcPr>
                  <w:tcW w:w="563" w:type="pct"/>
                  <w:tcBorders>
                    <w:tl2br w:val="nil"/>
                    <w:tr2bl w:val="nil"/>
                  </w:tcBorders>
                  <w:noWrap w:val="0"/>
                  <w:vAlign w:val="center"/>
                </w:tcPr>
                <w:p w14:paraId="446B9453">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一般固废</w:t>
                  </w:r>
                </w:p>
              </w:tc>
              <w:tc>
                <w:tcPr>
                  <w:tcW w:w="2980" w:type="pct"/>
                  <w:tcBorders>
                    <w:tl2br w:val="nil"/>
                    <w:tr2bl w:val="nil"/>
                  </w:tcBorders>
                  <w:noWrap w:val="0"/>
                  <w:vAlign w:val="center"/>
                </w:tcPr>
                <w:p w14:paraId="61638080">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一般固废</w:t>
                  </w:r>
                  <w:r>
                    <w:rPr>
                      <w:rFonts w:hint="eastAsia" w:ascii="Times New Roman" w:hAnsi="Times New Roman" w:cs="Times New Roman"/>
                      <w:color w:val="auto"/>
                      <w:sz w:val="21"/>
                      <w:szCs w:val="21"/>
                      <w:lang w:eastAsia="zh-CN"/>
                    </w:rPr>
                    <w:t>暂存</w:t>
                  </w:r>
                  <w:r>
                    <w:rPr>
                      <w:rFonts w:hint="default" w:ascii="Times New Roman" w:hAnsi="Times New Roman" w:eastAsia="宋体" w:cs="Times New Roman"/>
                      <w:color w:val="auto"/>
                      <w:sz w:val="21"/>
                      <w:szCs w:val="21"/>
                    </w:rPr>
                    <w:t>间</w:t>
                  </w:r>
                  <w:r>
                    <w:rPr>
                      <w:rFonts w:hint="default" w:ascii="Times New Roman" w:hAnsi="Times New Roman" w:eastAsia="宋体" w:cs="Times New Roman"/>
                      <w:color w:val="auto"/>
                      <w:sz w:val="21"/>
                      <w:szCs w:val="21"/>
                    </w:rPr>
                    <w:t>1座</w:t>
                  </w:r>
                  <w:r>
                    <w:rPr>
                      <w:rFonts w:hint="default" w:ascii="Times New Roman" w:hAnsi="Times New Roman" w:eastAsia="宋体" w:cs="Times New Roman"/>
                      <w:color w:val="auto"/>
                      <w:sz w:val="21"/>
                      <w:szCs w:val="21"/>
                    </w:rPr>
                    <w:t>（</w:t>
                  </w:r>
                  <w:r>
                    <w:rPr>
                      <w:rFonts w:hint="eastAsia" w:ascii="Times New Roman" w:hAnsi="Times New Roman" w:cs="Times New Roman"/>
                      <w:color w:val="auto"/>
                      <w:sz w:val="21"/>
                      <w:szCs w:val="21"/>
                      <w:lang w:val="en-US" w:eastAsia="zh-CN"/>
                    </w:rPr>
                    <w:t>20</w:t>
                  </w:r>
                  <w:r>
                    <w:rPr>
                      <w:rFonts w:hint="default" w:ascii="Times New Roman" w:hAnsi="Times New Roman" w:eastAsia="宋体" w:cs="Times New Roman"/>
                      <w:color w:val="auto"/>
                      <w:sz w:val="21"/>
                      <w:szCs w:val="21"/>
                    </w:rPr>
                    <w:t>m</w:t>
                  </w:r>
                  <w:r>
                    <w:rPr>
                      <w:rFonts w:hint="default" w:ascii="Times New Roman" w:hAnsi="Times New Roman" w:eastAsia="宋体" w:cs="Times New Roman"/>
                      <w:color w:val="auto"/>
                      <w:sz w:val="21"/>
                      <w:szCs w:val="21"/>
                      <w:vertAlign w:val="superscript"/>
                    </w:rPr>
                    <w:t>2</w:t>
                  </w:r>
                  <w:r>
                    <w:rPr>
                      <w:rFonts w:hint="eastAsia" w:ascii="Times New Roman" w:hAnsi="Times New Roman" w:cs="Times New Roman"/>
                      <w:color w:val="auto"/>
                      <w:sz w:val="21"/>
                      <w:szCs w:val="21"/>
                      <w:vertAlign w:val="baseline"/>
                      <w:lang w:eastAsia="zh-CN"/>
                    </w:rPr>
                    <w:t>）</w:t>
                  </w:r>
                </w:p>
              </w:tc>
              <w:tc>
                <w:tcPr>
                  <w:tcW w:w="1347" w:type="dxa"/>
                  <w:tcBorders>
                    <w:tl2br w:val="nil"/>
                    <w:tr2bl w:val="nil"/>
                  </w:tcBorders>
                  <w:noWrap w:val="0"/>
                  <w:vAlign w:val="center"/>
                </w:tcPr>
                <w:p w14:paraId="7E50712B">
                  <w:pPr>
                    <w:adjustRightInd w:val="0"/>
                    <w:snapToGrid w:val="0"/>
                    <w:spacing w:line="240" w:lineRule="auto"/>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0.91</w:t>
                  </w:r>
                </w:p>
              </w:tc>
            </w:tr>
            <w:tr w14:paraId="3A304D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60" w:type="pct"/>
                  <w:vMerge w:val="continue"/>
                  <w:tcBorders>
                    <w:tl2br w:val="nil"/>
                    <w:tr2bl w:val="nil"/>
                  </w:tcBorders>
                  <w:noWrap w:val="0"/>
                  <w:vAlign w:val="center"/>
                </w:tcPr>
                <w:p w14:paraId="1F7F6001">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p>
              </w:tc>
              <w:tc>
                <w:tcPr>
                  <w:tcW w:w="563" w:type="pct"/>
                  <w:tcBorders>
                    <w:tl2br w:val="nil"/>
                    <w:tr2bl w:val="nil"/>
                  </w:tcBorders>
                  <w:noWrap w:val="0"/>
                  <w:vAlign w:val="center"/>
                </w:tcPr>
                <w:p w14:paraId="540B6B51">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危险废物</w:t>
                  </w:r>
                </w:p>
              </w:tc>
              <w:tc>
                <w:tcPr>
                  <w:tcW w:w="2980" w:type="pct"/>
                  <w:tcBorders>
                    <w:tl2br w:val="nil"/>
                    <w:tr2bl w:val="nil"/>
                  </w:tcBorders>
                  <w:noWrap w:val="0"/>
                  <w:vAlign w:val="center"/>
                </w:tcPr>
                <w:p w14:paraId="6ABF3BA1">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eastAsia" w:ascii="Times New Roman" w:hAnsi="Times New Roman" w:cs="Times New Roman"/>
                      <w:color w:val="auto"/>
                      <w:sz w:val="21"/>
                      <w:szCs w:val="21"/>
                      <w:lang w:eastAsia="zh-CN"/>
                    </w:rPr>
                    <w:t>危险废物贮存点</w:t>
                  </w:r>
                  <w:r>
                    <w:rPr>
                      <w:rFonts w:hint="default" w:ascii="Times New Roman" w:hAnsi="Times New Roman" w:eastAsia="宋体" w:cs="Times New Roman"/>
                      <w:color w:val="auto"/>
                      <w:sz w:val="21"/>
                      <w:szCs w:val="21"/>
                    </w:rPr>
                    <w:t>1座（</w:t>
                  </w:r>
                  <w:r>
                    <w:rPr>
                      <w:rFonts w:hint="eastAsia" w:ascii="Times New Roman" w:hAnsi="Times New Roman" w:cs="Times New Roman"/>
                      <w:color w:val="auto"/>
                      <w:sz w:val="21"/>
                      <w:szCs w:val="21"/>
                      <w:lang w:val="en-US" w:eastAsia="zh-CN"/>
                    </w:rPr>
                    <w:t>15</w:t>
                  </w:r>
                  <w:r>
                    <w:rPr>
                      <w:rFonts w:hint="default" w:ascii="Times New Roman" w:hAnsi="Times New Roman" w:eastAsia="宋体" w:cs="Times New Roman"/>
                      <w:color w:val="auto"/>
                      <w:sz w:val="21"/>
                      <w:szCs w:val="21"/>
                    </w:rPr>
                    <w:t>m</w:t>
                  </w:r>
                  <w:r>
                    <w:rPr>
                      <w:rFonts w:hint="default" w:ascii="Times New Roman" w:hAnsi="Times New Roman" w:eastAsia="宋体" w:cs="Times New Roman"/>
                      <w:color w:val="auto"/>
                      <w:sz w:val="21"/>
                      <w:szCs w:val="21"/>
                      <w:vertAlign w:val="superscript"/>
                    </w:rPr>
                    <w:t>2</w:t>
                  </w:r>
                  <w:r>
                    <w:rPr>
                      <w:rFonts w:hint="default" w:ascii="Times New Roman" w:hAnsi="Times New Roman" w:eastAsia="宋体" w:cs="Times New Roman"/>
                      <w:color w:val="auto"/>
                      <w:sz w:val="21"/>
                      <w:szCs w:val="21"/>
                    </w:rPr>
                    <w:t>）</w:t>
                  </w:r>
                </w:p>
              </w:tc>
              <w:tc>
                <w:tcPr>
                  <w:tcW w:w="1347" w:type="dxa"/>
                  <w:tcBorders>
                    <w:tl2br w:val="nil"/>
                    <w:tr2bl w:val="nil"/>
                  </w:tcBorders>
                  <w:noWrap w:val="0"/>
                  <w:vAlign w:val="center"/>
                </w:tcPr>
                <w:p w14:paraId="2E179DB9">
                  <w:pPr>
                    <w:adjustRightInd w:val="0"/>
                    <w:snapToGrid w:val="0"/>
                    <w:spacing w:line="240" w:lineRule="auto"/>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2.27</w:t>
                  </w:r>
                </w:p>
              </w:tc>
            </w:tr>
            <w:tr w14:paraId="109FAC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60" w:type="pct"/>
                  <w:vMerge w:val="continue"/>
                  <w:tcBorders>
                    <w:tl2br w:val="nil"/>
                    <w:tr2bl w:val="nil"/>
                  </w:tcBorders>
                  <w:noWrap w:val="0"/>
                  <w:vAlign w:val="center"/>
                </w:tcPr>
                <w:p w14:paraId="3C4EF0D0">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p>
              </w:tc>
              <w:tc>
                <w:tcPr>
                  <w:tcW w:w="563" w:type="pct"/>
                  <w:tcBorders>
                    <w:tl2br w:val="nil"/>
                    <w:tr2bl w:val="nil"/>
                  </w:tcBorders>
                  <w:noWrap w:val="0"/>
                  <w:vAlign w:val="center"/>
                </w:tcPr>
                <w:p w14:paraId="4118EC92">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生活垃圾</w:t>
                  </w:r>
                </w:p>
              </w:tc>
              <w:tc>
                <w:tcPr>
                  <w:tcW w:w="2980" w:type="pct"/>
                  <w:tcBorders>
                    <w:tl2br w:val="nil"/>
                    <w:tr2bl w:val="nil"/>
                  </w:tcBorders>
                  <w:noWrap w:val="0"/>
                  <w:vAlign w:val="center"/>
                </w:tcPr>
                <w:p w14:paraId="43AF75C3">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垃圾桶若干</w:t>
                  </w:r>
                </w:p>
              </w:tc>
              <w:tc>
                <w:tcPr>
                  <w:tcW w:w="1347" w:type="dxa"/>
                  <w:tcBorders>
                    <w:tl2br w:val="nil"/>
                    <w:tr2bl w:val="nil"/>
                  </w:tcBorders>
                  <w:noWrap w:val="0"/>
                  <w:vAlign w:val="center"/>
                </w:tcPr>
                <w:p w14:paraId="077F51BA">
                  <w:pPr>
                    <w:adjustRightInd w:val="0"/>
                    <w:snapToGrid w:val="0"/>
                    <w:spacing w:line="240" w:lineRule="auto"/>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0.45</w:t>
                  </w:r>
                </w:p>
              </w:tc>
            </w:tr>
            <w:tr w14:paraId="1D9F36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9" w:hRule="atLeast"/>
                <w:jc w:val="center"/>
              </w:trPr>
              <w:tc>
                <w:tcPr>
                  <w:tcW w:w="660" w:type="pct"/>
                  <w:tcBorders>
                    <w:tl2br w:val="nil"/>
                    <w:tr2bl w:val="nil"/>
                  </w:tcBorders>
                  <w:noWrap w:val="0"/>
                  <w:vAlign w:val="center"/>
                </w:tcPr>
                <w:p w14:paraId="37515AF2">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地下水、土壤</w:t>
                  </w:r>
                </w:p>
              </w:tc>
              <w:tc>
                <w:tcPr>
                  <w:tcW w:w="3544" w:type="pct"/>
                  <w:gridSpan w:val="2"/>
                  <w:tcBorders>
                    <w:tl2br w:val="nil"/>
                    <w:tr2bl w:val="nil"/>
                  </w:tcBorders>
                  <w:noWrap w:val="0"/>
                  <w:vAlign w:val="center"/>
                </w:tcPr>
                <w:p w14:paraId="79B69E5A">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源头控制，分区防渗</w:t>
                  </w:r>
                </w:p>
              </w:tc>
              <w:tc>
                <w:tcPr>
                  <w:tcW w:w="1347" w:type="dxa"/>
                  <w:tcBorders>
                    <w:tl2br w:val="nil"/>
                    <w:tr2bl w:val="nil"/>
                  </w:tcBorders>
                  <w:noWrap w:val="0"/>
                  <w:vAlign w:val="center"/>
                </w:tcPr>
                <w:p w14:paraId="26C973E9">
                  <w:pPr>
                    <w:adjustRightInd w:val="0"/>
                    <w:snapToGrid w:val="0"/>
                    <w:spacing w:line="240" w:lineRule="auto"/>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2.27</w:t>
                  </w:r>
                </w:p>
              </w:tc>
            </w:tr>
            <w:tr w14:paraId="50D334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9" w:hRule="atLeast"/>
                <w:jc w:val="center"/>
              </w:trPr>
              <w:tc>
                <w:tcPr>
                  <w:tcW w:w="660" w:type="pct"/>
                  <w:tcBorders>
                    <w:tl2br w:val="nil"/>
                    <w:tr2bl w:val="nil"/>
                  </w:tcBorders>
                  <w:noWrap w:val="0"/>
                  <w:vAlign w:val="center"/>
                </w:tcPr>
                <w:p w14:paraId="6DF55291">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21"/>
                      <w:szCs w:val="21"/>
                      <w:lang w:eastAsia="zh-CN"/>
                    </w:rPr>
                  </w:pPr>
                  <w:r>
                    <w:rPr>
                      <w:rFonts w:hint="eastAsia" w:ascii="Times New Roman" w:hAnsi="Times New Roman" w:cs="Times New Roman"/>
                      <w:color w:val="auto"/>
                      <w:sz w:val="21"/>
                      <w:szCs w:val="21"/>
                      <w:lang w:eastAsia="zh-CN"/>
                    </w:rPr>
                    <w:t>风险</w:t>
                  </w:r>
                </w:p>
              </w:tc>
              <w:tc>
                <w:tcPr>
                  <w:tcW w:w="3544" w:type="pct"/>
                  <w:gridSpan w:val="2"/>
                  <w:tcBorders>
                    <w:tl2br w:val="nil"/>
                    <w:tr2bl w:val="nil"/>
                  </w:tcBorders>
                  <w:noWrap w:val="0"/>
                  <w:vAlign w:val="center"/>
                </w:tcPr>
                <w:p w14:paraId="249F2E46">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color w:val="auto"/>
                      <w:sz w:val="21"/>
                      <w:szCs w:val="21"/>
                    </w:rPr>
                    <w:t>配备应急物资</w:t>
                  </w:r>
                </w:p>
              </w:tc>
              <w:tc>
                <w:tcPr>
                  <w:tcW w:w="1347" w:type="dxa"/>
                  <w:tcBorders>
                    <w:tl2br w:val="nil"/>
                    <w:tr2bl w:val="nil"/>
                  </w:tcBorders>
                  <w:noWrap w:val="0"/>
                  <w:vAlign w:val="center"/>
                </w:tcPr>
                <w:p w14:paraId="0FF21684">
                  <w:pPr>
                    <w:adjustRightInd w:val="0"/>
                    <w:snapToGrid w:val="0"/>
                    <w:spacing w:line="240" w:lineRule="auto"/>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0.68</w:t>
                  </w:r>
                </w:p>
              </w:tc>
            </w:tr>
            <w:tr w14:paraId="5D8831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11" w:hRule="atLeast"/>
                <w:jc w:val="center"/>
              </w:trPr>
              <w:tc>
                <w:tcPr>
                  <w:tcW w:w="4204" w:type="pct"/>
                  <w:gridSpan w:val="3"/>
                  <w:tcBorders>
                    <w:tl2br w:val="nil"/>
                    <w:tr2bl w:val="nil"/>
                  </w:tcBorders>
                  <w:noWrap w:val="0"/>
                  <w:vAlign w:val="center"/>
                </w:tcPr>
                <w:p w14:paraId="44123ED9">
                  <w:pPr>
                    <w:pStyle w:val="7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合计</w:t>
                  </w:r>
                </w:p>
              </w:tc>
              <w:tc>
                <w:tcPr>
                  <w:tcW w:w="1347" w:type="dxa"/>
                  <w:tcBorders>
                    <w:tl2br w:val="nil"/>
                    <w:tr2bl w:val="nil"/>
                  </w:tcBorders>
                  <w:noWrap w:val="0"/>
                  <w:vAlign w:val="center"/>
                </w:tcPr>
                <w:p w14:paraId="0537424B">
                  <w:pPr>
                    <w:adjustRightInd w:val="0"/>
                    <w:snapToGrid w:val="0"/>
                    <w:spacing w:line="240" w:lineRule="auto"/>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18.40</w:t>
                  </w:r>
                </w:p>
              </w:tc>
            </w:tr>
            <w:tr w14:paraId="6DCF39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11" w:hRule="atLeast"/>
                <w:jc w:val="center"/>
              </w:trPr>
              <w:tc>
                <w:tcPr>
                  <w:tcW w:w="4204" w:type="pct"/>
                  <w:gridSpan w:val="3"/>
                  <w:tcBorders>
                    <w:tl2br w:val="nil"/>
                    <w:tr2bl w:val="nil"/>
                  </w:tcBorders>
                  <w:noWrap w:val="0"/>
                  <w:vAlign w:val="center"/>
                </w:tcPr>
                <w:p w14:paraId="4959CFAF">
                  <w:pPr>
                    <w:adjustRightInd w:val="0"/>
                    <w:snapToGrid w:val="0"/>
                    <w:spacing w:line="240" w:lineRule="auto"/>
                    <w:jc w:val="center"/>
                    <w:rPr>
                      <w:rFonts w:hint="default" w:ascii="Times New Roman" w:hAnsi="Times New Roman" w:eastAsia="宋体" w:cs="Times New Roman"/>
                      <w:color w:val="auto"/>
                      <w:sz w:val="21"/>
                      <w:szCs w:val="21"/>
                    </w:rPr>
                  </w:pPr>
                  <w:r>
                    <w:rPr>
                      <w:color w:val="auto"/>
                      <w:szCs w:val="21"/>
                      <w:highlight w:val="none"/>
                    </w:rPr>
                    <w:t>总投资</w:t>
                  </w:r>
                </w:p>
              </w:tc>
              <w:tc>
                <w:tcPr>
                  <w:tcW w:w="795" w:type="pct"/>
                  <w:tcBorders>
                    <w:tl2br w:val="nil"/>
                    <w:tr2bl w:val="nil"/>
                  </w:tcBorders>
                  <w:noWrap w:val="0"/>
                  <w:vAlign w:val="center"/>
                </w:tcPr>
                <w:p w14:paraId="00169DA3">
                  <w:pPr>
                    <w:adjustRightInd w:val="0"/>
                    <w:snapToGrid w:val="0"/>
                    <w:spacing w:line="240" w:lineRule="auto"/>
                    <w:jc w:val="center"/>
                    <w:rPr>
                      <w:rFonts w:hint="default" w:ascii="Times New Roman" w:hAnsi="Times New Roman" w:eastAsia="宋体" w:cs="Times New Roman"/>
                      <w:color w:val="auto"/>
                      <w:sz w:val="21"/>
                      <w:szCs w:val="21"/>
                      <w:lang w:val="en-US" w:eastAsia="zh-CN"/>
                    </w:rPr>
                  </w:pPr>
                  <w:r>
                    <w:rPr>
                      <w:rFonts w:hint="eastAsia"/>
                      <w:color w:val="auto"/>
                      <w:szCs w:val="21"/>
                      <w:highlight w:val="none"/>
                      <w:lang w:val="en-US" w:eastAsia="zh-CN"/>
                    </w:rPr>
                    <w:t>50</w:t>
                  </w:r>
                </w:p>
              </w:tc>
            </w:tr>
            <w:tr w14:paraId="7ADFE7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11" w:hRule="atLeast"/>
                <w:jc w:val="center"/>
              </w:trPr>
              <w:tc>
                <w:tcPr>
                  <w:tcW w:w="4204" w:type="pct"/>
                  <w:gridSpan w:val="3"/>
                  <w:tcBorders>
                    <w:tl2br w:val="nil"/>
                    <w:tr2bl w:val="nil"/>
                  </w:tcBorders>
                  <w:noWrap w:val="0"/>
                  <w:vAlign w:val="center"/>
                </w:tcPr>
                <w:p w14:paraId="07C82EF1">
                  <w:pPr>
                    <w:adjustRightInd w:val="0"/>
                    <w:snapToGrid w:val="0"/>
                    <w:spacing w:line="240" w:lineRule="auto"/>
                    <w:jc w:val="center"/>
                    <w:rPr>
                      <w:rFonts w:hint="default" w:ascii="Times New Roman" w:hAnsi="Times New Roman" w:eastAsia="宋体" w:cs="Times New Roman"/>
                      <w:color w:val="auto"/>
                      <w:sz w:val="21"/>
                      <w:szCs w:val="21"/>
                    </w:rPr>
                  </w:pPr>
                  <w:r>
                    <w:rPr>
                      <w:snapToGrid w:val="0"/>
                      <w:color w:val="auto"/>
                      <w:kern w:val="0"/>
                      <w:szCs w:val="21"/>
                      <w:highlight w:val="none"/>
                    </w:rPr>
                    <w:t>环保投资占</w:t>
                  </w:r>
                  <w:r>
                    <w:rPr>
                      <w:color w:val="auto"/>
                      <w:szCs w:val="21"/>
                      <w:highlight w:val="none"/>
                    </w:rPr>
                    <w:t>总投资的比例（%）</w:t>
                  </w:r>
                </w:p>
              </w:tc>
              <w:tc>
                <w:tcPr>
                  <w:tcW w:w="795" w:type="pct"/>
                  <w:tcBorders>
                    <w:tl2br w:val="nil"/>
                    <w:tr2bl w:val="nil"/>
                  </w:tcBorders>
                  <w:noWrap w:val="0"/>
                  <w:vAlign w:val="center"/>
                </w:tcPr>
                <w:p w14:paraId="39B102AD">
                  <w:pPr>
                    <w:adjustRightInd w:val="0"/>
                    <w:snapToGrid w:val="0"/>
                    <w:spacing w:line="240" w:lineRule="auto"/>
                    <w:jc w:val="center"/>
                    <w:rPr>
                      <w:rFonts w:hint="eastAsia" w:ascii="Times New Roman" w:hAnsi="Times New Roman" w:eastAsia="宋体" w:cs="Times New Roman"/>
                      <w:color w:val="auto"/>
                      <w:sz w:val="21"/>
                      <w:szCs w:val="21"/>
                      <w:lang w:val="en-US" w:eastAsia="zh-CN"/>
                    </w:rPr>
                  </w:pPr>
                  <w:r>
                    <w:rPr>
                      <w:rFonts w:hint="eastAsia"/>
                      <w:color w:val="auto"/>
                      <w:szCs w:val="21"/>
                      <w:highlight w:val="none"/>
                      <w:lang w:val="en-US" w:eastAsia="zh-CN"/>
                    </w:rPr>
                    <w:t>36.8</w:t>
                  </w:r>
                  <w:r>
                    <w:rPr>
                      <w:color w:val="auto"/>
                      <w:szCs w:val="21"/>
                      <w:highlight w:val="none"/>
                    </w:rPr>
                    <w:t>%</w:t>
                  </w:r>
                </w:p>
              </w:tc>
            </w:tr>
          </w:tbl>
          <w:p w14:paraId="192EB39E">
            <w:pPr>
              <w:pStyle w:val="42"/>
              <w:rPr>
                <w:rFonts w:ascii="Times New Roman" w:hAnsi="Times New Roman" w:cs="Times New Roman"/>
                <w:color w:val="auto"/>
                <w:highlight w:val="none"/>
              </w:rPr>
            </w:pPr>
          </w:p>
        </w:tc>
      </w:tr>
    </w:tbl>
    <w:p w14:paraId="6AE1CBD3">
      <w:pPr>
        <w:adjustRightInd w:val="0"/>
        <w:snapToGrid w:val="0"/>
        <w:rPr>
          <w:b/>
          <w:color w:val="auto"/>
          <w:kern w:val="0"/>
          <w:sz w:val="28"/>
          <w:szCs w:val="28"/>
          <w:highlight w:val="none"/>
        </w:rPr>
        <w:sectPr>
          <w:pgSz w:w="11907" w:h="16840"/>
          <w:pgMar w:top="1701" w:right="1531" w:bottom="1701" w:left="1531" w:header="851" w:footer="1077" w:gutter="0"/>
          <w:pgNumType w:fmt="decimal"/>
          <w:cols w:space="720" w:num="1"/>
          <w:docGrid w:linePitch="312" w:charSpace="0"/>
        </w:sectPr>
      </w:pPr>
    </w:p>
    <w:p w14:paraId="4365DF07">
      <w:pPr>
        <w:pStyle w:val="21"/>
        <w:jc w:val="center"/>
        <w:outlineLvl w:val="0"/>
        <w:rPr>
          <w:rFonts w:ascii="Times New Roman" w:hAnsi="Times New Roman" w:eastAsia="黑体"/>
          <w:snapToGrid w:val="0"/>
          <w:color w:val="auto"/>
          <w:sz w:val="30"/>
          <w:szCs w:val="30"/>
          <w:highlight w:val="none"/>
        </w:rPr>
      </w:pPr>
      <w:r>
        <w:rPr>
          <w:rFonts w:ascii="Times New Roman" w:hAnsi="Times New Roman" w:eastAsia="黑体"/>
          <w:snapToGrid w:val="0"/>
          <w:color w:val="auto"/>
          <w:sz w:val="30"/>
          <w:szCs w:val="30"/>
          <w:highlight w:val="none"/>
        </w:rPr>
        <w:t>五、</w:t>
      </w:r>
      <w:bookmarkStart w:id="3" w:name="_Hlk54167917"/>
      <w:r>
        <w:rPr>
          <w:rFonts w:ascii="Times New Roman" w:hAnsi="Times New Roman" w:eastAsia="黑体"/>
          <w:snapToGrid w:val="0"/>
          <w:color w:val="auto"/>
          <w:sz w:val="30"/>
          <w:szCs w:val="30"/>
          <w:highlight w:val="none"/>
        </w:rPr>
        <w:t>环境保护措施监督检查清单</w:t>
      </w:r>
      <w:bookmarkEnd w:id="3"/>
    </w:p>
    <w:tbl>
      <w:tblPr>
        <w:tblStyle w:val="25"/>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778"/>
        <w:gridCol w:w="763"/>
        <w:gridCol w:w="1226"/>
        <w:gridCol w:w="1311"/>
        <w:gridCol w:w="1860"/>
        <w:gridCol w:w="1862"/>
      </w:tblGrid>
      <w:tr w14:paraId="55C8DBD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tcBorders>
              <w:tl2br w:val="single" w:color="auto" w:sz="4" w:space="0"/>
            </w:tcBorders>
            <w:noWrap w:val="0"/>
            <w:vAlign w:val="top"/>
          </w:tcPr>
          <w:p w14:paraId="106AE28D">
            <w:pPr>
              <w:adjustRightInd w:val="0"/>
              <w:snapToGrid w:val="0"/>
              <w:ind w:firstLine="840"/>
              <w:rPr>
                <w:color w:val="auto"/>
                <w:szCs w:val="21"/>
                <w:highlight w:val="none"/>
              </w:rPr>
            </w:pPr>
            <w:r>
              <w:rPr>
                <w:color w:val="auto"/>
                <w:szCs w:val="21"/>
                <w:highlight w:val="none"/>
              </w:rPr>
              <w:t>内容</w:t>
            </w:r>
          </w:p>
          <w:p w14:paraId="1722AEEB">
            <w:pPr>
              <w:adjustRightInd w:val="0"/>
              <w:snapToGrid w:val="0"/>
              <w:rPr>
                <w:color w:val="auto"/>
                <w:szCs w:val="21"/>
                <w:highlight w:val="none"/>
              </w:rPr>
            </w:pPr>
            <w:r>
              <w:rPr>
                <w:color w:val="auto"/>
                <w:szCs w:val="21"/>
                <w:highlight w:val="none"/>
              </w:rPr>
              <w:t>要素</w:t>
            </w:r>
          </w:p>
        </w:tc>
        <w:tc>
          <w:tcPr>
            <w:tcW w:w="1989" w:type="dxa"/>
            <w:gridSpan w:val="2"/>
            <w:noWrap w:val="0"/>
            <w:vAlign w:val="center"/>
          </w:tcPr>
          <w:p w14:paraId="7CA7088B">
            <w:pPr>
              <w:adjustRightInd w:val="0"/>
              <w:snapToGrid w:val="0"/>
              <w:spacing w:line="240" w:lineRule="auto"/>
              <w:jc w:val="center"/>
              <w:rPr>
                <w:color w:val="auto"/>
                <w:szCs w:val="21"/>
                <w:highlight w:val="none"/>
              </w:rPr>
            </w:pPr>
            <w:r>
              <w:rPr>
                <w:color w:val="auto"/>
                <w:szCs w:val="21"/>
                <w:highlight w:val="none"/>
              </w:rPr>
              <w:t>排放口</w:t>
            </w:r>
            <w:r>
              <w:rPr>
                <w:rFonts w:hint="eastAsia"/>
                <w:color w:val="auto"/>
                <w:szCs w:val="21"/>
                <w:highlight w:val="none"/>
              </w:rPr>
              <w:t>（</w:t>
            </w:r>
            <w:r>
              <w:rPr>
                <w:color w:val="auto"/>
                <w:szCs w:val="21"/>
                <w:highlight w:val="none"/>
              </w:rPr>
              <w:t>编号、</w:t>
            </w:r>
          </w:p>
          <w:p w14:paraId="51922DDC">
            <w:pPr>
              <w:adjustRightInd w:val="0"/>
              <w:snapToGrid w:val="0"/>
              <w:spacing w:line="240" w:lineRule="auto"/>
              <w:jc w:val="center"/>
              <w:rPr>
                <w:color w:val="auto"/>
                <w:szCs w:val="21"/>
                <w:highlight w:val="none"/>
              </w:rPr>
            </w:pPr>
            <w:r>
              <w:rPr>
                <w:color w:val="auto"/>
                <w:szCs w:val="21"/>
                <w:highlight w:val="none"/>
              </w:rPr>
              <w:t>名称</w:t>
            </w:r>
            <w:r>
              <w:rPr>
                <w:rFonts w:hint="eastAsia"/>
                <w:color w:val="auto"/>
                <w:szCs w:val="21"/>
                <w:highlight w:val="none"/>
              </w:rPr>
              <w:t>）</w:t>
            </w:r>
            <w:r>
              <w:rPr>
                <w:color w:val="auto"/>
                <w:szCs w:val="21"/>
                <w:highlight w:val="none"/>
              </w:rPr>
              <w:t>/污染源</w:t>
            </w:r>
          </w:p>
        </w:tc>
        <w:tc>
          <w:tcPr>
            <w:tcW w:w="1311" w:type="dxa"/>
            <w:noWrap w:val="0"/>
            <w:vAlign w:val="center"/>
          </w:tcPr>
          <w:p w14:paraId="23864BE7">
            <w:pPr>
              <w:adjustRightInd w:val="0"/>
              <w:snapToGrid w:val="0"/>
              <w:spacing w:line="240" w:lineRule="auto"/>
              <w:jc w:val="center"/>
              <w:rPr>
                <w:color w:val="auto"/>
                <w:szCs w:val="21"/>
                <w:highlight w:val="none"/>
              </w:rPr>
            </w:pPr>
            <w:r>
              <w:rPr>
                <w:color w:val="auto"/>
                <w:szCs w:val="21"/>
                <w:highlight w:val="none"/>
              </w:rPr>
              <w:t>污染物项目</w:t>
            </w:r>
          </w:p>
        </w:tc>
        <w:tc>
          <w:tcPr>
            <w:tcW w:w="1860" w:type="dxa"/>
            <w:noWrap w:val="0"/>
            <w:vAlign w:val="center"/>
          </w:tcPr>
          <w:p w14:paraId="14E7E050">
            <w:pPr>
              <w:adjustRightInd w:val="0"/>
              <w:snapToGrid w:val="0"/>
              <w:spacing w:line="240" w:lineRule="auto"/>
              <w:jc w:val="center"/>
              <w:rPr>
                <w:color w:val="auto"/>
                <w:szCs w:val="21"/>
                <w:highlight w:val="none"/>
              </w:rPr>
            </w:pPr>
            <w:r>
              <w:rPr>
                <w:color w:val="auto"/>
                <w:szCs w:val="21"/>
                <w:highlight w:val="none"/>
              </w:rPr>
              <w:t>环境保护措施</w:t>
            </w:r>
          </w:p>
        </w:tc>
        <w:tc>
          <w:tcPr>
            <w:tcW w:w="1862" w:type="dxa"/>
            <w:noWrap w:val="0"/>
            <w:vAlign w:val="center"/>
          </w:tcPr>
          <w:p w14:paraId="67DA003B">
            <w:pPr>
              <w:adjustRightInd w:val="0"/>
              <w:snapToGrid w:val="0"/>
              <w:spacing w:line="240" w:lineRule="auto"/>
              <w:jc w:val="center"/>
              <w:rPr>
                <w:color w:val="auto"/>
                <w:szCs w:val="21"/>
                <w:highlight w:val="none"/>
              </w:rPr>
            </w:pPr>
            <w:r>
              <w:rPr>
                <w:color w:val="auto"/>
                <w:szCs w:val="21"/>
                <w:highlight w:val="none"/>
              </w:rPr>
              <w:t>执行标准</w:t>
            </w:r>
          </w:p>
        </w:tc>
      </w:tr>
      <w:tr w14:paraId="7B80766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39" w:hRule="atLeast"/>
          <w:jc w:val="center"/>
        </w:trPr>
        <w:tc>
          <w:tcPr>
            <w:tcW w:w="1778" w:type="dxa"/>
            <w:vMerge w:val="restart"/>
            <w:noWrap w:val="0"/>
            <w:vAlign w:val="center"/>
          </w:tcPr>
          <w:p w14:paraId="2610AC07">
            <w:pPr>
              <w:adjustRightInd w:val="0"/>
              <w:snapToGrid w:val="0"/>
              <w:spacing w:line="240" w:lineRule="auto"/>
              <w:jc w:val="center"/>
              <w:rPr>
                <w:color w:val="auto"/>
                <w:szCs w:val="21"/>
                <w:highlight w:val="none"/>
              </w:rPr>
            </w:pPr>
            <w:r>
              <w:rPr>
                <w:color w:val="auto"/>
                <w:szCs w:val="21"/>
                <w:highlight w:val="none"/>
              </w:rPr>
              <w:t>大气环境</w:t>
            </w:r>
          </w:p>
        </w:tc>
        <w:tc>
          <w:tcPr>
            <w:tcW w:w="763" w:type="dxa"/>
            <w:vMerge w:val="restart"/>
            <w:noWrap w:val="0"/>
            <w:vAlign w:val="center"/>
          </w:tcPr>
          <w:p w14:paraId="52DA81C2">
            <w:pPr>
              <w:pStyle w:val="75"/>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eastAsia="宋体"/>
                <w:color w:val="auto"/>
                <w:sz w:val="21"/>
                <w:szCs w:val="21"/>
                <w:highlight w:val="none"/>
                <w:lang w:eastAsia="zh-CN"/>
              </w:rPr>
            </w:pPr>
            <w:r>
              <w:rPr>
                <w:rFonts w:hint="eastAsia"/>
                <w:color w:val="auto"/>
                <w:sz w:val="21"/>
                <w:szCs w:val="21"/>
                <w:highlight w:val="none"/>
                <w:lang w:eastAsia="zh-CN"/>
              </w:rPr>
              <w:t>有组织</w:t>
            </w:r>
          </w:p>
        </w:tc>
        <w:tc>
          <w:tcPr>
            <w:tcW w:w="1226" w:type="dxa"/>
            <w:noWrap w:val="0"/>
            <w:vAlign w:val="center"/>
          </w:tcPr>
          <w:p w14:paraId="20738B2D">
            <w:pPr>
              <w:pStyle w:val="75"/>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木加工</w:t>
            </w:r>
            <w:r>
              <w:rPr>
                <w:rFonts w:hint="default" w:ascii="Times New Roman" w:hAnsi="Times New Roman" w:eastAsia="宋体" w:cs="Times New Roman"/>
                <w:color w:val="auto"/>
                <w:sz w:val="21"/>
                <w:szCs w:val="21"/>
              </w:rPr>
              <w:t>废气</w:t>
            </w:r>
            <w:r>
              <w:rPr>
                <w:rFonts w:hint="eastAsia" w:ascii="Times New Roman" w:hAnsi="Times New Roman" w:cs="Times New Roman"/>
                <w:color w:val="auto"/>
                <w:sz w:val="21"/>
                <w:szCs w:val="21"/>
                <w:lang w:eastAsia="zh-CN"/>
              </w:rPr>
              <w:t>（</w:t>
            </w:r>
            <w:r>
              <w:rPr>
                <w:rFonts w:hint="default" w:ascii="Times New Roman" w:hAnsi="Times New Roman" w:eastAsia="宋体" w:cs="Times New Roman"/>
                <w:color w:val="auto"/>
                <w:sz w:val="21"/>
                <w:szCs w:val="21"/>
              </w:rPr>
              <w:t>下料、刨光、</w:t>
            </w:r>
            <w:r>
              <w:rPr>
                <w:rFonts w:hint="eastAsia" w:ascii="Times New Roman" w:hAnsi="Times New Roman" w:eastAsia="宋体" w:cs="Times New Roman"/>
                <w:color w:val="auto"/>
                <w:sz w:val="21"/>
                <w:szCs w:val="21"/>
                <w:lang w:eastAsia="zh-CN"/>
              </w:rPr>
              <w:t>梳齿指接</w:t>
            </w:r>
            <w:r>
              <w:rPr>
                <w:rFonts w:hint="eastAsia" w:ascii="Times New Roman" w:hAnsi="Times New Roman" w:cs="Times New Roman"/>
                <w:color w:val="auto"/>
                <w:sz w:val="21"/>
                <w:szCs w:val="21"/>
                <w:lang w:eastAsia="zh-CN"/>
              </w:rPr>
              <w:t>）</w:t>
            </w:r>
          </w:p>
        </w:tc>
        <w:tc>
          <w:tcPr>
            <w:tcW w:w="1311" w:type="dxa"/>
            <w:noWrap w:val="0"/>
            <w:vAlign w:val="center"/>
          </w:tcPr>
          <w:p w14:paraId="42D9E604">
            <w:pPr>
              <w:pStyle w:val="75"/>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color w:val="auto"/>
                <w:szCs w:val="21"/>
                <w:highlight w:val="none"/>
              </w:rPr>
            </w:pPr>
            <w:r>
              <w:rPr>
                <w:rFonts w:hint="default" w:ascii="Times New Roman" w:hAnsi="Times New Roman" w:eastAsia="宋体" w:cs="Times New Roman"/>
                <w:color w:val="auto"/>
                <w:sz w:val="21"/>
                <w:szCs w:val="21"/>
              </w:rPr>
              <w:t>颗粒物</w:t>
            </w:r>
          </w:p>
        </w:tc>
        <w:tc>
          <w:tcPr>
            <w:tcW w:w="1860" w:type="dxa"/>
            <w:noWrap w:val="0"/>
            <w:vAlign w:val="center"/>
          </w:tcPr>
          <w:p w14:paraId="201302E9">
            <w:pPr>
              <w:pStyle w:val="75"/>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color w:val="auto"/>
                <w:szCs w:val="21"/>
                <w:highlight w:val="none"/>
              </w:rPr>
            </w:pPr>
            <w:r>
              <w:rPr>
                <w:rFonts w:hint="eastAsia" w:ascii="Times New Roman" w:hAnsi="Times New Roman" w:cs="Times New Roman"/>
                <w:color w:val="auto"/>
                <w:sz w:val="21"/>
                <w:szCs w:val="21"/>
                <w:lang w:eastAsia="zh-CN"/>
              </w:rPr>
              <w:t>集气罩</w:t>
            </w:r>
            <w:r>
              <w:rPr>
                <w:rFonts w:hint="eastAsia" w:ascii="宋体" w:hAnsi="宋体" w:eastAsia="宋体" w:cs="宋体"/>
                <w:color w:val="auto"/>
                <w:sz w:val="21"/>
                <w:szCs w:val="21"/>
                <w:highlight w:val="none"/>
                <w:lang w:eastAsia="zh-CN"/>
              </w:rPr>
              <w:t>收集</w:t>
            </w:r>
            <w:r>
              <w:rPr>
                <w:rFonts w:hint="eastAsia" w:ascii="Times New Roman" w:hAnsi="Times New Roman" w:eastAsia="宋体"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eastAsia="zh-CN"/>
              </w:rPr>
              <w:t>布袋除尘器</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eastAsia="zh-CN"/>
              </w:rPr>
              <w:t>15m排气筒</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eastAsia="zh-CN"/>
              </w:rPr>
              <w:t>DA00</w:t>
            </w:r>
            <w:r>
              <w:rPr>
                <w:rFonts w:hint="eastAsia" w:ascii="Times New Roman" w:hAnsi="Times New Roman" w:eastAsia="宋体" w:cs="Times New Roman"/>
                <w:color w:val="auto"/>
                <w:sz w:val="21"/>
                <w:szCs w:val="21"/>
                <w:highlight w:val="none"/>
                <w:lang w:val="en-US" w:eastAsia="zh-CN"/>
              </w:rPr>
              <w:t>1</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eastAsia="zh-CN"/>
              </w:rPr>
              <w:t>排放</w:t>
            </w:r>
          </w:p>
        </w:tc>
        <w:tc>
          <w:tcPr>
            <w:tcW w:w="1862" w:type="dxa"/>
            <w:vMerge w:val="restart"/>
            <w:noWrap w:val="0"/>
            <w:vAlign w:val="center"/>
          </w:tcPr>
          <w:p w14:paraId="1643A2CB">
            <w:pPr>
              <w:pStyle w:val="75"/>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color w:val="auto"/>
                <w:szCs w:val="21"/>
                <w:highlight w:val="none"/>
              </w:rPr>
            </w:pPr>
            <w:r>
              <w:rPr>
                <w:rFonts w:hint="default" w:ascii="Times New Roman" w:hAnsi="Times New Roman" w:eastAsia="宋体" w:cs="Times New Roman"/>
                <w:color w:val="auto"/>
                <w:sz w:val="21"/>
                <w:szCs w:val="21"/>
              </w:rPr>
              <w:t>《大气污染物综合排放标准》（GB16297-1996）</w:t>
            </w:r>
          </w:p>
        </w:tc>
      </w:tr>
      <w:tr w14:paraId="64422D5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39" w:hRule="atLeast"/>
          <w:jc w:val="center"/>
        </w:trPr>
        <w:tc>
          <w:tcPr>
            <w:tcW w:w="1778" w:type="dxa"/>
            <w:vMerge w:val="continue"/>
            <w:noWrap w:val="0"/>
            <w:vAlign w:val="center"/>
          </w:tcPr>
          <w:p w14:paraId="27C6B483">
            <w:pPr>
              <w:adjustRightInd w:val="0"/>
              <w:snapToGrid w:val="0"/>
              <w:spacing w:line="240" w:lineRule="auto"/>
              <w:jc w:val="center"/>
              <w:rPr>
                <w:color w:val="auto"/>
                <w:szCs w:val="21"/>
                <w:highlight w:val="none"/>
              </w:rPr>
            </w:pPr>
          </w:p>
        </w:tc>
        <w:tc>
          <w:tcPr>
            <w:tcW w:w="763" w:type="dxa"/>
            <w:vMerge w:val="continue"/>
            <w:noWrap w:val="0"/>
            <w:vAlign w:val="center"/>
          </w:tcPr>
          <w:p w14:paraId="5E21FEFF">
            <w:pPr>
              <w:pStyle w:val="75"/>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color w:val="auto"/>
                <w:szCs w:val="21"/>
                <w:highlight w:val="none"/>
              </w:rPr>
            </w:pPr>
          </w:p>
        </w:tc>
        <w:tc>
          <w:tcPr>
            <w:tcW w:w="1226" w:type="dxa"/>
            <w:noWrap w:val="0"/>
            <w:vAlign w:val="center"/>
          </w:tcPr>
          <w:p w14:paraId="0DFC0281">
            <w:pPr>
              <w:pStyle w:val="75"/>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砂光</w:t>
            </w:r>
            <w:r>
              <w:rPr>
                <w:rFonts w:hint="default" w:ascii="Times New Roman" w:hAnsi="Times New Roman" w:eastAsia="宋体" w:cs="Times New Roman"/>
                <w:color w:val="auto"/>
                <w:sz w:val="21"/>
                <w:szCs w:val="21"/>
              </w:rPr>
              <w:t>废气</w:t>
            </w:r>
          </w:p>
        </w:tc>
        <w:tc>
          <w:tcPr>
            <w:tcW w:w="1311" w:type="dxa"/>
            <w:noWrap w:val="0"/>
            <w:vAlign w:val="center"/>
          </w:tcPr>
          <w:p w14:paraId="2BE71C67">
            <w:pPr>
              <w:pStyle w:val="75"/>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color w:val="auto"/>
                <w:szCs w:val="21"/>
                <w:highlight w:val="none"/>
              </w:rPr>
            </w:pPr>
            <w:r>
              <w:rPr>
                <w:rFonts w:hint="default" w:ascii="Times New Roman" w:hAnsi="Times New Roman" w:eastAsia="宋体" w:cs="Times New Roman"/>
                <w:color w:val="auto"/>
                <w:sz w:val="21"/>
                <w:szCs w:val="21"/>
              </w:rPr>
              <w:t>颗粒物</w:t>
            </w:r>
          </w:p>
        </w:tc>
        <w:tc>
          <w:tcPr>
            <w:tcW w:w="1860" w:type="dxa"/>
            <w:noWrap w:val="0"/>
            <w:vAlign w:val="center"/>
          </w:tcPr>
          <w:p w14:paraId="2777C221">
            <w:pPr>
              <w:pStyle w:val="75"/>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color w:val="auto"/>
                <w:szCs w:val="21"/>
                <w:highlight w:val="none"/>
              </w:rPr>
            </w:pPr>
            <w:r>
              <w:rPr>
                <w:rFonts w:hint="eastAsia" w:ascii="Times New Roman" w:hAnsi="Times New Roman" w:cs="Times New Roman"/>
                <w:color w:val="auto"/>
                <w:sz w:val="21"/>
                <w:szCs w:val="21"/>
                <w:lang w:eastAsia="zh-CN"/>
              </w:rPr>
              <w:t>集气罩</w:t>
            </w:r>
            <w:r>
              <w:rPr>
                <w:rFonts w:hint="eastAsia" w:ascii="宋体" w:hAnsi="宋体" w:eastAsia="宋体" w:cs="宋体"/>
                <w:color w:val="auto"/>
                <w:sz w:val="21"/>
                <w:szCs w:val="21"/>
                <w:highlight w:val="none"/>
                <w:lang w:eastAsia="zh-CN"/>
              </w:rPr>
              <w:t>收集</w:t>
            </w:r>
            <w:r>
              <w:rPr>
                <w:rFonts w:hint="eastAsia" w:ascii="Times New Roman" w:hAnsi="Times New Roman" w:eastAsia="宋体"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eastAsia="zh-CN"/>
              </w:rPr>
              <w:t>布袋除尘器</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eastAsia="zh-CN"/>
              </w:rPr>
              <w:t>15m排气筒</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eastAsia="zh-CN"/>
              </w:rPr>
              <w:t>DA00</w:t>
            </w:r>
            <w:r>
              <w:rPr>
                <w:rFonts w:hint="eastAsia" w:ascii="Times New Roman" w:hAnsi="Times New Roman" w:eastAsia="宋体" w:cs="Times New Roman"/>
                <w:color w:val="auto"/>
                <w:sz w:val="21"/>
                <w:szCs w:val="21"/>
                <w:highlight w:val="none"/>
                <w:lang w:val="en-US" w:eastAsia="zh-CN"/>
              </w:rPr>
              <w:t>2</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eastAsia="zh-CN"/>
              </w:rPr>
              <w:t>排放</w:t>
            </w:r>
          </w:p>
        </w:tc>
        <w:tc>
          <w:tcPr>
            <w:tcW w:w="1862" w:type="dxa"/>
            <w:vMerge w:val="continue"/>
            <w:noWrap w:val="0"/>
            <w:vAlign w:val="center"/>
          </w:tcPr>
          <w:p w14:paraId="62AE3D86">
            <w:pPr>
              <w:spacing w:line="240" w:lineRule="auto"/>
              <w:jc w:val="center"/>
              <w:rPr>
                <w:color w:val="auto"/>
                <w:szCs w:val="21"/>
                <w:highlight w:val="none"/>
              </w:rPr>
            </w:pPr>
          </w:p>
        </w:tc>
      </w:tr>
      <w:tr w14:paraId="6FF9254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39" w:hRule="atLeast"/>
          <w:jc w:val="center"/>
        </w:trPr>
        <w:tc>
          <w:tcPr>
            <w:tcW w:w="1778" w:type="dxa"/>
            <w:vMerge w:val="continue"/>
            <w:noWrap w:val="0"/>
            <w:vAlign w:val="center"/>
          </w:tcPr>
          <w:p w14:paraId="2DE6C54A">
            <w:pPr>
              <w:adjustRightInd w:val="0"/>
              <w:snapToGrid w:val="0"/>
              <w:spacing w:line="240" w:lineRule="auto"/>
              <w:jc w:val="center"/>
              <w:rPr>
                <w:color w:val="auto"/>
                <w:szCs w:val="21"/>
                <w:highlight w:val="none"/>
              </w:rPr>
            </w:pPr>
          </w:p>
        </w:tc>
        <w:tc>
          <w:tcPr>
            <w:tcW w:w="763" w:type="dxa"/>
            <w:vMerge w:val="continue"/>
            <w:noWrap w:val="0"/>
            <w:vAlign w:val="center"/>
          </w:tcPr>
          <w:p w14:paraId="4F1EDE7B">
            <w:pPr>
              <w:pStyle w:val="75"/>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color w:val="auto"/>
                <w:szCs w:val="21"/>
                <w:highlight w:val="none"/>
              </w:rPr>
            </w:pPr>
          </w:p>
        </w:tc>
        <w:tc>
          <w:tcPr>
            <w:tcW w:w="1226" w:type="dxa"/>
            <w:noWrap w:val="0"/>
            <w:vAlign w:val="center"/>
          </w:tcPr>
          <w:p w14:paraId="701E4C2F">
            <w:pPr>
              <w:pStyle w:val="75"/>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轻砂光、油砂砂光</w:t>
            </w:r>
            <w:r>
              <w:rPr>
                <w:rFonts w:hint="default" w:ascii="Times New Roman" w:hAnsi="Times New Roman" w:eastAsia="宋体" w:cs="Times New Roman"/>
                <w:color w:val="auto"/>
                <w:sz w:val="21"/>
                <w:szCs w:val="21"/>
              </w:rPr>
              <w:t>废气</w:t>
            </w:r>
          </w:p>
        </w:tc>
        <w:tc>
          <w:tcPr>
            <w:tcW w:w="1311" w:type="dxa"/>
            <w:noWrap w:val="0"/>
            <w:vAlign w:val="center"/>
          </w:tcPr>
          <w:p w14:paraId="65C326AC">
            <w:pPr>
              <w:pStyle w:val="75"/>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color w:val="auto"/>
                <w:szCs w:val="21"/>
                <w:highlight w:val="none"/>
              </w:rPr>
            </w:pPr>
            <w:r>
              <w:rPr>
                <w:rFonts w:hint="default" w:ascii="Times New Roman" w:hAnsi="Times New Roman" w:eastAsia="宋体" w:cs="Times New Roman"/>
                <w:color w:val="auto"/>
                <w:sz w:val="21"/>
                <w:szCs w:val="21"/>
              </w:rPr>
              <w:t>颗粒物</w:t>
            </w:r>
          </w:p>
        </w:tc>
        <w:tc>
          <w:tcPr>
            <w:tcW w:w="1860" w:type="dxa"/>
            <w:noWrap w:val="0"/>
            <w:vAlign w:val="center"/>
          </w:tcPr>
          <w:p w14:paraId="4B83645D">
            <w:pPr>
              <w:pStyle w:val="75"/>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color w:val="auto"/>
                <w:szCs w:val="21"/>
                <w:highlight w:val="none"/>
              </w:rPr>
            </w:pPr>
            <w:r>
              <w:rPr>
                <w:rFonts w:hint="eastAsia" w:ascii="Times New Roman" w:hAnsi="Times New Roman" w:cs="Times New Roman"/>
                <w:color w:val="auto"/>
                <w:sz w:val="21"/>
                <w:szCs w:val="21"/>
                <w:lang w:eastAsia="zh-CN"/>
              </w:rPr>
              <w:t>集气罩</w:t>
            </w:r>
            <w:r>
              <w:rPr>
                <w:rFonts w:hint="eastAsia" w:ascii="宋体" w:hAnsi="宋体" w:eastAsia="宋体" w:cs="宋体"/>
                <w:color w:val="auto"/>
                <w:sz w:val="21"/>
                <w:szCs w:val="21"/>
                <w:highlight w:val="none"/>
                <w:lang w:eastAsia="zh-CN"/>
              </w:rPr>
              <w:t>收集</w:t>
            </w:r>
            <w:r>
              <w:rPr>
                <w:rFonts w:hint="eastAsia" w:ascii="Times New Roman" w:hAnsi="Times New Roman" w:eastAsia="宋体"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eastAsia="zh-CN"/>
              </w:rPr>
              <w:t>布袋除尘器</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eastAsia="zh-CN"/>
              </w:rPr>
              <w:t>15m排气筒</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eastAsia="zh-CN"/>
              </w:rPr>
              <w:t>DA00</w:t>
            </w:r>
            <w:r>
              <w:rPr>
                <w:rFonts w:hint="eastAsia" w:ascii="Times New Roman" w:hAnsi="Times New Roman" w:eastAsia="宋体" w:cs="Times New Roman"/>
                <w:color w:val="auto"/>
                <w:sz w:val="21"/>
                <w:szCs w:val="21"/>
                <w:highlight w:val="none"/>
                <w:lang w:val="en-US" w:eastAsia="zh-CN"/>
              </w:rPr>
              <w:t>3</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eastAsia="zh-CN"/>
              </w:rPr>
              <w:t>排放</w:t>
            </w:r>
          </w:p>
        </w:tc>
        <w:tc>
          <w:tcPr>
            <w:tcW w:w="1862" w:type="dxa"/>
            <w:vMerge w:val="continue"/>
            <w:noWrap w:val="0"/>
            <w:vAlign w:val="center"/>
          </w:tcPr>
          <w:p w14:paraId="719AECCA">
            <w:pPr>
              <w:spacing w:line="240" w:lineRule="auto"/>
              <w:jc w:val="center"/>
              <w:rPr>
                <w:color w:val="auto"/>
                <w:szCs w:val="21"/>
                <w:highlight w:val="none"/>
              </w:rPr>
            </w:pPr>
          </w:p>
        </w:tc>
      </w:tr>
      <w:tr w14:paraId="02D7DF6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39" w:hRule="atLeast"/>
          <w:jc w:val="center"/>
        </w:trPr>
        <w:tc>
          <w:tcPr>
            <w:tcW w:w="1778" w:type="dxa"/>
            <w:vMerge w:val="continue"/>
            <w:noWrap w:val="0"/>
            <w:vAlign w:val="center"/>
          </w:tcPr>
          <w:p w14:paraId="568D9513">
            <w:pPr>
              <w:adjustRightInd w:val="0"/>
              <w:snapToGrid w:val="0"/>
              <w:spacing w:line="240" w:lineRule="auto"/>
              <w:jc w:val="center"/>
              <w:rPr>
                <w:color w:val="auto"/>
                <w:szCs w:val="21"/>
                <w:highlight w:val="none"/>
              </w:rPr>
            </w:pPr>
          </w:p>
        </w:tc>
        <w:tc>
          <w:tcPr>
            <w:tcW w:w="763" w:type="dxa"/>
            <w:vMerge w:val="continue"/>
            <w:noWrap w:val="0"/>
            <w:vAlign w:val="center"/>
          </w:tcPr>
          <w:p w14:paraId="18C122E6">
            <w:pPr>
              <w:pStyle w:val="75"/>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color w:val="auto"/>
                <w:szCs w:val="21"/>
                <w:highlight w:val="none"/>
              </w:rPr>
            </w:pPr>
          </w:p>
        </w:tc>
        <w:tc>
          <w:tcPr>
            <w:tcW w:w="1226" w:type="dxa"/>
            <w:noWrap w:val="0"/>
            <w:vAlign w:val="center"/>
          </w:tcPr>
          <w:p w14:paraId="5F0AC1F1">
            <w:pPr>
              <w:pStyle w:val="75"/>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开槽</w:t>
            </w:r>
            <w:r>
              <w:rPr>
                <w:rFonts w:hint="default" w:ascii="Times New Roman" w:hAnsi="Times New Roman" w:eastAsia="宋体" w:cs="Times New Roman"/>
                <w:color w:val="auto"/>
                <w:sz w:val="21"/>
                <w:szCs w:val="21"/>
              </w:rPr>
              <w:t>废气</w:t>
            </w:r>
          </w:p>
        </w:tc>
        <w:tc>
          <w:tcPr>
            <w:tcW w:w="1311" w:type="dxa"/>
            <w:noWrap w:val="0"/>
            <w:vAlign w:val="center"/>
          </w:tcPr>
          <w:p w14:paraId="0EBD2EEB">
            <w:pPr>
              <w:pStyle w:val="75"/>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color w:val="auto"/>
                <w:szCs w:val="21"/>
                <w:highlight w:val="none"/>
              </w:rPr>
            </w:pPr>
            <w:r>
              <w:rPr>
                <w:rFonts w:hint="default" w:ascii="Times New Roman" w:hAnsi="Times New Roman" w:eastAsia="宋体" w:cs="Times New Roman"/>
                <w:color w:val="auto"/>
                <w:sz w:val="21"/>
                <w:szCs w:val="21"/>
              </w:rPr>
              <w:t>颗粒物</w:t>
            </w:r>
          </w:p>
        </w:tc>
        <w:tc>
          <w:tcPr>
            <w:tcW w:w="1860" w:type="dxa"/>
            <w:noWrap w:val="0"/>
            <w:vAlign w:val="center"/>
          </w:tcPr>
          <w:p w14:paraId="3235511A">
            <w:pPr>
              <w:pStyle w:val="75"/>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color w:val="auto"/>
                <w:szCs w:val="21"/>
                <w:highlight w:val="none"/>
              </w:rPr>
            </w:pPr>
            <w:r>
              <w:rPr>
                <w:rFonts w:hint="eastAsia" w:ascii="Times New Roman" w:hAnsi="Times New Roman" w:cs="Times New Roman"/>
                <w:color w:val="auto"/>
                <w:sz w:val="21"/>
                <w:szCs w:val="21"/>
                <w:lang w:eastAsia="zh-CN"/>
              </w:rPr>
              <w:t>集气罩</w:t>
            </w:r>
            <w:r>
              <w:rPr>
                <w:rFonts w:hint="eastAsia" w:ascii="宋体" w:hAnsi="宋体" w:eastAsia="宋体" w:cs="宋体"/>
                <w:color w:val="auto"/>
                <w:sz w:val="21"/>
                <w:szCs w:val="21"/>
                <w:highlight w:val="none"/>
                <w:lang w:eastAsia="zh-CN"/>
              </w:rPr>
              <w:t>收集</w:t>
            </w:r>
            <w:r>
              <w:rPr>
                <w:rFonts w:hint="eastAsia" w:ascii="Times New Roman" w:hAnsi="Times New Roman" w:eastAsia="宋体"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eastAsia="zh-CN"/>
              </w:rPr>
              <w:t>布袋除尘器</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eastAsia="zh-CN"/>
              </w:rPr>
              <w:t>15m排气筒</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eastAsia="zh-CN"/>
              </w:rPr>
              <w:t>DA00</w:t>
            </w:r>
            <w:r>
              <w:rPr>
                <w:rFonts w:hint="eastAsia" w:ascii="Times New Roman" w:hAnsi="Times New Roman" w:eastAsia="宋体" w:cs="Times New Roman"/>
                <w:color w:val="auto"/>
                <w:sz w:val="21"/>
                <w:szCs w:val="21"/>
                <w:highlight w:val="none"/>
                <w:lang w:val="en-US" w:eastAsia="zh-CN"/>
              </w:rPr>
              <w:t>4</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eastAsia="zh-CN"/>
              </w:rPr>
              <w:t>排放</w:t>
            </w:r>
          </w:p>
        </w:tc>
        <w:tc>
          <w:tcPr>
            <w:tcW w:w="1862" w:type="dxa"/>
            <w:vMerge w:val="continue"/>
            <w:noWrap w:val="0"/>
            <w:vAlign w:val="center"/>
          </w:tcPr>
          <w:p w14:paraId="472AD518">
            <w:pPr>
              <w:spacing w:line="240" w:lineRule="auto"/>
              <w:jc w:val="center"/>
              <w:rPr>
                <w:color w:val="auto"/>
                <w:szCs w:val="21"/>
                <w:highlight w:val="none"/>
              </w:rPr>
            </w:pPr>
          </w:p>
        </w:tc>
      </w:tr>
      <w:tr w14:paraId="611F9DF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39" w:hRule="atLeast"/>
          <w:jc w:val="center"/>
        </w:trPr>
        <w:tc>
          <w:tcPr>
            <w:tcW w:w="1778" w:type="dxa"/>
            <w:vMerge w:val="continue"/>
            <w:noWrap w:val="0"/>
            <w:vAlign w:val="center"/>
          </w:tcPr>
          <w:p w14:paraId="183A8F37">
            <w:pPr>
              <w:adjustRightInd w:val="0"/>
              <w:snapToGrid w:val="0"/>
              <w:spacing w:line="240" w:lineRule="auto"/>
              <w:jc w:val="center"/>
              <w:rPr>
                <w:color w:val="auto"/>
                <w:szCs w:val="21"/>
                <w:highlight w:val="none"/>
              </w:rPr>
            </w:pPr>
          </w:p>
        </w:tc>
        <w:tc>
          <w:tcPr>
            <w:tcW w:w="763" w:type="dxa"/>
            <w:vMerge w:val="continue"/>
            <w:noWrap w:val="0"/>
            <w:vAlign w:val="center"/>
          </w:tcPr>
          <w:p w14:paraId="016D9FD3">
            <w:pPr>
              <w:pStyle w:val="75"/>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color w:val="auto"/>
                <w:szCs w:val="21"/>
                <w:highlight w:val="none"/>
              </w:rPr>
            </w:pPr>
          </w:p>
        </w:tc>
        <w:tc>
          <w:tcPr>
            <w:tcW w:w="1226" w:type="dxa"/>
            <w:noWrap w:val="0"/>
            <w:vAlign w:val="center"/>
          </w:tcPr>
          <w:p w14:paraId="60E3A1DE">
            <w:pPr>
              <w:pStyle w:val="75"/>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辊漆</w:t>
            </w:r>
            <w:r>
              <w:rPr>
                <w:rFonts w:hint="eastAsia" w:ascii="Times New Roman" w:hAnsi="Times New Roman" w:eastAsia="宋体"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紫外光固化</w:t>
            </w:r>
            <w:r>
              <w:rPr>
                <w:rFonts w:hint="eastAsia" w:ascii="Times New Roman" w:hAnsi="Times New Roman" w:eastAsia="宋体" w:cs="Times New Roman"/>
                <w:color w:val="auto"/>
                <w:sz w:val="21"/>
                <w:szCs w:val="21"/>
                <w:highlight w:val="none"/>
                <w:lang w:val="en-US" w:eastAsia="zh-CN"/>
              </w:rPr>
              <w:t>废气</w:t>
            </w:r>
          </w:p>
        </w:tc>
        <w:tc>
          <w:tcPr>
            <w:tcW w:w="1311" w:type="dxa"/>
            <w:noWrap w:val="0"/>
            <w:vAlign w:val="center"/>
          </w:tcPr>
          <w:p w14:paraId="61F87BC2">
            <w:pPr>
              <w:pStyle w:val="75"/>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color w:val="auto"/>
                <w:szCs w:val="21"/>
                <w:highlight w:val="none"/>
              </w:rPr>
            </w:pPr>
            <w:r>
              <w:rPr>
                <w:rFonts w:hint="default" w:ascii="Times New Roman" w:hAnsi="Times New Roman" w:eastAsia="宋体" w:cs="Times New Roman"/>
                <w:color w:val="auto"/>
                <w:sz w:val="21"/>
                <w:szCs w:val="21"/>
                <w:lang w:eastAsia="zh-CN"/>
              </w:rPr>
              <w:t>VOC</w:t>
            </w:r>
            <w:r>
              <w:rPr>
                <w:rFonts w:hint="default" w:ascii="Times New Roman" w:hAnsi="Times New Roman" w:eastAsia="宋体" w:cs="Times New Roman"/>
                <w:color w:val="auto"/>
                <w:sz w:val="21"/>
                <w:szCs w:val="21"/>
                <w:vertAlign w:val="subscript"/>
                <w:lang w:eastAsia="zh-CN"/>
              </w:rPr>
              <w:t>S</w:t>
            </w:r>
          </w:p>
        </w:tc>
        <w:tc>
          <w:tcPr>
            <w:tcW w:w="1860" w:type="dxa"/>
            <w:noWrap w:val="0"/>
            <w:vAlign w:val="center"/>
          </w:tcPr>
          <w:p w14:paraId="439E3C14">
            <w:pPr>
              <w:pStyle w:val="75"/>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color w:val="auto"/>
                <w:szCs w:val="21"/>
                <w:highlight w:val="none"/>
              </w:rPr>
            </w:pPr>
            <w:r>
              <w:rPr>
                <w:rFonts w:hint="eastAsia" w:ascii="Times New Roman" w:hAnsi="Times New Roman" w:cs="Times New Roman"/>
                <w:color w:val="auto"/>
                <w:sz w:val="21"/>
                <w:szCs w:val="21"/>
                <w:lang w:eastAsia="zh-CN"/>
              </w:rPr>
              <w:t>集气罩</w:t>
            </w:r>
            <w:r>
              <w:rPr>
                <w:rFonts w:hint="default" w:ascii="Times New Roman" w:hAnsi="Times New Roman" w:eastAsia="宋体" w:cs="Times New Roman"/>
                <w:color w:val="auto"/>
                <w:sz w:val="21"/>
                <w:szCs w:val="21"/>
                <w:highlight w:val="none"/>
                <w:lang w:eastAsia="zh-CN"/>
              </w:rPr>
              <w:t>收集</w:t>
            </w:r>
            <w:r>
              <w:rPr>
                <w:rFonts w:hint="eastAsia" w:ascii="Times New Roman" w:hAnsi="Times New Roman" w:eastAsia="宋体"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eastAsia="zh-CN"/>
              </w:rPr>
              <w:t>带有自动控制系统的</w:t>
            </w:r>
            <w:r>
              <w:rPr>
                <w:rFonts w:hint="eastAsia" w:ascii="Times New Roman" w:hAnsi="Times New Roman" w:eastAsia="宋体" w:cs="Times New Roman"/>
                <w:color w:val="auto"/>
                <w:kern w:val="2"/>
                <w:sz w:val="21"/>
                <w:szCs w:val="21"/>
                <w:highlight w:val="none"/>
                <w:lang w:val="en-US" w:eastAsia="zh-CN" w:bidi="ar-SA"/>
              </w:rPr>
              <w:t>二级</w:t>
            </w:r>
            <w:r>
              <w:rPr>
                <w:rFonts w:hint="eastAsia" w:ascii="Times New Roman" w:hAnsi="Times New Roman" w:eastAsia="宋体" w:cs="Times New Roman"/>
                <w:color w:val="auto"/>
                <w:sz w:val="21"/>
                <w:szCs w:val="21"/>
                <w:highlight w:val="none"/>
                <w:lang w:eastAsia="zh-CN"/>
              </w:rPr>
              <w:t>活性炭吸附</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eastAsia="zh-CN"/>
              </w:rPr>
              <w:t>15m排气筒</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eastAsia="zh-CN"/>
              </w:rPr>
              <w:t>DA00</w:t>
            </w:r>
            <w:r>
              <w:rPr>
                <w:rFonts w:hint="eastAsia" w:ascii="Times New Roman" w:hAnsi="Times New Roman" w:eastAsia="宋体" w:cs="Times New Roman"/>
                <w:color w:val="auto"/>
                <w:sz w:val="21"/>
                <w:szCs w:val="21"/>
                <w:highlight w:val="none"/>
                <w:lang w:val="en-US" w:eastAsia="zh-CN"/>
              </w:rPr>
              <w:t>5</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eastAsia="zh-CN"/>
              </w:rPr>
              <w:t>排放</w:t>
            </w:r>
          </w:p>
        </w:tc>
        <w:tc>
          <w:tcPr>
            <w:tcW w:w="1862" w:type="dxa"/>
            <w:noWrap w:val="0"/>
            <w:vAlign w:val="center"/>
          </w:tcPr>
          <w:p w14:paraId="53A883BF">
            <w:pPr>
              <w:pStyle w:val="75"/>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color w:val="auto"/>
                <w:szCs w:val="21"/>
                <w:highlight w:val="none"/>
              </w:rPr>
            </w:pPr>
            <w:r>
              <w:rPr>
                <w:rFonts w:hint="default" w:ascii="Times New Roman" w:hAnsi="Times New Roman" w:eastAsia="宋体" w:cs="Times New Roman"/>
                <w:color w:val="auto"/>
                <w:sz w:val="21"/>
                <w:szCs w:val="21"/>
              </w:rPr>
              <w:t>《工业涂装工序挥发性有机物排放标准》（DB21/3160-2019）</w:t>
            </w:r>
          </w:p>
        </w:tc>
      </w:tr>
      <w:tr w14:paraId="108278D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24" w:hRule="atLeast"/>
          <w:jc w:val="center"/>
        </w:trPr>
        <w:tc>
          <w:tcPr>
            <w:tcW w:w="1778" w:type="dxa"/>
            <w:vMerge w:val="continue"/>
            <w:noWrap w:val="0"/>
            <w:vAlign w:val="center"/>
          </w:tcPr>
          <w:p w14:paraId="674626A9">
            <w:pPr>
              <w:adjustRightInd w:val="0"/>
              <w:snapToGrid w:val="0"/>
              <w:spacing w:line="240" w:lineRule="auto"/>
              <w:jc w:val="center"/>
              <w:rPr>
                <w:color w:val="auto"/>
                <w:szCs w:val="21"/>
                <w:highlight w:val="none"/>
              </w:rPr>
            </w:pPr>
          </w:p>
        </w:tc>
        <w:tc>
          <w:tcPr>
            <w:tcW w:w="763" w:type="dxa"/>
            <w:noWrap w:val="0"/>
            <w:vAlign w:val="center"/>
          </w:tcPr>
          <w:p w14:paraId="052C24A1">
            <w:pPr>
              <w:adjustRightInd w:val="0"/>
              <w:snapToGrid w:val="0"/>
              <w:spacing w:line="240" w:lineRule="auto"/>
              <w:jc w:val="center"/>
              <w:rPr>
                <w:rFonts w:hint="eastAsia" w:eastAsia="宋体"/>
                <w:color w:val="auto"/>
                <w:szCs w:val="21"/>
                <w:highlight w:val="none"/>
                <w:lang w:eastAsia="zh-CN"/>
              </w:rPr>
            </w:pPr>
            <w:r>
              <w:rPr>
                <w:rFonts w:hint="eastAsia"/>
                <w:color w:val="auto"/>
                <w:szCs w:val="21"/>
                <w:highlight w:val="none"/>
                <w:lang w:eastAsia="zh-CN"/>
              </w:rPr>
              <w:t>无组织</w:t>
            </w:r>
          </w:p>
        </w:tc>
        <w:tc>
          <w:tcPr>
            <w:tcW w:w="1226" w:type="dxa"/>
            <w:noWrap w:val="0"/>
            <w:vAlign w:val="center"/>
          </w:tcPr>
          <w:p w14:paraId="146877C6">
            <w:pPr>
              <w:adjustRightInd w:val="0"/>
              <w:snapToGrid w:val="0"/>
              <w:jc w:val="center"/>
              <w:rPr>
                <w:color w:val="auto"/>
                <w:szCs w:val="21"/>
                <w:highlight w:val="none"/>
              </w:rPr>
            </w:pPr>
            <w:r>
              <w:rPr>
                <w:color w:val="auto"/>
                <w:szCs w:val="21"/>
                <w:highlight w:val="none"/>
              </w:rPr>
              <w:t>生产车间</w:t>
            </w:r>
          </w:p>
        </w:tc>
        <w:tc>
          <w:tcPr>
            <w:tcW w:w="1311" w:type="dxa"/>
            <w:noWrap w:val="0"/>
            <w:vAlign w:val="center"/>
          </w:tcPr>
          <w:p w14:paraId="6B90B952">
            <w:pPr>
              <w:adjustRightInd w:val="0"/>
              <w:snapToGrid w:val="0"/>
              <w:jc w:val="center"/>
              <w:rPr>
                <w:rFonts w:hint="eastAsia" w:eastAsia="宋体"/>
                <w:color w:val="auto"/>
                <w:szCs w:val="21"/>
                <w:highlight w:val="none"/>
                <w:lang w:eastAsia="zh-CN"/>
              </w:rPr>
            </w:pPr>
            <w:r>
              <w:rPr>
                <w:rFonts w:hint="eastAsia"/>
                <w:color w:val="auto"/>
                <w:szCs w:val="21"/>
                <w:highlight w:val="none"/>
                <w:lang w:eastAsia="zh-CN"/>
              </w:rPr>
              <w:t>非甲烷总烃</w:t>
            </w:r>
          </w:p>
        </w:tc>
        <w:tc>
          <w:tcPr>
            <w:tcW w:w="1860" w:type="dxa"/>
            <w:noWrap w:val="0"/>
            <w:vAlign w:val="center"/>
          </w:tcPr>
          <w:p w14:paraId="2E81B6F8">
            <w:pPr>
              <w:adjustRightInd w:val="0"/>
              <w:snapToGrid w:val="0"/>
              <w:jc w:val="center"/>
              <w:rPr>
                <w:rFonts w:hint="eastAsia" w:eastAsia="宋体"/>
                <w:color w:val="auto"/>
                <w:szCs w:val="21"/>
                <w:highlight w:val="none"/>
                <w:lang w:eastAsia="zh-CN"/>
              </w:rPr>
            </w:pPr>
            <w:r>
              <w:rPr>
                <w:rFonts w:hint="eastAsia"/>
                <w:color w:val="auto"/>
                <w:szCs w:val="21"/>
                <w:highlight w:val="none"/>
                <w:lang w:eastAsia="zh-CN"/>
              </w:rPr>
              <w:t>厂房密闭</w:t>
            </w:r>
          </w:p>
        </w:tc>
        <w:tc>
          <w:tcPr>
            <w:tcW w:w="1862" w:type="dxa"/>
            <w:noWrap w:val="0"/>
            <w:vAlign w:val="center"/>
          </w:tcPr>
          <w:p w14:paraId="6E476056">
            <w:pPr>
              <w:spacing w:line="240" w:lineRule="auto"/>
              <w:jc w:val="center"/>
              <w:rPr>
                <w:color w:val="auto"/>
                <w:sz w:val="21"/>
                <w:szCs w:val="21"/>
                <w:highlight w:val="none"/>
              </w:rPr>
            </w:pPr>
            <w:r>
              <w:rPr>
                <w:rFonts w:ascii="Times New Roman" w:hAnsi="Times New Roman" w:cs="Times New Roman"/>
                <w:color w:val="auto"/>
                <w:sz w:val="21"/>
                <w:szCs w:val="21"/>
              </w:rPr>
              <w:t>《工业涂装工序挥发性有机物排放标准》（DB21/3160-2019）</w:t>
            </w:r>
          </w:p>
        </w:tc>
      </w:tr>
      <w:tr w14:paraId="1AB4CD9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24" w:hRule="atLeast"/>
          <w:jc w:val="center"/>
        </w:trPr>
        <w:tc>
          <w:tcPr>
            <w:tcW w:w="1778" w:type="dxa"/>
            <w:vMerge w:val="continue"/>
            <w:noWrap w:val="0"/>
            <w:vAlign w:val="center"/>
          </w:tcPr>
          <w:p w14:paraId="7C04CD83">
            <w:pPr>
              <w:adjustRightInd w:val="0"/>
              <w:snapToGrid w:val="0"/>
              <w:spacing w:line="240" w:lineRule="auto"/>
              <w:jc w:val="center"/>
              <w:rPr>
                <w:color w:val="auto"/>
                <w:szCs w:val="21"/>
                <w:highlight w:val="none"/>
              </w:rPr>
            </w:pPr>
          </w:p>
        </w:tc>
        <w:tc>
          <w:tcPr>
            <w:tcW w:w="1989" w:type="dxa"/>
            <w:gridSpan w:val="2"/>
            <w:vMerge w:val="restart"/>
            <w:noWrap w:val="0"/>
            <w:vAlign w:val="center"/>
          </w:tcPr>
          <w:p w14:paraId="1D21E8EC">
            <w:pPr>
              <w:adjustRightInd w:val="0"/>
              <w:snapToGrid w:val="0"/>
              <w:jc w:val="center"/>
              <w:rPr>
                <w:rFonts w:hint="eastAsia" w:eastAsia="宋体"/>
                <w:color w:val="auto"/>
                <w:szCs w:val="21"/>
                <w:highlight w:val="none"/>
                <w:lang w:eastAsia="zh-CN"/>
              </w:rPr>
            </w:pPr>
            <w:r>
              <w:rPr>
                <w:rFonts w:hint="eastAsia"/>
                <w:color w:val="auto"/>
                <w:szCs w:val="21"/>
                <w:highlight w:val="none"/>
                <w:lang w:eastAsia="zh-CN"/>
              </w:rPr>
              <w:t>厂界</w:t>
            </w:r>
          </w:p>
        </w:tc>
        <w:tc>
          <w:tcPr>
            <w:tcW w:w="1311" w:type="dxa"/>
            <w:noWrap w:val="0"/>
            <w:vAlign w:val="center"/>
          </w:tcPr>
          <w:p w14:paraId="72EFB392">
            <w:pPr>
              <w:adjustRightInd w:val="0"/>
              <w:snapToGrid w:val="0"/>
              <w:jc w:val="center"/>
              <w:rPr>
                <w:rFonts w:hint="eastAsia" w:eastAsia="宋体"/>
                <w:color w:val="auto"/>
                <w:szCs w:val="21"/>
                <w:highlight w:val="none"/>
                <w:lang w:eastAsia="zh-CN"/>
              </w:rPr>
            </w:pPr>
            <w:r>
              <w:rPr>
                <w:rFonts w:hint="eastAsia"/>
                <w:color w:val="auto"/>
                <w:szCs w:val="21"/>
                <w:highlight w:val="none"/>
                <w:lang w:eastAsia="zh-CN"/>
              </w:rPr>
              <w:t>颗粒物</w:t>
            </w:r>
          </w:p>
        </w:tc>
        <w:tc>
          <w:tcPr>
            <w:tcW w:w="1860" w:type="dxa"/>
            <w:vMerge w:val="restart"/>
            <w:noWrap w:val="0"/>
            <w:vAlign w:val="center"/>
          </w:tcPr>
          <w:p w14:paraId="35BB673C">
            <w:pPr>
              <w:adjustRightInd w:val="0"/>
              <w:snapToGrid w:val="0"/>
              <w:jc w:val="center"/>
              <w:rPr>
                <w:rFonts w:hint="eastAsia" w:eastAsia="宋体"/>
                <w:color w:val="auto"/>
                <w:szCs w:val="21"/>
                <w:highlight w:val="none"/>
                <w:lang w:val="en-US" w:eastAsia="zh-CN"/>
              </w:rPr>
            </w:pPr>
            <w:r>
              <w:rPr>
                <w:rFonts w:hint="eastAsia"/>
                <w:color w:val="auto"/>
                <w:szCs w:val="21"/>
                <w:highlight w:val="none"/>
                <w:lang w:val="en-US" w:eastAsia="zh-CN"/>
              </w:rPr>
              <w:t>/</w:t>
            </w:r>
          </w:p>
        </w:tc>
        <w:tc>
          <w:tcPr>
            <w:tcW w:w="1862" w:type="dxa"/>
            <w:noWrap w:val="0"/>
            <w:vAlign w:val="center"/>
          </w:tcPr>
          <w:p w14:paraId="1BE63AE6">
            <w:pPr>
              <w:spacing w:line="240" w:lineRule="auto"/>
              <w:jc w:val="center"/>
              <w:rPr>
                <w:color w:val="auto"/>
                <w:sz w:val="21"/>
                <w:szCs w:val="21"/>
                <w:highlight w:val="none"/>
              </w:rPr>
            </w:pPr>
            <w:r>
              <w:rPr>
                <w:rFonts w:ascii="Times New Roman" w:hAnsi="Times New Roman" w:cs="Times New Roman"/>
                <w:color w:val="auto"/>
                <w:sz w:val="21"/>
                <w:szCs w:val="21"/>
              </w:rPr>
              <w:t>《大气污染物综合排放标准》（GB16297-1996）</w:t>
            </w:r>
          </w:p>
        </w:tc>
      </w:tr>
      <w:tr w14:paraId="4AF84B4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24" w:hRule="atLeast"/>
          <w:jc w:val="center"/>
        </w:trPr>
        <w:tc>
          <w:tcPr>
            <w:tcW w:w="1778" w:type="dxa"/>
            <w:vMerge w:val="continue"/>
            <w:noWrap w:val="0"/>
            <w:vAlign w:val="center"/>
          </w:tcPr>
          <w:p w14:paraId="546884BB">
            <w:pPr>
              <w:adjustRightInd w:val="0"/>
              <w:snapToGrid w:val="0"/>
              <w:spacing w:line="240" w:lineRule="auto"/>
              <w:jc w:val="center"/>
              <w:rPr>
                <w:color w:val="auto"/>
                <w:szCs w:val="21"/>
                <w:highlight w:val="none"/>
              </w:rPr>
            </w:pPr>
          </w:p>
        </w:tc>
        <w:tc>
          <w:tcPr>
            <w:tcW w:w="1989" w:type="dxa"/>
            <w:gridSpan w:val="2"/>
            <w:vMerge w:val="continue"/>
            <w:noWrap w:val="0"/>
            <w:vAlign w:val="center"/>
          </w:tcPr>
          <w:p w14:paraId="231C3D54">
            <w:pPr>
              <w:adjustRightInd w:val="0"/>
              <w:snapToGrid w:val="0"/>
              <w:jc w:val="center"/>
              <w:rPr>
                <w:rFonts w:hint="eastAsia"/>
                <w:color w:val="auto"/>
                <w:szCs w:val="21"/>
                <w:highlight w:val="none"/>
                <w:lang w:eastAsia="zh-CN"/>
              </w:rPr>
            </w:pPr>
          </w:p>
        </w:tc>
        <w:tc>
          <w:tcPr>
            <w:tcW w:w="1311" w:type="dxa"/>
            <w:noWrap w:val="0"/>
            <w:vAlign w:val="center"/>
          </w:tcPr>
          <w:p w14:paraId="3E69AEC1">
            <w:pPr>
              <w:adjustRightInd w:val="0"/>
              <w:snapToGrid w:val="0"/>
              <w:jc w:val="center"/>
              <w:rPr>
                <w:rFonts w:hint="eastAsia"/>
                <w:color w:val="auto"/>
                <w:szCs w:val="21"/>
                <w:highlight w:val="none"/>
                <w:lang w:eastAsia="zh-CN"/>
              </w:rPr>
            </w:pPr>
            <w:r>
              <w:rPr>
                <w:rFonts w:hint="eastAsia"/>
                <w:color w:val="auto"/>
                <w:szCs w:val="21"/>
                <w:highlight w:val="none"/>
                <w:lang w:eastAsia="zh-CN"/>
              </w:rPr>
              <w:t>非甲烷总烃</w:t>
            </w:r>
          </w:p>
        </w:tc>
        <w:tc>
          <w:tcPr>
            <w:tcW w:w="1860" w:type="dxa"/>
            <w:vMerge w:val="continue"/>
            <w:noWrap w:val="0"/>
            <w:vAlign w:val="center"/>
          </w:tcPr>
          <w:p w14:paraId="2419684E">
            <w:pPr>
              <w:adjustRightInd w:val="0"/>
              <w:snapToGrid w:val="0"/>
              <w:jc w:val="center"/>
              <w:rPr>
                <w:rFonts w:hint="eastAsia"/>
                <w:color w:val="auto"/>
                <w:szCs w:val="21"/>
                <w:highlight w:val="none"/>
              </w:rPr>
            </w:pPr>
          </w:p>
        </w:tc>
        <w:tc>
          <w:tcPr>
            <w:tcW w:w="1862" w:type="dxa"/>
            <w:noWrap w:val="0"/>
            <w:vAlign w:val="center"/>
          </w:tcPr>
          <w:p w14:paraId="03AE0753">
            <w:pPr>
              <w:spacing w:line="240" w:lineRule="auto"/>
              <w:jc w:val="center"/>
              <w:rPr>
                <w:color w:val="auto"/>
                <w:sz w:val="21"/>
                <w:szCs w:val="21"/>
                <w:highlight w:val="none"/>
              </w:rPr>
            </w:pPr>
            <w:r>
              <w:rPr>
                <w:rFonts w:ascii="Times New Roman" w:hAnsi="Times New Roman" w:cs="Times New Roman"/>
                <w:color w:val="auto"/>
                <w:sz w:val="21"/>
                <w:szCs w:val="21"/>
              </w:rPr>
              <w:t>《工业涂装工序挥发性有机物排放标准》（DB21/3160-2019）</w:t>
            </w:r>
          </w:p>
        </w:tc>
      </w:tr>
      <w:tr w14:paraId="5EB85F6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1778" w:type="dxa"/>
            <w:noWrap w:val="0"/>
            <w:vAlign w:val="center"/>
          </w:tcPr>
          <w:p w14:paraId="11AF0719">
            <w:pPr>
              <w:adjustRightInd w:val="0"/>
              <w:snapToGrid w:val="0"/>
              <w:spacing w:line="240" w:lineRule="auto"/>
              <w:jc w:val="center"/>
              <w:rPr>
                <w:color w:val="auto"/>
                <w:szCs w:val="21"/>
                <w:highlight w:val="none"/>
              </w:rPr>
            </w:pPr>
            <w:r>
              <w:rPr>
                <w:color w:val="auto"/>
                <w:szCs w:val="21"/>
                <w:highlight w:val="none"/>
              </w:rPr>
              <w:t>地表水环境</w:t>
            </w:r>
          </w:p>
        </w:tc>
        <w:tc>
          <w:tcPr>
            <w:tcW w:w="1989" w:type="dxa"/>
            <w:gridSpan w:val="2"/>
            <w:noWrap w:val="0"/>
            <w:vAlign w:val="center"/>
          </w:tcPr>
          <w:p w14:paraId="5A49CB6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Cs w:val="21"/>
                <w:highlight w:val="none"/>
                <w:lang w:eastAsia="zh-CN"/>
              </w:rPr>
            </w:pPr>
            <w:r>
              <w:rPr>
                <w:rFonts w:hint="eastAsia" w:ascii="Times New Roman" w:hAnsi="Times New Roman" w:eastAsia="宋体" w:cs="Times New Roman"/>
                <w:color w:val="auto"/>
                <w:szCs w:val="21"/>
                <w:highlight w:val="none"/>
                <w:lang w:eastAsia="zh-CN"/>
              </w:rPr>
              <w:t>生活污水</w:t>
            </w:r>
          </w:p>
        </w:tc>
        <w:tc>
          <w:tcPr>
            <w:tcW w:w="1311" w:type="dxa"/>
            <w:noWrap w:val="0"/>
            <w:vAlign w:val="center"/>
          </w:tcPr>
          <w:p w14:paraId="76539E9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 w:val="21"/>
                <w:szCs w:val="21"/>
              </w:rPr>
              <w:t>pH、COD、BOD</w:t>
            </w:r>
            <w:r>
              <w:rPr>
                <w:rFonts w:hint="default" w:ascii="Times New Roman" w:hAnsi="Times New Roman" w:eastAsia="宋体" w:cs="Times New Roman"/>
                <w:color w:val="auto"/>
                <w:sz w:val="21"/>
                <w:szCs w:val="21"/>
                <w:vertAlign w:val="subscript"/>
              </w:rPr>
              <w:t>5</w:t>
            </w:r>
            <w:r>
              <w:rPr>
                <w:rFonts w:hint="default" w:ascii="Times New Roman" w:hAnsi="Times New Roman" w:eastAsia="宋体" w:cs="Times New Roman"/>
                <w:color w:val="auto"/>
                <w:sz w:val="21"/>
                <w:szCs w:val="21"/>
              </w:rPr>
              <w:t>、NH</w:t>
            </w:r>
            <w:r>
              <w:rPr>
                <w:rFonts w:hint="default" w:ascii="Times New Roman" w:hAnsi="Times New Roman" w:eastAsia="宋体" w:cs="Times New Roman"/>
                <w:color w:val="auto"/>
                <w:sz w:val="21"/>
                <w:szCs w:val="21"/>
                <w:vertAlign w:val="subscript"/>
              </w:rPr>
              <w:t>3</w:t>
            </w:r>
            <w:r>
              <w:rPr>
                <w:rFonts w:hint="default" w:ascii="Times New Roman" w:hAnsi="Times New Roman" w:eastAsia="宋体" w:cs="Times New Roman"/>
                <w:color w:val="auto"/>
                <w:sz w:val="21"/>
                <w:szCs w:val="21"/>
              </w:rPr>
              <w:t>-N、SS</w:t>
            </w:r>
            <w:r>
              <w:rPr>
                <w:rFonts w:hint="eastAsia" w:ascii="Times New Roman" w:hAnsi="Times New Roman" w:cs="Times New Roman"/>
                <w:color w:val="auto"/>
                <w:sz w:val="21"/>
                <w:szCs w:val="21"/>
                <w:lang w:eastAsia="zh-CN"/>
              </w:rPr>
              <w:t>、磷酸盐、总氮</w:t>
            </w:r>
          </w:p>
        </w:tc>
        <w:tc>
          <w:tcPr>
            <w:tcW w:w="1860" w:type="dxa"/>
            <w:noWrap w:val="0"/>
            <w:vAlign w:val="center"/>
          </w:tcPr>
          <w:p w14:paraId="5F946D6D">
            <w:pPr>
              <w:pStyle w:val="75"/>
              <w:spacing w:line="240" w:lineRule="auto"/>
              <w:jc w:val="center"/>
              <w:rPr>
                <w:rFonts w:hint="eastAsia" w:ascii="Times New Roman" w:hAnsi="Times New Roman" w:eastAsia="宋体" w:cs="Times New Roman"/>
                <w:color w:val="auto"/>
                <w:szCs w:val="21"/>
                <w:highlight w:val="none"/>
                <w:lang w:eastAsia="zh-CN"/>
              </w:rPr>
            </w:pPr>
            <w:r>
              <w:rPr>
                <w:rFonts w:ascii="Times New Roman" w:hAnsi="Times New Roman" w:cs="Times New Roman"/>
                <w:color w:val="auto"/>
                <w:spacing w:val="-2"/>
                <w:sz w:val="21"/>
                <w:szCs w:val="21"/>
              </w:rPr>
              <w:t>排入</w:t>
            </w:r>
            <w:r>
              <w:rPr>
                <w:rFonts w:hint="eastAsia" w:ascii="Times New Roman" w:hAnsi="Times New Roman" w:cs="Times New Roman"/>
                <w:color w:val="auto"/>
                <w:spacing w:val="-2"/>
                <w:sz w:val="21"/>
                <w:szCs w:val="21"/>
                <w:lang w:eastAsia="zh-CN"/>
              </w:rPr>
              <w:t>抚顺县救兵镇污水处理厂</w:t>
            </w:r>
          </w:p>
        </w:tc>
        <w:tc>
          <w:tcPr>
            <w:tcW w:w="1862" w:type="dxa"/>
            <w:noWrap w:val="0"/>
            <w:vAlign w:val="center"/>
          </w:tcPr>
          <w:p w14:paraId="76BAEA44">
            <w:pPr>
              <w:spacing w:line="240" w:lineRule="auto"/>
              <w:jc w:val="center"/>
              <w:rPr>
                <w:rFonts w:ascii="Times New Roman" w:hAnsi="Times New Roman" w:eastAsia="宋体" w:cs="Times New Roman"/>
                <w:color w:val="auto"/>
                <w:lang w:eastAsia="zh-CN"/>
              </w:rPr>
            </w:pPr>
            <w:r>
              <w:rPr>
                <w:rFonts w:ascii="Times New Roman" w:hAnsi="Times New Roman" w:eastAsia="宋体" w:cs="Times New Roman"/>
                <w:color w:val="auto"/>
                <w:lang w:eastAsia="zh-CN"/>
              </w:rPr>
              <w:t>《辽宁省污水综合排放标准》（DB21/1627-2008）</w:t>
            </w:r>
          </w:p>
          <w:p w14:paraId="6D82B75D">
            <w:pPr>
              <w:spacing w:line="240" w:lineRule="auto"/>
              <w:jc w:val="center"/>
              <w:rPr>
                <w:rFonts w:ascii="Times New Roman" w:hAnsi="Times New Roman" w:eastAsia="宋体" w:cs="Times New Roman"/>
                <w:color w:val="auto"/>
                <w:lang w:eastAsia="zh-CN"/>
              </w:rPr>
            </w:pPr>
            <w:r>
              <w:rPr>
                <w:rFonts w:ascii="Times New Roman" w:hAnsi="Times New Roman" w:eastAsia="宋体" w:cs="Times New Roman"/>
                <w:color w:val="auto"/>
                <w:lang w:eastAsia="zh-CN"/>
              </w:rPr>
              <w:t>《污水综合排放标准》</w:t>
            </w:r>
          </w:p>
          <w:p w14:paraId="0611142E">
            <w:pPr>
              <w:spacing w:line="240" w:lineRule="auto"/>
              <w:jc w:val="center"/>
              <w:rPr>
                <w:rFonts w:hint="eastAsia" w:ascii="Times New Roman" w:hAnsi="Times New Roman" w:eastAsia="宋体" w:cs="Times New Roman"/>
                <w:color w:val="auto"/>
                <w:szCs w:val="21"/>
                <w:highlight w:val="none"/>
                <w:lang w:eastAsia="zh-CN"/>
              </w:rPr>
            </w:pPr>
            <w:r>
              <w:rPr>
                <w:rFonts w:ascii="Times New Roman" w:hAnsi="Times New Roman" w:eastAsia="宋体" w:cs="Times New Roman"/>
                <w:color w:val="auto"/>
                <w:lang w:eastAsia="zh-CN"/>
              </w:rPr>
              <w:t>（GB8978-1996）</w:t>
            </w:r>
          </w:p>
        </w:tc>
      </w:tr>
      <w:tr w14:paraId="2DC5053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noWrap w:val="0"/>
            <w:vAlign w:val="center"/>
          </w:tcPr>
          <w:p w14:paraId="007482A6">
            <w:pPr>
              <w:adjustRightInd w:val="0"/>
              <w:snapToGrid w:val="0"/>
              <w:spacing w:line="240" w:lineRule="auto"/>
              <w:jc w:val="center"/>
              <w:rPr>
                <w:color w:val="auto"/>
                <w:szCs w:val="21"/>
                <w:highlight w:val="none"/>
              </w:rPr>
            </w:pPr>
            <w:r>
              <w:rPr>
                <w:color w:val="auto"/>
                <w:szCs w:val="21"/>
                <w:highlight w:val="none"/>
              </w:rPr>
              <w:t>声环境</w:t>
            </w:r>
          </w:p>
        </w:tc>
        <w:tc>
          <w:tcPr>
            <w:tcW w:w="1989" w:type="dxa"/>
            <w:gridSpan w:val="2"/>
            <w:noWrap w:val="0"/>
            <w:vAlign w:val="center"/>
          </w:tcPr>
          <w:p w14:paraId="64F2C256">
            <w:pPr>
              <w:adjustRightInd w:val="0"/>
              <w:snapToGrid w:val="0"/>
              <w:jc w:val="center"/>
              <w:rPr>
                <w:color w:val="auto"/>
                <w:szCs w:val="21"/>
                <w:highlight w:val="none"/>
              </w:rPr>
            </w:pPr>
            <w:r>
              <w:rPr>
                <w:rFonts w:ascii="Times New Roman" w:hAnsi="Times New Roman" w:cs="Times New Roman"/>
                <w:color w:val="auto"/>
                <w:spacing w:val="-2"/>
                <w:sz w:val="21"/>
                <w:szCs w:val="21"/>
              </w:rPr>
              <w:t>生产设备、风机</w:t>
            </w:r>
            <w:r>
              <w:rPr>
                <w:rFonts w:ascii="Times New Roman" w:hAnsi="Times New Roman" w:cs="Times New Roman"/>
                <w:color w:val="auto"/>
                <w:sz w:val="21"/>
                <w:szCs w:val="21"/>
              </w:rPr>
              <w:t>等</w:t>
            </w:r>
          </w:p>
        </w:tc>
        <w:tc>
          <w:tcPr>
            <w:tcW w:w="1311" w:type="dxa"/>
            <w:noWrap w:val="0"/>
            <w:vAlign w:val="center"/>
          </w:tcPr>
          <w:p w14:paraId="0E8FA29A">
            <w:pPr>
              <w:adjustRightInd w:val="0"/>
              <w:snapToGrid w:val="0"/>
              <w:jc w:val="center"/>
              <w:rPr>
                <w:color w:val="auto"/>
                <w:szCs w:val="21"/>
                <w:highlight w:val="none"/>
              </w:rPr>
            </w:pPr>
            <w:r>
              <w:rPr>
                <w:color w:val="auto"/>
                <w:szCs w:val="21"/>
                <w:highlight w:val="none"/>
              </w:rPr>
              <w:t>Leq（A）</w:t>
            </w:r>
          </w:p>
        </w:tc>
        <w:tc>
          <w:tcPr>
            <w:tcW w:w="1860" w:type="dxa"/>
            <w:noWrap w:val="0"/>
            <w:vAlign w:val="center"/>
          </w:tcPr>
          <w:p w14:paraId="39D9FB13">
            <w:pPr>
              <w:adjustRightInd w:val="0"/>
              <w:snapToGrid w:val="0"/>
              <w:spacing w:line="240" w:lineRule="auto"/>
              <w:jc w:val="center"/>
              <w:rPr>
                <w:color w:val="auto"/>
                <w:szCs w:val="21"/>
                <w:highlight w:val="none"/>
              </w:rPr>
            </w:pPr>
            <w:r>
              <w:rPr>
                <w:color w:val="auto"/>
                <w:szCs w:val="21"/>
                <w:highlight w:val="none"/>
              </w:rPr>
              <w:t>基础减振、厂房隔声、选用低噪声设备</w:t>
            </w:r>
          </w:p>
        </w:tc>
        <w:tc>
          <w:tcPr>
            <w:tcW w:w="1862" w:type="dxa"/>
            <w:noWrap w:val="0"/>
            <w:vAlign w:val="center"/>
          </w:tcPr>
          <w:p w14:paraId="7454F3E0">
            <w:pPr>
              <w:adjustRightInd w:val="0"/>
              <w:snapToGrid w:val="0"/>
              <w:spacing w:line="240" w:lineRule="auto"/>
              <w:rPr>
                <w:color w:val="auto"/>
                <w:szCs w:val="21"/>
                <w:highlight w:val="none"/>
              </w:rPr>
            </w:pPr>
            <w:r>
              <w:rPr>
                <w:color w:val="auto"/>
                <w:highlight w:val="none"/>
              </w:rPr>
              <w:t>《工业企业厂界环境噪声排放标准》</w:t>
            </w:r>
            <w:r>
              <w:rPr>
                <w:rFonts w:hint="eastAsia"/>
                <w:color w:val="auto"/>
                <w:highlight w:val="none"/>
              </w:rPr>
              <w:t>（</w:t>
            </w:r>
            <w:r>
              <w:rPr>
                <w:color w:val="auto"/>
                <w:highlight w:val="none"/>
              </w:rPr>
              <w:t>GB12348 -2008</w:t>
            </w:r>
            <w:r>
              <w:rPr>
                <w:rFonts w:hint="eastAsia"/>
                <w:color w:val="auto"/>
                <w:highlight w:val="none"/>
              </w:rPr>
              <w:t>）</w:t>
            </w:r>
            <w:r>
              <w:rPr>
                <w:color w:val="auto"/>
                <w:highlight w:val="none"/>
              </w:rPr>
              <w:t>3类标准</w:t>
            </w:r>
          </w:p>
        </w:tc>
      </w:tr>
      <w:tr w14:paraId="2000469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noWrap w:val="0"/>
            <w:vAlign w:val="center"/>
          </w:tcPr>
          <w:p w14:paraId="64D45289">
            <w:pPr>
              <w:adjustRightInd w:val="0"/>
              <w:snapToGrid w:val="0"/>
              <w:spacing w:line="240" w:lineRule="auto"/>
              <w:jc w:val="center"/>
              <w:rPr>
                <w:color w:val="auto"/>
                <w:szCs w:val="21"/>
                <w:highlight w:val="none"/>
              </w:rPr>
            </w:pPr>
            <w:r>
              <w:rPr>
                <w:color w:val="auto"/>
                <w:szCs w:val="21"/>
                <w:highlight w:val="none"/>
              </w:rPr>
              <w:t>电磁辐射</w:t>
            </w:r>
          </w:p>
        </w:tc>
        <w:tc>
          <w:tcPr>
            <w:tcW w:w="1989" w:type="dxa"/>
            <w:gridSpan w:val="2"/>
            <w:noWrap w:val="0"/>
            <w:vAlign w:val="center"/>
          </w:tcPr>
          <w:p w14:paraId="300BC9F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Cs w:val="21"/>
                <w:highlight w:val="none"/>
              </w:rPr>
            </w:pPr>
            <w:r>
              <w:rPr>
                <w:color w:val="auto"/>
                <w:szCs w:val="21"/>
                <w:highlight w:val="none"/>
              </w:rPr>
              <w:t>/</w:t>
            </w:r>
          </w:p>
        </w:tc>
        <w:tc>
          <w:tcPr>
            <w:tcW w:w="1311" w:type="dxa"/>
            <w:noWrap w:val="0"/>
            <w:vAlign w:val="center"/>
          </w:tcPr>
          <w:p w14:paraId="1136378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Cs w:val="21"/>
                <w:highlight w:val="none"/>
              </w:rPr>
            </w:pPr>
            <w:r>
              <w:rPr>
                <w:color w:val="auto"/>
                <w:szCs w:val="21"/>
                <w:highlight w:val="none"/>
              </w:rPr>
              <w:t>/</w:t>
            </w:r>
          </w:p>
        </w:tc>
        <w:tc>
          <w:tcPr>
            <w:tcW w:w="1860" w:type="dxa"/>
            <w:noWrap w:val="0"/>
            <w:vAlign w:val="center"/>
          </w:tcPr>
          <w:p w14:paraId="74B35AB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Cs w:val="21"/>
                <w:highlight w:val="none"/>
              </w:rPr>
            </w:pPr>
            <w:r>
              <w:rPr>
                <w:color w:val="auto"/>
                <w:szCs w:val="21"/>
                <w:highlight w:val="none"/>
              </w:rPr>
              <w:t>/</w:t>
            </w:r>
          </w:p>
        </w:tc>
        <w:tc>
          <w:tcPr>
            <w:tcW w:w="1862" w:type="dxa"/>
            <w:noWrap w:val="0"/>
            <w:vAlign w:val="center"/>
          </w:tcPr>
          <w:p w14:paraId="70A6C5B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Cs w:val="21"/>
                <w:highlight w:val="none"/>
              </w:rPr>
            </w:pPr>
            <w:r>
              <w:rPr>
                <w:color w:val="auto"/>
                <w:szCs w:val="21"/>
                <w:highlight w:val="none"/>
              </w:rPr>
              <w:t>/</w:t>
            </w:r>
          </w:p>
        </w:tc>
      </w:tr>
      <w:tr w14:paraId="406279E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778" w:type="dxa"/>
            <w:noWrap w:val="0"/>
            <w:vAlign w:val="center"/>
          </w:tcPr>
          <w:p w14:paraId="319777A9">
            <w:pPr>
              <w:adjustRightInd w:val="0"/>
              <w:snapToGrid w:val="0"/>
              <w:spacing w:line="240" w:lineRule="auto"/>
              <w:jc w:val="center"/>
              <w:rPr>
                <w:color w:val="auto"/>
                <w:szCs w:val="21"/>
                <w:highlight w:val="none"/>
              </w:rPr>
            </w:pPr>
            <w:r>
              <w:rPr>
                <w:color w:val="auto"/>
                <w:szCs w:val="21"/>
                <w:highlight w:val="none"/>
              </w:rPr>
              <w:t>固体废物</w:t>
            </w:r>
          </w:p>
        </w:tc>
        <w:tc>
          <w:tcPr>
            <w:tcW w:w="7022" w:type="dxa"/>
            <w:gridSpan w:val="5"/>
            <w:noWrap w:val="0"/>
            <w:vAlign w:val="center"/>
          </w:tcPr>
          <w:p w14:paraId="4A32F864">
            <w:pPr>
              <w:spacing w:line="240" w:lineRule="auto"/>
              <w:jc w:val="center"/>
              <w:rPr>
                <w:color w:val="auto"/>
                <w:highlight w:val="none"/>
              </w:rPr>
            </w:pPr>
            <w:r>
              <w:rPr>
                <w:rFonts w:ascii="Times New Roman" w:hAnsi="Times New Roman" w:cs="Times New Roman"/>
                <w:color w:val="auto"/>
                <w:spacing w:val="-3"/>
                <w:sz w:val="21"/>
                <w:szCs w:val="21"/>
              </w:rPr>
              <w:t>除尘灰、废</w:t>
            </w:r>
            <w:r>
              <w:rPr>
                <w:rFonts w:hint="eastAsia" w:ascii="Times New Roman" w:hAnsi="Times New Roman" w:cs="Times New Roman"/>
                <w:color w:val="auto"/>
                <w:spacing w:val="-3"/>
                <w:sz w:val="21"/>
                <w:szCs w:val="21"/>
                <w:lang w:eastAsia="zh-CN"/>
              </w:rPr>
              <w:t>木</w:t>
            </w:r>
            <w:r>
              <w:rPr>
                <w:rFonts w:ascii="Times New Roman" w:hAnsi="Times New Roman" w:cs="Times New Roman"/>
                <w:color w:val="auto"/>
                <w:spacing w:val="-3"/>
                <w:sz w:val="21"/>
                <w:szCs w:val="21"/>
              </w:rPr>
              <w:t>料</w:t>
            </w:r>
            <w:r>
              <w:rPr>
                <w:rFonts w:hint="eastAsia" w:ascii="Times New Roman" w:hAnsi="Times New Roman" w:cs="Times New Roman"/>
                <w:color w:val="auto"/>
                <w:spacing w:val="-3"/>
                <w:sz w:val="21"/>
                <w:szCs w:val="21"/>
                <w:lang w:eastAsia="zh-CN"/>
              </w:rPr>
              <w:t>、地面收集尘、废包装膜</w:t>
            </w:r>
            <w:r>
              <w:rPr>
                <w:rFonts w:ascii="Times New Roman" w:hAnsi="Times New Roman" w:cs="Times New Roman"/>
                <w:color w:val="auto"/>
                <w:spacing w:val="-7"/>
                <w:sz w:val="21"/>
                <w:szCs w:val="21"/>
              </w:rPr>
              <w:t>暂存于一般固废</w:t>
            </w:r>
            <w:r>
              <w:rPr>
                <w:rFonts w:hint="eastAsia" w:ascii="Times New Roman" w:hAnsi="Times New Roman" w:cs="Times New Roman"/>
                <w:color w:val="auto"/>
                <w:spacing w:val="-7"/>
                <w:sz w:val="21"/>
                <w:szCs w:val="21"/>
                <w:lang w:eastAsia="zh-CN"/>
              </w:rPr>
              <w:t>暂存</w:t>
            </w:r>
            <w:r>
              <w:rPr>
                <w:rFonts w:ascii="Times New Roman" w:hAnsi="Times New Roman" w:cs="Times New Roman"/>
                <w:color w:val="auto"/>
                <w:spacing w:val="-7"/>
                <w:sz w:val="21"/>
                <w:szCs w:val="21"/>
              </w:rPr>
              <w:t>间，定期外售处置</w:t>
            </w:r>
            <w:r>
              <w:rPr>
                <w:rFonts w:hint="eastAsia" w:ascii="Times New Roman" w:hAnsi="Times New Roman" w:cs="Times New Roman"/>
                <w:color w:val="auto"/>
                <w:spacing w:val="-7"/>
                <w:sz w:val="21"/>
                <w:szCs w:val="21"/>
                <w:lang w:eastAsia="zh-CN"/>
              </w:rPr>
              <w:t>；废布袋由厂家更换回收</w:t>
            </w:r>
            <w:r>
              <w:rPr>
                <w:rFonts w:ascii="Times New Roman" w:hAnsi="Times New Roman" w:cs="Times New Roman"/>
                <w:color w:val="auto"/>
                <w:spacing w:val="-7"/>
                <w:sz w:val="21"/>
                <w:szCs w:val="21"/>
              </w:rPr>
              <w:t>。生活垃圾集中收集后统一交环卫部门清运。</w:t>
            </w:r>
            <w:r>
              <w:rPr>
                <w:rFonts w:ascii="Times New Roman" w:hAnsi="Times New Roman" w:cs="Times New Roman"/>
                <w:color w:val="auto"/>
                <w:spacing w:val="-7"/>
                <w:sz w:val="21"/>
                <w:szCs w:val="21"/>
              </w:rPr>
              <w:t>废活性炭、</w:t>
            </w:r>
            <w:r>
              <w:rPr>
                <w:rFonts w:hint="eastAsia"/>
                <w:color w:val="auto"/>
                <w:kern w:val="0"/>
                <w:sz w:val="21"/>
                <w:szCs w:val="21"/>
                <w:highlight w:val="none"/>
                <w:lang w:eastAsia="zh-CN"/>
              </w:rPr>
              <w:t>废</w:t>
            </w:r>
            <w:r>
              <w:rPr>
                <w:rFonts w:hint="eastAsia"/>
                <w:color w:val="auto"/>
                <w:kern w:val="0"/>
                <w:sz w:val="21"/>
                <w:szCs w:val="21"/>
                <w:highlight w:val="none"/>
                <w:lang w:val="en-US" w:eastAsia="zh-CN"/>
              </w:rPr>
              <w:t>UV灯管、</w:t>
            </w:r>
            <w:r>
              <w:rPr>
                <w:rFonts w:hint="eastAsia"/>
                <w:color w:val="auto"/>
                <w:kern w:val="0"/>
                <w:sz w:val="21"/>
                <w:szCs w:val="21"/>
                <w:highlight w:val="none"/>
                <w:lang w:eastAsia="zh-CN"/>
              </w:rPr>
              <w:t>废胶渣</w:t>
            </w:r>
            <w:r>
              <w:rPr>
                <w:rFonts w:hint="eastAsia" w:ascii="Times New Roman" w:hAnsi="Times New Roman" w:cs="Times New Roman"/>
                <w:color w:val="auto"/>
                <w:spacing w:val="-7"/>
                <w:sz w:val="21"/>
                <w:szCs w:val="21"/>
                <w:lang w:eastAsia="zh-CN"/>
              </w:rPr>
              <w:t>、</w:t>
            </w:r>
            <w:r>
              <w:rPr>
                <w:rFonts w:hint="eastAsia" w:ascii="Times New Roman" w:hAnsi="Times New Roman" w:eastAsia="宋体" w:cs="Times New Roman"/>
                <w:color w:val="auto"/>
                <w:kern w:val="0"/>
                <w:sz w:val="21"/>
                <w:szCs w:val="21"/>
                <w:highlight w:val="none"/>
                <w:lang w:val="en-US" w:eastAsia="zh-CN"/>
              </w:rPr>
              <w:t>废漆（胶）桶、</w:t>
            </w:r>
            <w:r>
              <w:rPr>
                <w:rFonts w:hint="eastAsia" w:ascii="Times New Roman" w:hAnsi="Times New Roman" w:cs="Times New Roman"/>
                <w:color w:val="auto"/>
                <w:spacing w:val="-7"/>
                <w:sz w:val="21"/>
                <w:szCs w:val="21"/>
                <w:lang w:eastAsia="zh-CN"/>
              </w:rPr>
              <w:t>漆渣、</w:t>
            </w:r>
            <w:r>
              <w:rPr>
                <w:rFonts w:hint="eastAsia"/>
                <w:color w:val="auto"/>
                <w:spacing w:val="9"/>
                <w:lang w:eastAsia="zh-CN"/>
              </w:rPr>
              <w:t>暂</w:t>
            </w:r>
            <w:r>
              <w:rPr>
                <w:color w:val="auto"/>
                <w:spacing w:val="9"/>
              </w:rPr>
              <w:t>存于</w:t>
            </w:r>
            <w:r>
              <w:rPr>
                <w:rFonts w:hint="eastAsia" w:ascii="Times New Roman" w:hAnsi="Times New Roman" w:eastAsia="宋体" w:cs="Times New Roman"/>
                <w:color w:val="auto"/>
                <w:spacing w:val="9"/>
                <w:lang w:val="en-US" w:eastAsia="zh-CN"/>
              </w:rPr>
              <w:t>15m</w:t>
            </w:r>
            <w:r>
              <w:rPr>
                <w:rFonts w:hint="eastAsia" w:ascii="Times New Roman" w:hAnsi="Times New Roman" w:eastAsia="宋体" w:cs="Times New Roman"/>
                <w:color w:val="auto"/>
                <w:spacing w:val="9"/>
                <w:vertAlign w:val="superscript"/>
                <w:lang w:val="en-US" w:eastAsia="zh-CN"/>
              </w:rPr>
              <w:t>2</w:t>
            </w:r>
            <w:r>
              <w:rPr>
                <w:color w:val="auto"/>
                <w:spacing w:val="9"/>
              </w:rPr>
              <w:t>的</w:t>
            </w:r>
            <w:r>
              <w:rPr>
                <w:rFonts w:hint="eastAsia"/>
                <w:color w:val="auto"/>
                <w:spacing w:val="9"/>
                <w:lang w:eastAsia="zh-CN"/>
              </w:rPr>
              <w:t>危险废物贮存点，定期交有资质单位处置；废辊筒</w:t>
            </w:r>
            <w:r>
              <w:rPr>
                <w:rFonts w:hint="eastAsia" w:ascii="Times New Roman" w:hAnsi="Times New Roman" w:eastAsia="宋体" w:cs="Times New Roman"/>
                <w:color w:val="auto"/>
                <w:kern w:val="0"/>
                <w:sz w:val="21"/>
                <w:szCs w:val="21"/>
                <w:lang w:val="en-US" w:eastAsia="zh-CN" w:bidi="ar"/>
              </w:rPr>
              <w:t>不在厂内贮存</w:t>
            </w:r>
            <w:r>
              <w:rPr>
                <w:rFonts w:hint="default" w:ascii="Times New Roman" w:hAnsi="Times New Roman" w:eastAsia="宋体" w:cs="Times New Roman"/>
                <w:color w:val="auto"/>
                <w:kern w:val="0"/>
                <w:sz w:val="21"/>
                <w:szCs w:val="21"/>
                <w:lang w:val="en-US" w:eastAsia="zh-CN" w:bidi="ar"/>
              </w:rPr>
              <w:t>，</w:t>
            </w:r>
            <w:r>
              <w:rPr>
                <w:rFonts w:hint="eastAsia" w:ascii="Times New Roman" w:hAnsi="Times New Roman" w:eastAsia="宋体" w:cs="Times New Roman"/>
                <w:color w:val="auto"/>
                <w:kern w:val="0"/>
                <w:sz w:val="21"/>
                <w:szCs w:val="21"/>
                <w:lang w:val="en-US" w:eastAsia="zh-CN" w:bidi="ar"/>
              </w:rPr>
              <w:t>由</w:t>
            </w:r>
            <w:r>
              <w:rPr>
                <w:rFonts w:hint="eastAsia" w:ascii="Times New Roman" w:hAnsi="宋体" w:eastAsia="宋体" w:cs="Times New Roman"/>
                <w:color w:val="auto"/>
                <w:kern w:val="0"/>
                <w:sz w:val="21"/>
                <w:szCs w:val="21"/>
                <w:highlight w:val="none"/>
              </w:rPr>
              <w:t>委托</w:t>
            </w:r>
            <w:r>
              <w:rPr>
                <w:rFonts w:hint="eastAsia" w:ascii="Times New Roman" w:hAnsi="宋体" w:eastAsia="宋体" w:cs="Times New Roman"/>
                <w:color w:val="auto"/>
                <w:kern w:val="0"/>
                <w:sz w:val="21"/>
                <w:szCs w:val="21"/>
                <w:highlight w:val="none"/>
                <w:lang w:eastAsia="zh-CN"/>
              </w:rPr>
              <w:t>的</w:t>
            </w:r>
            <w:r>
              <w:rPr>
                <w:rFonts w:hint="eastAsia" w:ascii="Times New Roman" w:hAnsi="宋体" w:eastAsia="宋体" w:cs="Times New Roman"/>
                <w:color w:val="auto"/>
                <w:kern w:val="0"/>
                <w:sz w:val="21"/>
                <w:szCs w:val="21"/>
                <w:highlight w:val="none"/>
              </w:rPr>
              <w:t>资质单位</w:t>
            </w:r>
            <w:r>
              <w:rPr>
                <w:rFonts w:hint="eastAsia" w:ascii="Times New Roman" w:hAnsi="宋体" w:eastAsia="宋体" w:cs="Times New Roman"/>
                <w:color w:val="auto"/>
                <w:kern w:val="0"/>
                <w:sz w:val="21"/>
                <w:szCs w:val="21"/>
                <w:highlight w:val="none"/>
                <w:lang w:eastAsia="zh-CN"/>
              </w:rPr>
              <w:t>直接运走</w:t>
            </w:r>
            <w:r>
              <w:rPr>
                <w:rFonts w:hint="eastAsia" w:ascii="Times New Roman" w:hAnsi="宋体" w:eastAsia="宋体" w:cs="Times New Roman"/>
                <w:color w:val="auto"/>
                <w:kern w:val="0"/>
                <w:sz w:val="21"/>
                <w:szCs w:val="21"/>
                <w:highlight w:val="none"/>
              </w:rPr>
              <w:t>处置</w:t>
            </w:r>
          </w:p>
        </w:tc>
      </w:tr>
      <w:tr w14:paraId="63C047A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778" w:type="dxa"/>
            <w:noWrap w:val="0"/>
            <w:vAlign w:val="center"/>
          </w:tcPr>
          <w:p w14:paraId="3B66C050">
            <w:pPr>
              <w:adjustRightInd w:val="0"/>
              <w:snapToGrid w:val="0"/>
              <w:spacing w:line="240" w:lineRule="auto"/>
              <w:jc w:val="center"/>
              <w:rPr>
                <w:color w:val="auto"/>
                <w:szCs w:val="21"/>
                <w:highlight w:val="none"/>
              </w:rPr>
            </w:pPr>
            <w:r>
              <w:rPr>
                <w:color w:val="auto"/>
                <w:szCs w:val="21"/>
                <w:highlight w:val="none"/>
              </w:rPr>
              <w:t>土壤及地下水</w:t>
            </w:r>
          </w:p>
          <w:p w14:paraId="6AF41548">
            <w:pPr>
              <w:adjustRightInd w:val="0"/>
              <w:snapToGrid w:val="0"/>
              <w:spacing w:line="240" w:lineRule="auto"/>
              <w:jc w:val="center"/>
              <w:rPr>
                <w:color w:val="auto"/>
                <w:szCs w:val="21"/>
                <w:highlight w:val="none"/>
              </w:rPr>
            </w:pPr>
            <w:r>
              <w:rPr>
                <w:color w:val="auto"/>
                <w:szCs w:val="21"/>
                <w:highlight w:val="none"/>
              </w:rPr>
              <w:t>污染防治措施</w:t>
            </w:r>
          </w:p>
        </w:tc>
        <w:tc>
          <w:tcPr>
            <w:tcW w:w="7022" w:type="dxa"/>
            <w:gridSpan w:val="5"/>
            <w:noWrap w:val="0"/>
            <w:vAlign w:val="center"/>
          </w:tcPr>
          <w:p w14:paraId="737B8882">
            <w:pPr>
              <w:adjustRightInd w:val="0"/>
              <w:snapToGrid w:val="0"/>
              <w:spacing w:line="240" w:lineRule="auto"/>
              <w:jc w:val="center"/>
              <w:rPr>
                <w:rFonts w:hint="eastAsia"/>
                <w:color w:val="auto"/>
                <w:szCs w:val="21"/>
                <w:highlight w:val="none"/>
              </w:rPr>
            </w:pPr>
            <w:r>
              <w:rPr>
                <w:rFonts w:ascii="Times New Roman" w:hAnsi="Times New Roman" w:cs="Times New Roman"/>
                <w:color w:val="auto"/>
                <w:spacing w:val="-3"/>
                <w:sz w:val="21"/>
                <w:szCs w:val="21"/>
              </w:rPr>
              <w:t>项目采取分区防渗措施。</w:t>
            </w:r>
            <w:r>
              <w:rPr>
                <w:rFonts w:hint="eastAsia" w:ascii="Times New Roman" w:hAnsi="Times New Roman" w:eastAsia="宋体" w:cs="Times New Roman"/>
                <w:color w:val="auto"/>
                <w:szCs w:val="21"/>
                <w:highlight w:val="none"/>
                <w:lang w:eastAsia="zh-CN"/>
              </w:rPr>
              <w:t>办公楼、厂区道路</w:t>
            </w:r>
            <w:r>
              <w:rPr>
                <w:rFonts w:ascii="Times New Roman" w:hAnsi="Times New Roman" w:cs="Times New Roman"/>
                <w:color w:val="auto"/>
                <w:spacing w:val="-3"/>
                <w:sz w:val="21"/>
                <w:szCs w:val="21"/>
              </w:rPr>
              <w:t>采取地面硬化处理等简</w:t>
            </w:r>
            <w:r>
              <w:rPr>
                <w:rFonts w:ascii="Times New Roman" w:hAnsi="Times New Roman" w:cs="Times New Roman"/>
                <w:color w:val="auto"/>
                <w:spacing w:val="-5"/>
                <w:sz w:val="21"/>
                <w:szCs w:val="21"/>
              </w:rPr>
              <w:t>单</w:t>
            </w:r>
            <w:r>
              <w:rPr>
                <w:rFonts w:hint="eastAsia" w:ascii="Times New Roman" w:hAnsi="Times New Roman" w:cs="Times New Roman"/>
                <w:color w:val="auto"/>
                <w:spacing w:val="-5"/>
                <w:sz w:val="21"/>
                <w:szCs w:val="21"/>
                <w:lang w:eastAsia="zh-CN"/>
              </w:rPr>
              <w:t>防渗</w:t>
            </w:r>
            <w:r>
              <w:rPr>
                <w:rFonts w:ascii="Times New Roman" w:hAnsi="Times New Roman" w:cs="Times New Roman"/>
                <w:color w:val="auto"/>
                <w:spacing w:val="-5"/>
                <w:sz w:val="21"/>
                <w:szCs w:val="21"/>
              </w:rPr>
              <w:t>；</w:t>
            </w:r>
            <w:r>
              <w:rPr>
                <w:rFonts w:hint="eastAsia" w:ascii="Times New Roman" w:hAnsi="Times New Roman" w:eastAsia="宋体" w:cs="Times New Roman"/>
                <w:color w:val="auto"/>
                <w:spacing w:val="9"/>
                <w:lang w:eastAsia="zh-CN"/>
              </w:rPr>
              <w:t>生产车间（除危险废物贮存点外的其他区域）、材料库和一般固废暂存间</w:t>
            </w:r>
            <w:r>
              <w:rPr>
                <w:rFonts w:ascii="Times New Roman" w:hAnsi="Times New Roman" w:cs="Times New Roman"/>
                <w:color w:val="auto"/>
                <w:spacing w:val="-5"/>
                <w:sz w:val="21"/>
                <w:szCs w:val="21"/>
              </w:rPr>
              <w:t>做一般防渗处理，满足防渗要</w:t>
            </w:r>
            <w:r>
              <w:rPr>
                <w:rFonts w:ascii="Times New Roman" w:hAnsi="Times New Roman" w:cs="Times New Roman"/>
                <w:color w:val="auto"/>
                <w:spacing w:val="-6"/>
                <w:sz w:val="21"/>
                <w:szCs w:val="21"/>
              </w:rPr>
              <w:t>求等效黏土防渗层Mb≥1.5</w:t>
            </w:r>
            <w:r>
              <w:rPr>
                <w:rFonts w:ascii="Times New Roman" w:hAnsi="Times New Roman" w:cs="Times New Roman"/>
                <w:color w:val="auto"/>
                <w:spacing w:val="12"/>
                <w:sz w:val="21"/>
                <w:szCs w:val="21"/>
              </w:rPr>
              <w:t>米，K≤10</w:t>
            </w:r>
            <w:r>
              <w:rPr>
                <w:rFonts w:hint="eastAsia" w:ascii="Times New Roman" w:hAnsi="Times New Roman" w:cs="Times New Roman"/>
                <w:color w:val="auto"/>
                <w:spacing w:val="12"/>
                <w:sz w:val="21"/>
                <w:szCs w:val="21"/>
                <w:vertAlign w:val="superscript"/>
                <w:lang w:eastAsia="zh-CN"/>
              </w:rPr>
              <w:t>-7</w:t>
            </w:r>
            <w:r>
              <w:rPr>
                <w:rFonts w:ascii="Times New Roman" w:hAnsi="Times New Roman" w:cs="Times New Roman"/>
                <w:color w:val="auto"/>
                <w:sz w:val="21"/>
                <w:szCs w:val="21"/>
              </w:rPr>
              <w:t>cm</w:t>
            </w:r>
            <w:r>
              <w:rPr>
                <w:rFonts w:ascii="Times New Roman" w:hAnsi="Times New Roman" w:cs="Times New Roman"/>
                <w:color w:val="auto"/>
                <w:spacing w:val="12"/>
                <w:sz w:val="21"/>
                <w:szCs w:val="21"/>
              </w:rPr>
              <w:t>/s；</w:t>
            </w:r>
            <w:r>
              <w:rPr>
                <w:rFonts w:hint="eastAsia" w:ascii="Times New Roman" w:hAnsi="Times New Roman" w:eastAsia="宋体" w:cs="Times New Roman"/>
                <w:color w:val="auto"/>
                <w:szCs w:val="21"/>
                <w:highlight w:val="none"/>
                <w:lang w:eastAsia="zh-CN"/>
              </w:rPr>
              <w:t>生产车间（危险废物贮存点）</w:t>
            </w:r>
            <w:r>
              <w:rPr>
                <w:rFonts w:ascii="Times New Roman" w:hAnsi="Times New Roman" w:cs="Times New Roman"/>
                <w:color w:val="auto"/>
                <w:spacing w:val="12"/>
                <w:sz w:val="21"/>
                <w:szCs w:val="21"/>
              </w:rPr>
              <w:t>为重点防渗区，满足</w:t>
            </w:r>
            <w:r>
              <w:rPr>
                <w:rFonts w:ascii="Times New Roman" w:hAnsi="Times New Roman" w:cs="Times New Roman"/>
                <w:color w:val="auto"/>
                <w:spacing w:val="11"/>
                <w:sz w:val="21"/>
                <w:szCs w:val="21"/>
              </w:rPr>
              <w:t>防渗要求等效黏土防渗层</w:t>
            </w:r>
            <w:r>
              <w:rPr>
                <w:rFonts w:ascii="Times New Roman" w:hAnsi="Times New Roman" w:cs="Times New Roman"/>
                <w:color w:val="auto"/>
                <w:spacing w:val="-2"/>
                <w:sz w:val="21"/>
                <w:szCs w:val="21"/>
              </w:rPr>
              <w:t>Mb≧6.0m，K≤10</w:t>
            </w:r>
            <w:r>
              <w:rPr>
                <w:rFonts w:hint="eastAsia" w:ascii="Times New Roman" w:hAnsi="Times New Roman" w:cs="Times New Roman"/>
                <w:color w:val="auto"/>
                <w:spacing w:val="-2"/>
                <w:sz w:val="21"/>
                <w:szCs w:val="21"/>
                <w:vertAlign w:val="superscript"/>
                <w:lang w:eastAsia="zh-CN"/>
              </w:rPr>
              <w:t>-7</w:t>
            </w:r>
            <w:r>
              <w:rPr>
                <w:rFonts w:ascii="Times New Roman" w:hAnsi="Times New Roman" w:cs="Times New Roman"/>
                <w:color w:val="auto"/>
                <w:spacing w:val="-2"/>
                <w:sz w:val="21"/>
                <w:szCs w:val="21"/>
              </w:rPr>
              <w:t>cm/s</w:t>
            </w:r>
          </w:p>
        </w:tc>
      </w:tr>
      <w:tr w14:paraId="4BF3C0D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49" w:hRule="atLeast"/>
          <w:jc w:val="center"/>
        </w:trPr>
        <w:tc>
          <w:tcPr>
            <w:tcW w:w="1778" w:type="dxa"/>
            <w:noWrap w:val="0"/>
            <w:vAlign w:val="center"/>
          </w:tcPr>
          <w:p w14:paraId="1E908774">
            <w:pPr>
              <w:adjustRightInd w:val="0"/>
              <w:snapToGrid w:val="0"/>
              <w:jc w:val="center"/>
              <w:rPr>
                <w:color w:val="auto"/>
                <w:szCs w:val="21"/>
                <w:highlight w:val="none"/>
              </w:rPr>
            </w:pPr>
            <w:r>
              <w:rPr>
                <w:color w:val="auto"/>
                <w:szCs w:val="21"/>
                <w:highlight w:val="none"/>
              </w:rPr>
              <w:t>生态保护措施</w:t>
            </w:r>
          </w:p>
        </w:tc>
        <w:tc>
          <w:tcPr>
            <w:tcW w:w="7022" w:type="dxa"/>
            <w:gridSpan w:val="5"/>
            <w:noWrap w:val="0"/>
            <w:vAlign w:val="center"/>
          </w:tcPr>
          <w:p w14:paraId="5AD9348C">
            <w:pPr>
              <w:adjustRightInd w:val="0"/>
              <w:snapToGrid w:val="0"/>
              <w:jc w:val="center"/>
              <w:rPr>
                <w:color w:val="auto"/>
                <w:szCs w:val="21"/>
                <w:highlight w:val="none"/>
              </w:rPr>
            </w:pPr>
            <w:r>
              <w:rPr>
                <w:color w:val="auto"/>
                <w:szCs w:val="21"/>
                <w:highlight w:val="none"/>
              </w:rPr>
              <w:t>不涉及</w:t>
            </w:r>
          </w:p>
        </w:tc>
      </w:tr>
      <w:tr w14:paraId="15303B7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778" w:type="dxa"/>
            <w:noWrap w:val="0"/>
            <w:vAlign w:val="center"/>
          </w:tcPr>
          <w:p w14:paraId="73F978EF">
            <w:pPr>
              <w:adjustRightInd w:val="0"/>
              <w:snapToGrid w:val="0"/>
              <w:spacing w:line="240" w:lineRule="auto"/>
              <w:jc w:val="center"/>
              <w:rPr>
                <w:color w:val="auto"/>
                <w:spacing w:val="-8"/>
                <w:szCs w:val="21"/>
                <w:highlight w:val="none"/>
              </w:rPr>
            </w:pPr>
            <w:r>
              <w:rPr>
                <w:color w:val="auto"/>
                <w:spacing w:val="-8"/>
                <w:szCs w:val="21"/>
                <w:highlight w:val="none"/>
              </w:rPr>
              <w:t>环境风险</w:t>
            </w:r>
          </w:p>
          <w:p w14:paraId="2B6CA127">
            <w:pPr>
              <w:adjustRightInd w:val="0"/>
              <w:snapToGrid w:val="0"/>
              <w:spacing w:line="240" w:lineRule="auto"/>
              <w:jc w:val="center"/>
              <w:rPr>
                <w:color w:val="auto"/>
                <w:spacing w:val="-8"/>
                <w:szCs w:val="21"/>
                <w:highlight w:val="none"/>
              </w:rPr>
            </w:pPr>
            <w:r>
              <w:rPr>
                <w:color w:val="auto"/>
                <w:spacing w:val="-8"/>
                <w:szCs w:val="21"/>
                <w:highlight w:val="none"/>
              </w:rPr>
              <w:t>防范措施</w:t>
            </w:r>
          </w:p>
        </w:tc>
        <w:tc>
          <w:tcPr>
            <w:tcW w:w="7022" w:type="dxa"/>
            <w:gridSpan w:val="5"/>
            <w:noWrap w:val="0"/>
            <w:vAlign w:val="center"/>
          </w:tcPr>
          <w:p w14:paraId="2C4CE560">
            <w:pPr>
              <w:adjustRightInd w:val="0"/>
              <w:snapToGrid w:val="0"/>
              <w:spacing w:line="240" w:lineRule="auto"/>
              <w:jc w:val="center"/>
              <w:rPr>
                <w:color w:val="auto"/>
                <w:szCs w:val="21"/>
                <w:highlight w:val="none"/>
              </w:rPr>
            </w:pPr>
            <w:r>
              <w:rPr>
                <w:rFonts w:ascii="Times New Roman" w:hAnsi="Times New Roman" w:cs="Times New Roman"/>
                <w:color w:val="auto"/>
                <w:spacing w:val="-3"/>
                <w:sz w:val="21"/>
                <w:szCs w:val="21"/>
              </w:rPr>
              <w:t>本</w:t>
            </w:r>
            <w:r>
              <w:rPr>
                <w:rFonts w:ascii="Times New Roman" w:hAnsi="Times New Roman" w:cs="Times New Roman"/>
                <w:color w:val="auto"/>
                <w:spacing w:val="-3"/>
                <w:sz w:val="21"/>
                <w:szCs w:val="21"/>
                <w:lang w:eastAsia="zh-CN"/>
              </w:rPr>
              <w:t>项目的</w:t>
            </w:r>
            <w:r>
              <w:rPr>
                <w:rFonts w:hint="eastAsia" w:ascii="Times New Roman" w:hAnsi="Times New Roman" w:cs="Times New Roman"/>
                <w:color w:val="auto"/>
                <w:spacing w:val="-3"/>
                <w:sz w:val="21"/>
                <w:szCs w:val="21"/>
                <w:lang w:eastAsia="zh-CN"/>
              </w:rPr>
              <w:t>风</w:t>
            </w:r>
            <w:r>
              <w:rPr>
                <w:rFonts w:ascii="Times New Roman" w:hAnsi="Times New Roman" w:cs="Times New Roman"/>
                <w:color w:val="auto"/>
                <w:spacing w:val="-3"/>
                <w:sz w:val="21"/>
                <w:szCs w:val="21"/>
                <w:lang w:eastAsia="zh-CN"/>
              </w:rPr>
              <w:t>险物质主要为</w:t>
            </w:r>
            <w:r>
              <w:rPr>
                <w:rFonts w:hint="eastAsia" w:ascii="Times New Roman" w:hAnsi="Times New Roman" w:cs="Times New Roman"/>
                <w:color w:val="auto"/>
                <w:spacing w:val="-3"/>
                <w:sz w:val="21"/>
                <w:szCs w:val="21"/>
                <w:lang w:eastAsia="zh-CN"/>
              </w:rPr>
              <w:t>漆料</w:t>
            </w:r>
            <w:r>
              <w:rPr>
                <w:rFonts w:ascii="Times New Roman" w:hAnsi="Times New Roman" w:cs="Times New Roman"/>
                <w:color w:val="auto"/>
                <w:spacing w:val="-3"/>
                <w:sz w:val="21"/>
                <w:szCs w:val="21"/>
                <w:lang w:eastAsia="zh-CN"/>
              </w:rPr>
              <w:t>。由于其使用量及存储量很小，主要风险为小范围</w:t>
            </w:r>
            <w:r>
              <w:rPr>
                <w:rFonts w:hint="eastAsia" w:ascii="Times New Roman" w:hAnsi="Times New Roman" w:cs="Times New Roman"/>
                <w:color w:val="auto"/>
                <w:spacing w:val="-3"/>
                <w:sz w:val="21"/>
                <w:szCs w:val="21"/>
                <w:lang w:eastAsia="zh-CN"/>
              </w:rPr>
              <w:t>泄漏</w:t>
            </w:r>
            <w:r>
              <w:rPr>
                <w:rFonts w:ascii="Times New Roman" w:hAnsi="Times New Roman" w:cs="Times New Roman"/>
                <w:color w:val="auto"/>
                <w:spacing w:val="-3"/>
                <w:sz w:val="21"/>
                <w:szCs w:val="21"/>
                <w:lang w:eastAsia="zh-CN"/>
              </w:rPr>
              <w:t>，可及时控制，不会对地表水、地下水、土壤等产生影响</w:t>
            </w:r>
          </w:p>
        </w:tc>
      </w:tr>
      <w:tr w14:paraId="7BE0B53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02" w:hRule="atLeast"/>
          <w:jc w:val="center"/>
        </w:trPr>
        <w:tc>
          <w:tcPr>
            <w:tcW w:w="1778" w:type="dxa"/>
            <w:noWrap w:val="0"/>
            <w:vAlign w:val="center"/>
          </w:tcPr>
          <w:p w14:paraId="16690C1B">
            <w:pPr>
              <w:adjustRightInd w:val="0"/>
              <w:snapToGrid w:val="0"/>
              <w:spacing w:line="240" w:lineRule="auto"/>
              <w:jc w:val="center"/>
              <w:rPr>
                <w:color w:val="auto"/>
                <w:spacing w:val="-8"/>
                <w:szCs w:val="21"/>
                <w:highlight w:val="none"/>
              </w:rPr>
            </w:pPr>
            <w:r>
              <w:rPr>
                <w:color w:val="auto"/>
                <w:spacing w:val="-8"/>
                <w:szCs w:val="21"/>
                <w:highlight w:val="none"/>
              </w:rPr>
              <w:t>其他环境</w:t>
            </w:r>
          </w:p>
          <w:p w14:paraId="3F76C292">
            <w:pPr>
              <w:adjustRightInd w:val="0"/>
              <w:snapToGrid w:val="0"/>
              <w:spacing w:line="240" w:lineRule="auto"/>
              <w:jc w:val="center"/>
              <w:rPr>
                <w:color w:val="auto"/>
                <w:spacing w:val="-8"/>
                <w:szCs w:val="21"/>
                <w:highlight w:val="none"/>
              </w:rPr>
            </w:pPr>
            <w:r>
              <w:rPr>
                <w:color w:val="auto"/>
                <w:spacing w:val="-8"/>
                <w:szCs w:val="21"/>
                <w:highlight w:val="none"/>
              </w:rPr>
              <w:t>管理要求</w:t>
            </w:r>
          </w:p>
        </w:tc>
        <w:tc>
          <w:tcPr>
            <w:tcW w:w="7022" w:type="dxa"/>
            <w:gridSpan w:val="5"/>
            <w:noWrap w:val="0"/>
            <w:vAlign w:val="center"/>
          </w:tcPr>
          <w:p w14:paraId="6F66DD89">
            <w:pPr>
              <w:spacing w:line="240" w:lineRule="auto"/>
              <w:ind w:firstLine="422" w:firstLineChars="200"/>
              <w:jc w:val="left"/>
              <w:rPr>
                <w:rFonts w:hint="eastAsia"/>
                <w:b/>
                <w:bCs/>
                <w:color w:val="auto"/>
                <w:szCs w:val="24"/>
              </w:rPr>
            </w:pPr>
            <w:r>
              <w:rPr>
                <w:rFonts w:hint="eastAsia"/>
                <w:b/>
                <w:bCs/>
                <w:color w:val="auto"/>
                <w:szCs w:val="24"/>
              </w:rPr>
              <w:t>1、环境管理要求</w:t>
            </w:r>
          </w:p>
          <w:p w14:paraId="5A584B80">
            <w:pPr>
              <w:spacing w:line="240" w:lineRule="auto"/>
              <w:ind w:firstLine="420" w:firstLineChars="200"/>
              <w:jc w:val="left"/>
              <w:rPr>
                <w:rFonts w:hint="eastAsia"/>
                <w:color w:val="auto"/>
                <w:szCs w:val="24"/>
              </w:rPr>
            </w:pPr>
            <w:r>
              <w:rPr>
                <w:rFonts w:hint="eastAsia"/>
                <w:color w:val="auto"/>
                <w:szCs w:val="24"/>
              </w:rPr>
              <w:t>①企业应做好环境教育和技术培训，</w:t>
            </w:r>
            <w:r>
              <w:rPr>
                <w:rFonts w:ascii="Times New Roman" w:hAnsi="Times New Roman" w:cs="Times New Roman"/>
                <w:color w:val="auto"/>
                <w:spacing w:val="-3"/>
                <w:sz w:val="21"/>
                <w:szCs w:val="21"/>
              </w:rPr>
              <w:t>组织学习和贯彻执行国家及地方的环保方针、政策、法令、条例，</w:t>
            </w:r>
            <w:r>
              <w:rPr>
                <w:rFonts w:hint="eastAsia" w:ascii="Times New Roman" w:hAnsi="Times New Roman" w:cs="Times New Roman"/>
                <w:color w:val="auto"/>
                <w:spacing w:val="-3"/>
                <w:sz w:val="21"/>
                <w:szCs w:val="21"/>
                <w:lang w:eastAsia="zh-CN"/>
              </w:rPr>
              <w:t>提升</w:t>
            </w:r>
            <w:r>
              <w:rPr>
                <w:rFonts w:hint="eastAsia"/>
                <w:color w:val="auto"/>
                <w:szCs w:val="24"/>
              </w:rPr>
              <w:t>员工的环保意识和技术水平，对员工定期进行环保培训，</w:t>
            </w:r>
            <w:r>
              <w:rPr>
                <w:rFonts w:hint="eastAsia"/>
                <w:color w:val="auto"/>
                <w:szCs w:val="24"/>
                <w:lang w:eastAsia="zh-CN"/>
              </w:rPr>
              <w:t>增强</w:t>
            </w:r>
            <w:r>
              <w:rPr>
                <w:rFonts w:hint="eastAsia"/>
                <w:color w:val="auto"/>
                <w:szCs w:val="24"/>
              </w:rPr>
              <w:t>全员的安全和环境保护意识。</w:t>
            </w:r>
          </w:p>
          <w:p w14:paraId="4D7688B4">
            <w:pPr>
              <w:spacing w:line="240" w:lineRule="auto"/>
              <w:ind w:firstLine="420" w:firstLineChars="200"/>
              <w:jc w:val="left"/>
              <w:rPr>
                <w:rFonts w:hint="eastAsia"/>
                <w:color w:val="auto"/>
                <w:szCs w:val="24"/>
              </w:rPr>
            </w:pPr>
            <w:r>
              <w:rPr>
                <w:rFonts w:hint="eastAsia"/>
                <w:color w:val="auto"/>
                <w:szCs w:val="24"/>
              </w:rPr>
              <w:t>②建设污染治理设施的管理、运行环境管理记录制度。建立健全岗位责任制，制定正确的操作规程、建立</w:t>
            </w:r>
            <w:r>
              <w:rPr>
                <w:rFonts w:hint="eastAsia"/>
                <w:color w:val="auto"/>
                <w:szCs w:val="24"/>
                <w:lang w:eastAsia="zh-CN"/>
              </w:rPr>
              <w:t>管理台账</w:t>
            </w:r>
            <w:r>
              <w:rPr>
                <w:rFonts w:hint="eastAsia"/>
                <w:color w:val="auto"/>
                <w:szCs w:val="24"/>
              </w:rPr>
              <w:t>，制定环境保护工作的长期规划。</w:t>
            </w:r>
          </w:p>
          <w:p w14:paraId="6D2E066F">
            <w:pPr>
              <w:spacing w:line="240" w:lineRule="auto"/>
              <w:ind w:firstLine="420" w:firstLineChars="200"/>
              <w:jc w:val="left"/>
              <w:rPr>
                <w:rFonts w:hint="eastAsia"/>
                <w:color w:val="auto"/>
                <w:szCs w:val="24"/>
              </w:rPr>
            </w:pPr>
            <w:r>
              <w:rPr>
                <w:rFonts w:hint="eastAsia"/>
                <w:color w:val="auto"/>
                <w:szCs w:val="24"/>
              </w:rPr>
              <w:t>③必须确保污染治理设施长期、稳定、有效地运行，不得擅自拆除或者闲置污染治理设施，不得故意不正常使用污染治理设施。定期对污染物处理排放设备进行维修、保养，严格控制污染物的排放。</w:t>
            </w:r>
          </w:p>
          <w:p w14:paraId="43AAA933">
            <w:pPr>
              <w:spacing w:line="240" w:lineRule="auto"/>
              <w:ind w:firstLine="422" w:firstLineChars="200"/>
              <w:jc w:val="left"/>
              <w:rPr>
                <w:rFonts w:hint="eastAsia"/>
                <w:b/>
                <w:bCs/>
                <w:color w:val="auto"/>
                <w:szCs w:val="24"/>
              </w:rPr>
            </w:pPr>
            <w:r>
              <w:rPr>
                <w:rFonts w:hint="eastAsia"/>
                <w:b/>
                <w:bCs/>
                <w:color w:val="auto"/>
                <w:szCs w:val="24"/>
              </w:rPr>
              <w:t>2、排污口及环保图形标识规范设置</w:t>
            </w:r>
          </w:p>
          <w:p w14:paraId="456D3B08">
            <w:pPr>
              <w:spacing w:line="240" w:lineRule="auto"/>
              <w:ind w:firstLine="420" w:firstLineChars="200"/>
              <w:jc w:val="left"/>
              <w:rPr>
                <w:color w:val="auto"/>
                <w:szCs w:val="24"/>
              </w:rPr>
            </w:pPr>
            <w:r>
              <w:rPr>
                <w:rFonts w:hint="eastAsia"/>
                <w:color w:val="auto"/>
                <w:szCs w:val="24"/>
              </w:rPr>
              <w:t>各污染排放口应按规范实施，明确采样口位置，设立环保图形标志、废气污染治理设施进出口均设置采样孔及采样平台；一般工业固体废物暂存</w:t>
            </w:r>
            <w:r>
              <w:rPr>
                <w:rFonts w:hint="eastAsia"/>
                <w:color w:val="auto"/>
                <w:szCs w:val="24"/>
                <w:lang w:eastAsia="zh-CN"/>
              </w:rPr>
              <w:t>间</w:t>
            </w:r>
            <w:r>
              <w:rPr>
                <w:rFonts w:hint="eastAsia"/>
                <w:color w:val="auto"/>
                <w:szCs w:val="24"/>
              </w:rPr>
              <w:t>及</w:t>
            </w:r>
            <w:r>
              <w:rPr>
                <w:rFonts w:hint="eastAsia"/>
                <w:color w:val="auto"/>
                <w:szCs w:val="24"/>
                <w:lang w:eastAsia="zh-CN"/>
              </w:rPr>
              <w:t>危险废物贮存点</w:t>
            </w:r>
            <w:r>
              <w:rPr>
                <w:rFonts w:hint="eastAsia"/>
                <w:color w:val="auto"/>
                <w:szCs w:val="24"/>
              </w:rPr>
              <w:t>设置环保图形标志；设置噪声相关环保图形标志。</w:t>
            </w:r>
          </w:p>
          <w:p w14:paraId="586D093B">
            <w:pPr>
              <w:spacing w:line="240" w:lineRule="auto"/>
              <w:ind w:firstLine="422" w:firstLineChars="200"/>
              <w:jc w:val="left"/>
              <w:rPr>
                <w:rFonts w:hint="eastAsia"/>
                <w:b/>
                <w:bCs/>
                <w:color w:val="auto"/>
                <w:szCs w:val="24"/>
              </w:rPr>
            </w:pPr>
            <w:r>
              <w:rPr>
                <w:rFonts w:hint="eastAsia"/>
                <w:b/>
                <w:bCs/>
                <w:color w:val="auto"/>
                <w:szCs w:val="24"/>
              </w:rPr>
              <w:t>3、排污许可管理</w:t>
            </w:r>
          </w:p>
          <w:p w14:paraId="49197625">
            <w:pPr>
              <w:spacing w:line="240" w:lineRule="auto"/>
              <w:ind w:firstLine="416" w:firstLineChars="200"/>
              <w:jc w:val="left"/>
              <w:rPr>
                <w:rFonts w:hint="eastAsia"/>
                <w:color w:val="auto"/>
                <w:szCs w:val="24"/>
              </w:rPr>
            </w:pPr>
            <w:r>
              <w:rPr>
                <w:rFonts w:ascii="Times New Roman" w:hAnsi="Times New Roman" w:cs="Times New Roman"/>
                <w:color w:val="auto"/>
                <w:spacing w:val="-1"/>
                <w:sz w:val="21"/>
                <w:szCs w:val="21"/>
              </w:rPr>
              <w:t>及时申请排污许可证</w:t>
            </w:r>
            <w:r>
              <w:rPr>
                <w:rFonts w:hint="eastAsia" w:ascii="Times New Roman" w:hAnsi="Times New Roman" w:cs="Times New Roman"/>
                <w:color w:val="auto"/>
                <w:spacing w:val="-1"/>
                <w:sz w:val="21"/>
                <w:szCs w:val="21"/>
                <w:lang w:eastAsia="zh-CN"/>
              </w:rPr>
              <w:t>或</w:t>
            </w:r>
            <w:r>
              <w:rPr>
                <w:rFonts w:hint="eastAsia"/>
                <w:color w:val="auto"/>
                <w:szCs w:val="24"/>
                <w:lang w:eastAsia="zh-CN"/>
              </w:rPr>
              <w:t>办理</w:t>
            </w:r>
            <w:r>
              <w:rPr>
                <w:rFonts w:hint="eastAsia"/>
                <w:color w:val="auto"/>
                <w:szCs w:val="24"/>
              </w:rPr>
              <w:t>排污许可登记管理相关手续。</w:t>
            </w:r>
          </w:p>
          <w:p w14:paraId="5F998E8B">
            <w:pPr>
              <w:spacing w:line="240" w:lineRule="auto"/>
              <w:ind w:firstLine="422" w:firstLineChars="200"/>
              <w:jc w:val="left"/>
              <w:rPr>
                <w:b/>
                <w:bCs/>
                <w:color w:val="auto"/>
                <w:szCs w:val="24"/>
              </w:rPr>
            </w:pPr>
            <w:r>
              <w:rPr>
                <w:rFonts w:hint="eastAsia"/>
                <w:b/>
                <w:bCs/>
                <w:color w:val="auto"/>
                <w:szCs w:val="24"/>
              </w:rPr>
              <w:t>4</w:t>
            </w:r>
            <w:r>
              <w:rPr>
                <w:b/>
                <w:bCs/>
                <w:color w:val="auto"/>
                <w:szCs w:val="24"/>
              </w:rPr>
              <w:t>、竣工环境保护验收</w:t>
            </w:r>
          </w:p>
          <w:p w14:paraId="1C96573C">
            <w:pPr>
              <w:spacing w:line="240" w:lineRule="auto"/>
              <w:ind w:firstLine="420" w:firstLineChars="200"/>
              <w:jc w:val="left"/>
              <w:rPr>
                <w:color w:val="auto"/>
                <w:szCs w:val="24"/>
              </w:rPr>
            </w:pPr>
            <w:r>
              <w:rPr>
                <w:rFonts w:hint="eastAsia"/>
                <w:color w:val="auto"/>
                <w:szCs w:val="24"/>
              </w:rPr>
              <w:t>建设单位应依据建设项目竣工环境保护验收技术规范、环评文件及其批复的要求，自主开展环境保护竣工验收相关工作。建设项目配套建设的环境保护设施经验收合格，方可投入生产或者使用，未经验收或者验收不合格的，不得投入生产或者使用</w:t>
            </w:r>
            <w:r>
              <w:rPr>
                <w:color w:val="auto"/>
                <w:szCs w:val="24"/>
              </w:rPr>
              <w:t>。</w:t>
            </w:r>
          </w:p>
          <w:p w14:paraId="17626016">
            <w:pPr>
              <w:spacing w:line="240" w:lineRule="auto"/>
              <w:ind w:firstLine="420" w:firstLineChars="200"/>
              <w:jc w:val="left"/>
              <w:rPr>
                <w:color w:val="auto"/>
                <w:szCs w:val="24"/>
              </w:rPr>
            </w:pPr>
          </w:p>
          <w:p w14:paraId="74ABB8BB">
            <w:pPr>
              <w:spacing w:line="240" w:lineRule="auto"/>
              <w:jc w:val="left"/>
              <w:rPr>
                <w:color w:val="auto"/>
                <w:szCs w:val="24"/>
              </w:rPr>
            </w:pPr>
          </w:p>
        </w:tc>
      </w:tr>
    </w:tbl>
    <w:p w14:paraId="7DF8AD8C">
      <w:pPr>
        <w:pStyle w:val="21"/>
        <w:jc w:val="center"/>
        <w:outlineLvl w:val="0"/>
        <w:rPr>
          <w:rFonts w:ascii="Times New Roman" w:hAnsi="Times New Roman" w:eastAsia="黑体"/>
          <w:snapToGrid w:val="0"/>
          <w:color w:val="auto"/>
          <w:sz w:val="30"/>
          <w:szCs w:val="30"/>
          <w:highlight w:val="none"/>
        </w:rPr>
      </w:pPr>
      <w:r>
        <w:rPr>
          <w:rFonts w:ascii="Times New Roman" w:hAnsi="Times New Roman"/>
          <w:snapToGrid w:val="0"/>
          <w:color w:val="auto"/>
          <w:highlight w:val="none"/>
        </w:rPr>
        <w:br w:type="page"/>
      </w:r>
      <w:r>
        <w:rPr>
          <w:rFonts w:ascii="Times New Roman" w:hAnsi="Times New Roman" w:eastAsia="黑体"/>
          <w:snapToGrid w:val="0"/>
          <w:color w:val="auto"/>
          <w:sz w:val="30"/>
          <w:szCs w:val="30"/>
          <w:highlight w:val="none"/>
        </w:rPr>
        <w:t>六、结论</w:t>
      </w:r>
    </w:p>
    <w:tbl>
      <w:tblPr>
        <w:tblStyle w:val="25"/>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4678F36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wBefore w:w="0" w:type="dxa"/>
          <w:trHeight w:val="11991" w:hRule="atLeast"/>
          <w:jc w:val="center"/>
        </w:trPr>
        <w:tc>
          <w:tcPr>
            <w:tcW w:w="8865" w:type="dxa"/>
            <w:noWrap w:val="0"/>
            <w:vAlign w:val="top"/>
          </w:tcPr>
          <w:p w14:paraId="6923E2FE">
            <w:pPr>
              <w:ind w:firstLine="480" w:firstLineChars="200"/>
              <w:rPr>
                <w:color w:val="auto"/>
                <w:sz w:val="24"/>
                <w:highlight w:val="none"/>
              </w:rPr>
            </w:pPr>
          </w:p>
          <w:p w14:paraId="33EA1496">
            <w:pPr>
              <w:ind w:firstLine="480" w:firstLineChars="200"/>
              <w:rPr>
                <w:color w:val="auto"/>
                <w:sz w:val="24"/>
                <w:highlight w:val="none"/>
              </w:rPr>
            </w:pPr>
            <w:r>
              <w:rPr>
                <w:color w:val="auto"/>
                <w:sz w:val="24"/>
                <w:highlight w:val="none"/>
              </w:rPr>
              <w:t>本项目符合国家产业政策、同时满足达标排放和总量控制的要求，符合国家、辽宁省、抚顺市</w:t>
            </w:r>
            <w:r>
              <w:rPr>
                <w:rFonts w:hint="eastAsia"/>
                <w:color w:val="auto"/>
                <w:sz w:val="24"/>
                <w:highlight w:val="none"/>
              </w:rPr>
              <w:t>生态环境主管</w:t>
            </w:r>
            <w:r>
              <w:rPr>
                <w:color w:val="auto"/>
                <w:sz w:val="24"/>
                <w:highlight w:val="none"/>
              </w:rPr>
              <w:t>部门现行环保要求，且项目选址合理。在认真落实各项污染防治措施的基础上，污染物可达标排放，项目建成投入使用后，不会降低当地环境质量。因此，从环保角度，本项目建设是可行的。</w:t>
            </w:r>
          </w:p>
          <w:p w14:paraId="0B207935">
            <w:pPr>
              <w:pStyle w:val="42"/>
              <w:rPr>
                <w:rFonts w:ascii="Times New Roman" w:hAnsi="Times New Roman" w:cs="Times New Roman"/>
                <w:color w:val="auto"/>
                <w:highlight w:val="none"/>
              </w:rPr>
            </w:pPr>
          </w:p>
        </w:tc>
      </w:tr>
    </w:tbl>
    <w:p w14:paraId="748F6B2B">
      <w:pPr>
        <w:rPr>
          <w:color w:val="auto"/>
          <w:highlight w:val="none"/>
        </w:rPr>
        <w:sectPr>
          <w:pgSz w:w="11906" w:h="16838"/>
          <w:pgMar w:top="1701" w:right="1531" w:bottom="1701" w:left="1531" w:header="851" w:footer="1077" w:gutter="0"/>
          <w:pgNumType w:fmt="decimal"/>
          <w:cols w:space="720" w:num="1"/>
          <w:docGrid w:linePitch="312" w:charSpace="0"/>
        </w:sectPr>
      </w:pPr>
    </w:p>
    <w:p w14:paraId="0204ABB3">
      <w:pPr>
        <w:pStyle w:val="21"/>
        <w:adjustRightInd w:val="0"/>
        <w:snapToGrid w:val="0"/>
        <w:spacing w:before="0" w:beforeAutospacing="0" w:after="0" w:afterAutospacing="0" w:line="648" w:lineRule="auto"/>
        <w:outlineLvl w:val="0"/>
        <w:rPr>
          <w:rFonts w:ascii="Times New Roman" w:hAnsi="Times New Roman" w:eastAsia="黑体"/>
          <w:snapToGrid w:val="0"/>
          <w:color w:val="auto"/>
          <w:sz w:val="32"/>
          <w:szCs w:val="32"/>
          <w:highlight w:val="none"/>
        </w:rPr>
      </w:pPr>
      <w:r>
        <w:rPr>
          <w:rFonts w:ascii="Times New Roman" w:hAnsi="Times New Roman" w:eastAsia="黑体"/>
          <w:snapToGrid w:val="0"/>
          <w:color w:val="auto"/>
          <w:sz w:val="32"/>
          <w:szCs w:val="32"/>
          <w:highlight w:val="none"/>
        </w:rPr>
        <w:t>附表</w:t>
      </w:r>
    </w:p>
    <w:p w14:paraId="1AD4AD2B">
      <w:pPr>
        <w:pStyle w:val="21"/>
        <w:adjustRightInd w:val="0"/>
        <w:snapToGrid w:val="0"/>
        <w:spacing w:before="0" w:beforeAutospacing="0" w:after="0" w:afterAutospacing="0" w:line="552" w:lineRule="auto"/>
        <w:jc w:val="center"/>
        <w:outlineLvl w:val="0"/>
        <w:rPr>
          <w:rFonts w:ascii="Times New Roman" w:hAnsi="Times New Roman" w:eastAsia="黑体"/>
          <w:snapToGrid w:val="0"/>
          <w:color w:val="auto"/>
          <w:sz w:val="32"/>
          <w:szCs w:val="32"/>
          <w:highlight w:val="none"/>
        </w:rPr>
      </w:pPr>
      <w:r>
        <w:rPr>
          <w:rFonts w:ascii="Times New Roman" w:hAnsi="Times New Roman" w:eastAsia="方正小标宋_GBK"/>
          <w:snapToGrid w:val="0"/>
          <w:color w:val="auto"/>
          <w:sz w:val="38"/>
          <w:szCs w:val="38"/>
          <w:highlight w:val="none"/>
        </w:rPr>
        <w:t>建设项目污染物排放量汇总表</w:t>
      </w:r>
    </w:p>
    <w:tbl>
      <w:tblPr>
        <w:tblStyle w:val="25"/>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446"/>
        <w:gridCol w:w="1559"/>
        <w:gridCol w:w="1559"/>
        <w:gridCol w:w="1276"/>
        <w:gridCol w:w="1559"/>
        <w:gridCol w:w="1701"/>
        <w:gridCol w:w="1701"/>
        <w:gridCol w:w="1843"/>
        <w:gridCol w:w="1144"/>
      </w:tblGrid>
      <w:tr w14:paraId="0D69FCB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jc w:val="center"/>
        </w:trPr>
        <w:tc>
          <w:tcPr>
            <w:tcW w:w="1446" w:type="dxa"/>
            <w:tcBorders>
              <w:tl2br w:val="single" w:color="auto" w:sz="4" w:space="0"/>
            </w:tcBorders>
            <w:noWrap w:val="0"/>
            <w:tcMar>
              <w:left w:w="28" w:type="dxa"/>
              <w:right w:w="28" w:type="dxa"/>
            </w:tcMar>
            <w:vAlign w:val="center"/>
          </w:tcPr>
          <w:p w14:paraId="5F363E21">
            <w:pPr>
              <w:pStyle w:val="49"/>
              <w:spacing w:beforeLines="0" w:afterLines="0" w:line="240" w:lineRule="auto"/>
              <w:jc w:val="right"/>
              <w:rPr>
                <w:rFonts w:ascii="Times New Roman"/>
                <w:snapToGrid w:val="0"/>
                <w:color w:val="auto"/>
                <w:kern w:val="21"/>
                <w:szCs w:val="21"/>
                <w:highlight w:val="none"/>
                <w:lang w:val="en-US" w:eastAsia="zh-CN"/>
              </w:rPr>
            </w:pPr>
            <w:r>
              <w:rPr>
                <w:rFonts w:ascii="Times New Roman"/>
                <w:snapToGrid w:val="0"/>
                <w:color w:val="auto"/>
                <w:kern w:val="21"/>
                <w:szCs w:val="21"/>
                <w:highlight w:val="none"/>
                <w:lang w:val="en-US" w:eastAsia="zh-CN"/>
              </w:rPr>
              <w:t>项目</w:t>
            </w:r>
          </w:p>
          <w:p w14:paraId="1AA5A088">
            <w:pPr>
              <w:pStyle w:val="49"/>
              <w:spacing w:beforeLines="0" w:afterLines="0" w:line="240" w:lineRule="auto"/>
              <w:jc w:val="left"/>
              <w:rPr>
                <w:rFonts w:ascii="Times New Roman"/>
                <w:snapToGrid w:val="0"/>
                <w:color w:val="auto"/>
                <w:kern w:val="21"/>
                <w:szCs w:val="21"/>
                <w:highlight w:val="none"/>
                <w:lang w:val="en-US" w:eastAsia="zh-CN"/>
              </w:rPr>
            </w:pPr>
            <w:r>
              <w:rPr>
                <w:rFonts w:ascii="Times New Roman"/>
                <w:snapToGrid w:val="0"/>
                <w:color w:val="auto"/>
                <w:kern w:val="21"/>
                <w:szCs w:val="21"/>
                <w:highlight w:val="none"/>
                <w:lang w:val="en-US" w:eastAsia="zh-CN"/>
              </w:rPr>
              <w:t>分类</w:t>
            </w:r>
          </w:p>
        </w:tc>
        <w:tc>
          <w:tcPr>
            <w:tcW w:w="1559" w:type="dxa"/>
            <w:noWrap w:val="0"/>
            <w:tcMar>
              <w:left w:w="28" w:type="dxa"/>
              <w:right w:w="28" w:type="dxa"/>
            </w:tcMar>
            <w:vAlign w:val="center"/>
          </w:tcPr>
          <w:p w14:paraId="58FCEF7D">
            <w:pPr>
              <w:pStyle w:val="49"/>
              <w:spacing w:beforeLines="0" w:afterLines="0" w:line="240" w:lineRule="auto"/>
              <w:rPr>
                <w:rFonts w:ascii="Times New Roman"/>
                <w:snapToGrid w:val="0"/>
                <w:color w:val="auto"/>
                <w:kern w:val="21"/>
                <w:szCs w:val="21"/>
                <w:highlight w:val="none"/>
                <w:lang w:val="en-US" w:eastAsia="zh-CN"/>
              </w:rPr>
            </w:pPr>
            <w:r>
              <w:rPr>
                <w:rFonts w:ascii="Times New Roman"/>
                <w:snapToGrid w:val="0"/>
                <w:color w:val="auto"/>
                <w:kern w:val="21"/>
                <w:szCs w:val="21"/>
                <w:highlight w:val="none"/>
                <w:lang w:val="en-US" w:eastAsia="zh-CN"/>
              </w:rPr>
              <w:t>污染物名称</w:t>
            </w:r>
          </w:p>
        </w:tc>
        <w:tc>
          <w:tcPr>
            <w:tcW w:w="1559" w:type="dxa"/>
            <w:noWrap w:val="0"/>
            <w:tcMar>
              <w:left w:w="28" w:type="dxa"/>
              <w:right w:w="28" w:type="dxa"/>
            </w:tcMar>
            <w:vAlign w:val="center"/>
          </w:tcPr>
          <w:p w14:paraId="70537F6D">
            <w:pPr>
              <w:pStyle w:val="49"/>
              <w:spacing w:beforeLines="0" w:afterLines="0" w:line="240" w:lineRule="auto"/>
              <w:rPr>
                <w:rFonts w:ascii="Times New Roman"/>
                <w:snapToGrid w:val="0"/>
                <w:color w:val="auto"/>
                <w:kern w:val="21"/>
                <w:szCs w:val="21"/>
                <w:highlight w:val="none"/>
                <w:lang w:val="en-US" w:eastAsia="zh-CN"/>
              </w:rPr>
            </w:pPr>
            <w:r>
              <w:rPr>
                <w:rFonts w:ascii="Times New Roman"/>
                <w:snapToGrid w:val="0"/>
                <w:color w:val="auto"/>
                <w:kern w:val="21"/>
                <w:szCs w:val="21"/>
                <w:highlight w:val="none"/>
                <w:lang w:val="en-US" w:eastAsia="zh-CN"/>
              </w:rPr>
              <w:t>现有工程</w:t>
            </w:r>
          </w:p>
          <w:p w14:paraId="53D07A48">
            <w:pPr>
              <w:pStyle w:val="49"/>
              <w:spacing w:beforeLines="0" w:afterLines="0" w:line="240" w:lineRule="auto"/>
              <w:rPr>
                <w:rFonts w:ascii="Times New Roman"/>
                <w:snapToGrid w:val="0"/>
                <w:color w:val="auto"/>
                <w:kern w:val="21"/>
                <w:szCs w:val="21"/>
                <w:highlight w:val="none"/>
                <w:lang w:val="en-US" w:eastAsia="zh-CN"/>
              </w:rPr>
            </w:pPr>
            <w:r>
              <w:rPr>
                <w:rFonts w:ascii="Times New Roman"/>
                <w:snapToGrid w:val="0"/>
                <w:color w:val="auto"/>
                <w:kern w:val="21"/>
                <w:szCs w:val="21"/>
                <w:highlight w:val="none"/>
                <w:lang w:val="en-US" w:eastAsia="zh-CN"/>
              </w:rPr>
              <w:t>排放量（固体废物产生量）</w:t>
            </w:r>
            <w:r>
              <w:rPr>
                <w:rFonts w:ascii="Times New Roman"/>
                <w:snapToGrid w:val="0"/>
                <w:color w:val="auto"/>
                <w:kern w:val="21"/>
                <w:szCs w:val="21"/>
                <w:highlight w:val="none"/>
                <w:lang w:val="en-US" w:eastAsia="zh-CN"/>
              </w:rPr>
              <w:fldChar w:fldCharType="begin"/>
            </w:r>
            <w:r>
              <w:rPr>
                <w:rFonts w:ascii="Times New Roman"/>
                <w:snapToGrid w:val="0"/>
                <w:color w:val="auto"/>
                <w:kern w:val="21"/>
                <w:szCs w:val="21"/>
                <w:highlight w:val="none"/>
                <w:lang w:val="en-US" w:eastAsia="zh-CN"/>
              </w:rPr>
              <w:instrText xml:space="preserve"> = 1 \* GB3 \* MERGEFORMAT </w:instrText>
            </w:r>
            <w:r>
              <w:rPr>
                <w:rFonts w:ascii="Times New Roman"/>
                <w:snapToGrid w:val="0"/>
                <w:color w:val="auto"/>
                <w:kern w:val="21"/>
                <w:szCs w:val="21"/>
                <w:highlight w:val="none"/>
                <w:lang w:val="en-US" w:eastAsia="zh-CN"/>
              </w:rPr>
              <w:fldChar w:fldCharType="separate"/>
            </w:r>
            <w:r>
              <w:rPr>
                <w:rFonts w:ascii="Times New Roman"/>
                <w:color w:val="auto"/>
                <w:kern w:val="2"/>
                <w:szCs w:val="21"/>
                <w:highlight w:val="none"/>
                <w:lang w:val="en-US" w:eastAsia="zh-CN"/>
              </w:rPr>
              <w:t>①</w:t>
            </w:r>
            <w:r>
              <w:rPr>
                <w:rFonts w:ascii="Times New Roman"/>
                <w:snapToGrid w:val="0"/>
                <w:color w:val="auto"/>
                <w:kern w:val="21"/>
                <w:szCs w:val="21"/>
                <w:highlight w:val="none"/>
                <w:lang w:val="en-US" w:eastAsia="zh-CN"/>
              </w:rPr>
              <w:fldChar w:fldCharType="end"/>
            </w:r>
          </w:p>
        </w:tc>
        <w:tc>
          <w:tcPr>
            <w:tcW w:w="1276" w:type="dxa"/>
            <w:noWrap w:val="0"/>
            <w:tcMar>
              <w:left w:w="28" w:type="dxa"/>
              <w:right w:w="28" w:type="dxa"/>
            </w:tcMar>
            <w:vAlign w:val="center"/>
          </w:tcPr>
          <w:p w14:paraId="4E272ACD">
            <w:pPr>
              <w:pStyle w:val="49"/>
              <w:spacing w:beforeLines="0" w:afterLines="0" w:line="240" w:lineRule="auto"/>
              <w:rPr>
                <w:rFonts w:ascii="Times New Roman"/>
                <w:snapToGrid w:val="0"/>
                <w:color w:val="auto"/>
                <w:kern w:val="21"/>
                <w:szCs w:val="21"/>
                <w:highlight w:val="none"/>
                <w:lang w:val="en-US" w:eastAsia="zh-CN"/>
              </w:rPr>
            </w:pPr>
            <w:r>
              <w:rPr>
                <w:rFonts w:ascii="Times New Roman"/>
                <w:snapToGrid w:val="0"/>
                <w:color w:val="auto"/>
                <w:kern w:val="21"/>
                <w:szCs w:val="21"/>
                <w:highlight w:val="none"/>
                <w:lang w:val="en-US" w:eastAsia="zh-CN"/>
              </w:rPr>
              <w:t>现有工程</w:t>
            </w:r>
          </w:p>
          <w:p w14:paraId="1E83FAC6">
            <w:pPr>
              <w:pStyle w:val="49"/>
              <w:spacing w:beforeLines="0" w:afterLines="0" w:line="240" w:lineRule="auto"/>
              <w:rPr>
                <w:rFonts w:ascii="Times New Roman"/>
                <w:snapToGrid w:val="0"/>
                <w:color w:val="auto"/>
                <w:kern w:val="21"/>
                <w:szCs w:val="21"/>
                <w:highlight w:val="none"/>
                <w:lang w:val="en-US" w:eastAsia="zh-CN"/>
              </w:rPr>
            </w:pPr>
            <w:r>
              <w:rPr>
                <w:rFonts w:ascii="Times New Roman"/>
                <w:snapToGrid w:val="0"/>
                <w:color w:val="auto"/>
                <w:kern w:val="21"/>
                <w:szCs w:val="21"/>
                <w:highlight w:val="none"/>
                <w:lang w:val="en-US" w:eastAsia="zh-CN"/>
              </w:rPr>
              <w:t>许可排放量</w:t>
            </w:r>
          </w:p>
          <w:p w14:paraId="09FC039E">
            <w:pPr>
              <w:pStyle w:val="49"/>
              <w:spacing w:beforeLines="0" w:afterLines="0"/>
              <w:rPr>
                <w:rFonts w:ascii="Times New Roman"/>
                <w:snapToGrid w:val="0"/>
                <w:color w:val="auto"/>
                <w:kern w:val="21"/>
                <w:szCs w:val="21"/>
                <w:highlight w:val="none"/>
                <w:lang w:val="en-US" w:eastAsia="zh-CN"/>
              </w:rPr>
            </w:pPr>
            <w:r>
              <w:rPr>
                <w:rFonts w:ascii="Times New Roman"/>
                <w:snapToGrid w:val="0"/>
                <w:color w:val="auto"/>
                <w:kern w:val="21"/>
                <w:szCs w:val="21"/>
                <w:highlight w:val="none"/>
                <w:lang w:val="en-US" w:eastAsia="zh-CN"/>
              </w:rPr>
              <w:fldChar w:fldCharType="begin"/>
            </w:r>
            <w:r>
              <w:rPr>
                <w:rFonts w:ascii="Times New Roman"/>
                <w:snapToGrid w:val="0"/>
                <w:color w:val="auto"/>
                <w:kern w:val="21"/>
                <w:szCs w:val="21"/>
                <w:highlight w:val="none"/>
                <w:lang w:val="en-US" w:eastAsia="zh-CN"/>
              </w:rPr>
              <w:instrText xml:space="preserve"> = 2 \* GB3 \* MERGEFORMAT </w:instrText>
            </w:r>
            <w:r>
              <w:rPr>
                <w:rFonts w:ascii="Times New Roman"/>
                <w:snapToGrid w:val="0"/>
                <w:color w:val="auto"/>
                <w:kern w:val="21"/>
                <w:szCs w:val="21"/>
                <w:highlight w:val="none"/>
                <w:lang w:val="en-US" w:eastAsia="zh-CN"/>
              </w:rPr>
              <w:fldChar w:fldCharType="separate"/>
            </w:r>
            <w:r>
              <w:rPr>
                <w:rFonts w:ascii="Times New Roman"/>
                <w:snapToGrid w:val="0"/>
                <w:color w:val="auto"/>
                <w:kern w:val="21"/>
                <w:szCs w:val="21"/>
                <w:highlight w:val="none"/>
                <w:lang w:val="en-US" w:eastAsia="zh-CN"/>
              </w:rPr>
              <w:t>②</w:t>
            </w:r>
            <w:r>
              <w:rPr>
                <w:rFonts w:ascii="Times New Roman"/>
                <w:snapToGrid w:val="0"/>
                <w:color w:val="auto"/>
                <w:kern w:val="21"/>
                <w:szCs w:val="21"/>
                <w:highlight w:val="none"/>
                <w:lang w:val="en-US" w:eastAsia="zh-CN"/>
              </w:rPr>
              <w:fldChar w:fldCharType="end"/>
            </w:r>
          </w:p>
        </w:tc>
        <w:tc>
          <w:tcPr>
            <w:tcW w:w="1559" w:type="dxa"/>
            <w:noWrap w:val="0"/>
            <w:tcMar>
              <w:left w:w="28" w:type="dxa"/>
              <w:right w:w="28" w:type="dxa"/>
            </w:tcMar>
            <w:vAlign w:val="center"/>
          </w:tcPr>
          <w:p w14:paraId="169DB500">
            <w:pPr>
              <w:pStyle w:val="49"/>
              <w:spacing w:beforeLines="0" w:afterLines="0" w:line="240" w:lineRule="auto"/>
              <w:rPr>
                <w:rFonts w:ascii="Times New Roman"/>
                <w:snapToGrid w:val="0"/>
                <w:color w:val="auto"/>
                <w:kern w:val="21"/>
                <w:szCs w:val="21"/>
                <w:highlight w:val="none"/>
                <w:lang w:val="en-US" w:eastAsia="zh-CN"/>
              </w:rPr>
            </w:pPr>
            <w:r>
              <w:rPr>
                <w:rFonts w:ascii="Times New Roman"/>
                <w:snapToGrid w:val="0"/>
                <w:color w:val="auto"/>
                <w:kern w:val="21"/>
                <w:szCs w:val="21"/>
                <w:highlight w:val="none"/>
                <w:lang w:val="en-US" w:eastAsia="zh-CN"/>
              </w:rPr>
              <w:t>在建工程</w:t>
            </w:r>
          </w:p>
          <w:p w14:paraId="5C073D67">
            <w:pPr>
              <w:pStyle w:val="49"/>
              <w:spacing w:beforeLines="0" w:afterLines="0" w:line="240" w:lineRule="auto"/>
              <w:rPr>
                <w:rFonts w:ascii="Times New Roman"/>
                <w:snapToGrid w:val="0"/>
                <w:color w:val="auto"/>
                <w:kern w:val="21"/>
                <w:szCs w:val="21"/>
                <w:highlight w:val="none"/>
                <w:lang w:val="en-US" w:eastAsia="zh-CN"/>
              </w:rPr>
            </w:pPr>
            <w:r>
              <w:rPr>
                <w:rFonts w:ascii="Times New Roman"/>
                <w:snapToGrid w:val="0"/>
                <w:color w:val="auto"/>
                <w:kern w:val="21"/>
                <w:szCs w:val="21"/>
                <w:highlight w:val="none"/>
                <w:lang w:val="en-US" w:eastAsia="zh-CN"/>
              </w:rPr>
              <w:t>排放量（固体废物产生量）</w:t>
            </w:r>
            <w:r>
              <w:rPr>
                <w:rFonts w:ascii="Times New Roman"/>
                <w:snapToGrid w:val="0"/>
                <w:color w:val="auto"/>
                <w:kern w:val="21"/>
                <w:szCs w:val="21"/>
                <w:highlight w:val="none"/>
                <w:lang w:val="en-US" w:eastAsia="zh-CN"/>
              </w:rPr>
              <w:fldChar w:fldCharType="begin"/>
            </w:r>
            <w:r>
              <w:rPr>
                <w:rFonts w:ascii="Times New Roman"/>
                <w:snapToGrid w:val="0"/>
                <w:color w:val="auto"/>
                <w:kern w:val="21"/>
                <w:szCs w:val="21"/>
                <w:highlight w:val="none"/>
                <w:lang w:val="en-US" w:eastAsia="zh-CN"/>
              </w:rPr>
              <w:instrText xml:space="preserve"> = 3 \* GB3 \* MERGEFORMAT </w:instrText>
            </w:r>
            <w:r>
              <w:rPr>
                <w:rFonts w:ascii="Times New Roman"/>
                <w:snapToGrid w:val="0"/>
                <w:color w:val="auto"/>
                <w:kern w:val="21"/>
                <w:szCs w:val="21"/>
                <w:highlight w:val="none"/>
                <w:lang w:val="en-US" w:eastAsia="zh-CN"/>
              </w:rPr>
              <w:fldChar w:fldCharType="separate"/>
            </w:r>
            <w:r>
              <w:rPr>
                <w:rFonts w:ascii="Times New Roman"/>
                <w:color w:val="auto"/>
                <w:kern w:val="2"/>
                <w:szCs w:val="21"/>
                <w:highlight w:val="none"/>
                <w:lang w:val="en-US" w:eastAsia="zh-CN"/>
              </w:rPr>
              <w:t>③</w:t>
            </w:r>
            <w:r>
              <w:rPr>
                <w:rFonts w:ascii="Times New Roman"/>
                <w:snapToGrid w:val="0"/>
                <w:color w:val="auto"/>
                <w:kern w:val="21"/>
                <w:szCs w:val="21"/>
                <w:highlight w:val="none"/>
                <w:lang w:val="en-US" w:eastAsia="zh-CN"/>
              </w:rPr>
              <w:fldChar w:fldCharType="end"/>
            </w:r>
          </w:p>
        </w:tc>
        <w:tc>
          <w:tcPr>
            <w:tcW w:w="1701" w:type="dxa"/>
            <w:noWrap w:val="0"/>
            <w:tcMar>
              <w:left w:w="28" w:type="dxa"/>
              <w:right w:w="28" w:type="dxa"/>
            </w:tcMar>
            <w:vAlign w:val="center"/>
          </w:tcPr>
          <w:p w14:paraId="7F71E6ED">
            <w:pPr>
              <w:pStyle w:val="49"/>
              <w:spacing w:beforeLines="0" w:afterLines="0" w:line="240" w:lineRule="auto"/>
              <w:rPr>
                <w:rFonts w:ascii="Times New Roman"/>
                <w:snapToGrid w:val="0"/>
                <w:color w:val="auto"/>
                <w:kern w:val="21"/>
                <w:szCs w:val="21"/>
                <w:highlight w:val="none"/>
                <w:lang w:val="en-US" w:eastAsia="zh-CN"/>
              </w:rPr>
            </w:pPr>
            <w:r>
              <w:rPr>
                <w:rFonts w:ascii="Times New Roman"/>
                <w:snapToGrid w:val="0"/>
                <w:color w:val="auto"/>
                <w:kern w:val="21"/>
                <w:szCs w:val="21"/>
                <w:highlight w:val="none"/>
                <w:lang w:val="en-US" w:eastAsia="zh-CN"/>
              </w:rPr>
              <w:t>本项目</w:t>
            </w:r>
          </w:p>
          <w:p w14:paraId="497DFB5A">
            <w:pPr>
              <w:pStyle w:val="49"/>
              <w:spacing w:beforeLines="0" w:afterLines="0" w:line="240" w:lineRule="auto"/>
              <w:rPr>
                <w:rFonts w:ascii="Times New Roman"/>
                <w:snapToGrid w:val="0"/>
                <w:color w:val="auto"/>
                <w:kern w:val="21"/>
                <w:szCs w:val="21"/>
                <w:highlight w:val="none"/>
                <w:lang w:val="en-US" w:eastAsia="zh-CN"/>
              </w:rPr>
            </w:pPr>
            <w:r>
              <w:rPr>
                <w:rFonts w:ascii="Times New Roman"/>
                <w:snapToGrid w:val="0"/>
                <w:color w:val="auto"/>
                <w:kern w:val="21"/>
                <w:szCs w:val="21"/>
                <w:highlight w:val="none"/>
                <w:lang w:val="en-US" w:eastAsia="zh-CN"/>
              </w:rPr>
              <w:t>排放量（固体废物产生量）</w:t>
            </w:r>
            <w:r>
              <w:rPr>
                <w:rFonts w:ascii="Times New Roman"/>
                <w:snapToGrid w:val="0"/>
                <w:color w:val="auto"/>
                <w:kern w:val="21"/>
                <w:szCs w:val="21"/>
                <w:highlight w:val="none"/>
                <w:lang w:val="en-US" w:eastAsia="zh-CN"/>
              </w:rPr>
              <w:fldChar w:fldCharType="begin"/>
            </w:r>
            <w:r>
              <w:rPr>
                <w:rFonts w:ascii="Times New Roman"/>
                <w:snapToGrid w:val="0"/>
                <w:color w:val="auto"/>
                <w:kern w:val="21"/>
                <w:szCs w:val="21"/>
                <w:highlight w:val="none"/>
                <w:lang w:val="en-US" w:eastAsia="zh-CN"/>
              </w:rPr>
              <w:instrText xml:space="preserve"> = 4 \* GB3 \* MERGEFORMAT </w:instrText>
            </w:r>
            <w:r>
              <w:rPr>
                <w:rFonts w:ascii="Times New Roman"/>
                <w:snapToGrid w:val="0"/>
                <w:color w:val="auto"/>
                <w:kern w:val="21"/>
                <w:szCs w:val="21"/>
                <w:highlight w:val="none"/>
                <w:lang w:val="en-US" w:eastAsia="zh-CN"/>
              </w:rPr>
              <w:fldChar w:fldCharType="separate"/>
            </w:r>
            <w:r>
              <w:rPr>
                <w:rFonts w:ascii="Times New Roman"/>
                <w:color w:val="auto"/>
                <w:kern w:val="2"/>
                <w:szCs w:val="21"/>
                <w:highlight w:val="none"/>
                <w:lang w:val="en-US" w:eastAsia="zh-CN"/>
              </w:rPr>
              <w:t>④</w:t>
            </w:r>
            <w:r>
              <w:rPr>
                <w:rFonts w:ascii="Times New Roman"/>
                <w:snapToGrid w:val="0"/>
                <w:color w:val="auto"/>
                <w:kern w:val="21"/>
                <w:szCs w:val="21"/>
                <w:highlight w:val="none"/>
                <w:lang w:val="en-US" w:eastAsia="zh-CN"/>
              </w:rPr>
              <w:fldChar w:fldCharType="end"/>
            </w:r>
          </w:p>
        </w:tc>
        <w:tc>
          <w:tcPr>
            <w:tcW w:w="1701" w:type="dxa"/>
            <w:noWrap w:val="0"/>
            <w:tcMar>
              <w:left w:w="28" w:type="dxa"/>
              <w:right w:w="28" w:type="dxa"/>
            </w:tcMar>
            <w:vAlign w:val="center"/>
          </w:tcPr>
          <w:p w14:paraId="659443EB">
            <w:pPr>
              <w:pStyle w:val="49"/>
              <w:spacing w:beforeLines="0" w:afterLines="0" w:line="240" w:lineRule="auto"/>
              <w:rPr>
                <w:rFonts w:ascii="Times New Roman"/>
                <w:snapToGrid w:val="0"/>
                <w:color w:val="auto"/>
                <w:kern w:val="21"/>
                <w:szCs w:val="21"/>
                <w:highlight w:val="none"/>
                <w:lang w:val="en-US" w:eastAsia="zh-CN"/>
              </w:rPr>
            </w:pPr>
            <w:r>
              <w:rPr>
                <w:rFonts w:ascii="Times New Roman"/>
                <w:snapToGrid w:val="0"/>
                <w:color w:val="auto"/>
                <w:kern w:val="21"/>
                <w:szCs w:val="21"/>
                <w:highlight w:val="none"/>
                <w:lang w:val="en-US" w:eastAsia="zh-CN"/>
              </w:rPr>
              <w:t>以新带老削减量</w:t>
            </w:r>
          </w:p>
          <w:p w14:paraId="6662714B">
            <w:pPr>
              <w:pStyle w:val="49"/>
              <w:spacing w:beforeLines="0" w:afterLines="0" w:line="240" w:lineRule="auto"/>
              <w:rPr>
                <w:rFonts w:ascii="Times New Roman"/>
                <w:snapToGrid w:val="0"/>
                <w:color w:val="auto"/>
                <w:kern w:val="21"/>
                <w:szCs w:val="21"/>
                <w:highlight w:val="none"/>
                <w:lang w:val="en-US" w:eastAsia="zh-CN"/>
              </w:rPr>
            </w:pPr>
            <w:r>
              <w:rPr>
                <w:rFonts w:ascii="Times New Roman"/>
                <w:snapToGrid w:val="0"/>
                <w:color w:val="auto"/>
                <w:kern w:val="21"/>
                <w:szCs w:val="21"/>
                <w:highlight w:val="none"/>
                <w:lang w:val="en-US" w:eastAsia="zh-CN"/>
              </w:rPr>
              <w:t>（新建项目不填）</w:t>
            </w:r>
            <w:r>
              <w:rPr>
                <w:rFonts w:ascii="Times New Roman"/>
                <w:snapToGrid w:val="0"/>
                <w:color w:val="auto"/>
                <w:kern w:val="21"/>
                <w:szCs w:val="21"/>
                <w:highlight w:val="none"/>
                <w:lang w:val="en-US" w:eastAsia="zh-CN"/>
              </w:rPr>
              <w:fldChar w:fldCharType="begin"/>
            </w:r>
            <w:r>
              <w:rPr>
                <w:rFonts w:ascii="Times New Roman"/>
                <w:snapToGrid w:val="0"/>
                <w:color w:val="auto"/>
                <w:kern w:val="21"/>
                <w:szCs w:val="21"/>
                <w:highlight w:val="none"/>
                <w:lang w:val="en-US" w:eastAsia="zh-CN"/>
              </w:rPr>
              <w:instrText xml:space="preserve"> = 5 \* GB3 \* MERGEFORMAT </w:instrText>
            </w:r>
            <w:r>
              <w:rPr>
                <w:rFonts w:ascii="Times New Roman"/>
                <w:snapToGrid w:val="0"/>
                <w:color w:val="auto"/>
                <w:kern w:val="21"/>
                <w:szCs w:val="21"/>
                <w:highlight w:val="none"/>
                <w:lang w:val="en-US" w:eastAsia="zh-CN"/>
              </w:rPr>
              <w:fldChar w:fldCharType="separate"/>
            </w:r>
            <w:r>
              <w:rPr>
                <w:rFonts w:ascii="Times New Roman"/>
                <w:color w:val="auto"/>
                <w:kern w:val="2"/>
                <w:szCs w:val="21"/>
                <w:highlight w:val="none"/>
                <w:lang w:val="en-US" w:eastAsia="zh-CN"/>
              </w:rPr>
              <w:t>⑤</w:t>
            </w:r>
            <w:r>
              <w:rPr>
                <w:rFonts w:ascii="Times New Roman"/>
                <w:snapToGrid w:val="0"/>
                <w:color w:val="auto"/>
                <w:kern w:val="21"/>
                <w:szCs w:val="21"/>
                <w:highlight w:val="none"/>
                <w:lang w:val="en-US" w:eastAsia="zh-CN"/>
              </w:rPr>
              <w:fldChar w:fldCharType="end"/>
            </w:r>
          </w:p>
        </w:tc>
        <w:tc>
          <w:tcPr>
            <w:tcW w:w="1843" w:type="dxa"/>
            <w:noWrap w:val="0"/>
            <w:tcMar>
              <w:left w:w="28" w:type="dxa"/>
              <w:right w:w="28" w:type="dxa"/>
            </w:tcMar>
            <w:vAlign w:val="center"/>
          </w:tcPr>
          <w:p w14:paraId="1F61B2CF">
            <w:pPr>
              <w:pStyle w:val="49"/>
              <w:spacing w:beforeLines="0" w:afterLines="0" w:line="240" w:lineRule="auto"/>
              <w:rPr>
                <w:rFonts w:ascii="Times New Roman"/>
                <w:snapToGrid w:val="0"/>
                <w:color w:val="auto"/>
                <w:kern w:val="21"/>
                <w:szCs w:val="21"/>
                <w:highlight w:val="none"/>
                <w:lang w:val="en-US" w:eastAsia="zh-CN"/>
              </w:rPr>
            </w:pPr>
            <w:r>
              <w:rPr>
                <w:rFonts w:ascii="Times New Roman"/>
                <w:snapToGrid w:val="0"/>
                <w:color w:val="auto"/>
                <w:kern w:val="21"/>
                <w:szCs w:val="21"/>
                <w:highlight w:val="none"/>
                <w:lang w:val="en-US" w:eastAsia="zh-CN"/>
              </w:rPr>
              <w:t>本项目建成后</w:t>
            </w:r>
          </w:p>
          <w:p w14:paraId="1D03C457">
            <w:pPr>
              <w:pStyle w:val="49"/>
              <w:spacing w:beforeLines="0" w:afterLines="0" w:line="240" w:lineRule="auto"/>
              <w:rPr>
                <w:rFonts w:ascii="Times New Roman"/>
                <w:snapToGrid w:val="0"/>
                <w:color w:val="auto"/>
                <w:kern w:val="21"/>
                <w:szCs w:val="21"/>
                <w:highlight w:val="none"/>
                <w:lang w:val="en-US" w:eastAsia="zh-CN"/>
              </w:rPr>
            </w:pPr>
            <w:r>
              <w:rPr>
                <w:rFonts w:ascii="Times New Roman"/>
                <w:snapToGrid w:val="0"/>
                <w:color w:val="auto"/>
                <w:kern w:val="21"/>
                <w:szCs w:val="21"/>
                <w:highlight w:val="none"/>
                <w:lang w:val="en-US" w:eastAsia="zh-CN"/>
              </w:rPr>
              <w:t>全厂排放量（固体废物产生量）</w:t>
            </w:r>
            <w:r>
              <w:rPr>
                <w:rFonts w:ascii="Times New Roman"/>
                <w:snapToGrid w:val="0"/>
                <w:color w:val="auto"/>
                <w:kern w:val="21"/>
                <w:szCs w:val="21"/>
                <w:highlight w:val="none"/>
                <w:lang w:val="en-US" w:eastAsia="zh-CN"/>
              </w:rPr>
              <w:fldChar w:fldCharType="begin"/>
            </w:r>
            <w:r>
              <w:rPr>
                <w:rFonts w:ascii="Times New Roman"/>
                <w:snapToGrid w:val="0"/>
                <w:color w:val="auto"/>
                <w:kern w:val="21"/>
                <w:szCs w:val="21"/>
                <w:highlight w:val="none"/>
                <w:lang w:val="en-US" w:eastAsia="zh-CN"/>
              </w:rPr>
              <w:instrText xml:space="preserve"> = 6 \* GB3 \* MERGEFORMAT </w:instrText>
            </w:r>
            <w:r>
              <w:rPr>
                <w:rFonts w:ascii="Times New Roman"/>
                <w:snapToGrid w:val="0"/>
                <w:color w:val="auto"/>
                <w:kern w:val="21"/>
                <w:szCs w:val="21"/>
                <w:highlight w:val="none"/>
                <w:lang w:val="en-US" w:eastAsia="zh-CN"/>
              </w:rPr>
              <w:fldChar w:fldCharType="separate"/>
            </w:r>
            <w:r>
              <w:rPr>
                <w:rFonts w:ascii="Times New Roman"/>
                <w:color w:val="auto"/>
                <w:kern w:val="2"/>
                <w:szCs w:val="21"/>
                <w:highlight w:val="none"/>
                <w:lang w:val="en-US" w:eastAsia="zh-CN"/>
              </w:rPr>
              <w:t>⑥</w:t>
            </w:r>
            <w:r>
              <w:rPr>
                <w:rFonts w:ascii="Times New Roman"/>
                <w:snapToGrid w:val="0"/>
                <w:color w:val="auto"/>
                <w:kern w:val="21"/>
                <w:szCs w:val="21"/>
                <w:highlight w:val="none"/>
                <w:lang w:val="en-US" w:eastAsia="zh-CN"/>
              </w:rPr>
              <w:fldChar w:fldCharType="end"/>
            </w:r>
          </w:p>
        </w:tc>
        <w:tc>
          <w:tcPr>
            <w:tcW w:w="1144" w:type="dxa"/>
            <w:noWrap w:val="0"/>
            <w:tcMar>
              <w:left w:w="28" w:type="dxa"/>
              <w:right w:w="28" w:type="dxa"/>
            </w:tcMar>
            <w:vAlign w:val="center"/>
          </w:tcPr>
          <w:p w14:paraId="34F89348">
            <w:pPr>
              <w:pStyle w:val="49"/>
              <w:spacing w:beforeLines="0" w:afterLines="0" w:line="240" w:lineRule="auto"/>
              <w:rPr>
                <w:rFonts w:ascii="Times New Roman"/>
                <w:snapToGrid w:val="0"/>
                <w:color w:val="auto"/>
                <w:kern w:val="21"/>
                <w:szCs w:val="21"/>
                <w:highlight w:val="none"/>
                <w:lang w:val="en-US" w:eastAsia="zh-CN"/>
              </w:rPr>
            </w:pPr>
            <w:r>
              <w:rPr>
                <w:rFonts w:ascii="Times New Roman"/>
                <w:snapToGrid w:val="0"/>
                <w:color w:val="auto"/>
                <w:kern w:val="21"/>
                <w:szCs w:val="21"/>
                <w:highlight w:val="none"/>
                <w:lang w:val="en-US" w:eastAsia="zh-CN"/>
              </w:rPr>
              <w:t>变化量</w:t>
            </w:r>
          </w:p>
          <w:p w14:paraId="7A1423B5">
            <w:pPr>
              <w:pStyle w:val="49"/>
              <w:spacing w:beforeLines="0" w:afterLines="0" w:line="240" w:lineRule="auto"/>
              <w:rPr>
                <w:rFonts w:ascii="Times New Roman"/>
                <w:snapToGrid w:val="0"/>
                <w:color w:val="auto"/>
                <w:kern w:val="21"/>
                <w:szCs w:val="21"/>
                <w:highlight w:val="none"/>
                <w:lang w:val="en-US" w:eastAsia="zh-CN"/>
              </w:rPr>
            </w:pPr>
            <w:r>
              <w:rPr>
                <w:rFonts w:ascii="Times New Roman"/>
                <w:snapToGrid w:val="0"/>
                <w:color w:val="auto"/>
                <w:kern w:val="21"/>
                <w:szCs w:val="21"/>
                <w:highlight w:val="none"/>
                <w:lang w:val="en-US" w:eastAsia="zh-CN"/>
              </w:rPr>
              <w:fldChar w:fldCharType="begin"/>
            </w:r>
            <w:r>
              <w:rPr>
                <w:rFonts w:ascii="Times New Roman"/>
                <w:snapToGrid w:val="0"/>
                <w:color w:val="auto"/>
                <w:kern w:val="21"/>
                <w:szCs w:val="21"/>
                <w:highlight w:val="none"/>
                <w:lang w:val="en-US" w:eastAsia="zh-CN"/>
              </w:rPr>
              <w:instrText xml:space="preserve"> = 7 \* GB3 \* MERGEFORMAT </w:instrText>
            </w:r>
            <w:r>
              <w:rPr>
                <w:rFonts w:ascii="Times New Roman"/>
                <w:snapToGrid w:val="0"/>
                <w:color w:val="auto"/>
                <w:kern w:val="21"/>
                <w:szCs w:val="21"/>
                <w:highlight w:val="none"/>
                <w:lang w:val="en-US" w:eastAsia="zh-CN"/>
              </w:rPr>
              <w:fldChar w:fldCharType="separate"/>
            </w:r>
            <w:r>
              <w:rPr>
                <w:rFonts w:ascii="Times New Roman"/>
                <w:color w:val="auto"/>
                <w:kern w:val="2"/>
                <w:szCs w:val="21"/>
                <w:highlight w:val="none"/>
                <w:lang w:val="en-US" w:eastAsia="zh-CN"/>
              </w:rPr>
              <w:t>⑦</w:t>
            </w:r>
            <w:r>
              <w:rPr>
                <w:rFonts w:ascii="Times New Roman"/>
                <w:snapToGrid w:val="0"/>
                <w:color w:val="auto"/>
                <w:kern w:val="21"/>
                <w:szCs w:val="21"/>
                <w:highlight w:val="none"/>
                <w:lang w:val="en-US" w:eastAsia="zh-CN"/>
              </w:rPr>
              <w:fldChar w:fldCharType="end"/>
            </w:r>
          </w:p>
        </w:tc>
      </w:tr>
      <w:tr w14:paraId="4080D70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446" w:type="dxa"/>
            <w:vMerge w:val="restart"/>
            <w:noWrap w:val="0"/>
            <w:vAlign w:val="center"/>
          </w:tcPr>
          <w:p w14:paraId="33035F74">
            <w:pPr>
              <w:pStyle w:val="49"/>
              <w:spacing w:beforeLines="0" w:afterLines="0" w:line="240" w:lineRule="auto"/>
              <w:rPr>
                <w:rFonts w:ascii="Times New Roman"/>
                <w:snapToGrid w:val="0"/>
                <w:color w:val="auto"/>
                <w:kern w:val="21"/>
                <w:szCs w:val="21"/>
                <w:highlight w:val="none"/>
                <w:lang w:val="en-US" w:eastAsia="zh-CN"/>
              </w:rPr>
            </w:pPr>
            <w:r>
              <w:rPr>
                <w:rFonts w:ascii="Times New Roman"/>
                <w:snapToGrid w:val="0"/>
                <w:color w:val="auto"/>
                <w:kern w:val="21"/>
                <w:szCs w:val="21"/>
                <w:highlight w:val="none"/>
                <w:lang w:val="en-US" w:eastAsia="zh-CN"/>
              </w:rPr>
              <w:t>废气</w:t>
            </w:r>
          </w:p>
        </w:tc>
        <w:tc>
          <w:tcPr>
            <w:tcW w:w="1559" w:type="dxa"/>
            <w:noWrap w:val="0"/>
            <w:vAlign w:val="center"/>
          </w:tcPr>
          <w:p w14:paraId="4F70C679">
            <w:pPr>
              <w:adjustRightInd w:val="0"/>
              <w:snapToGrid w:val="0"/>
              <w:spacing w:line="360" w:lineRule="exact"/>
              <w:jc w:val="center"/>
              <w:rPr>
                <w:bCs/>
                <w:color w:val="auto"/>
                <w:szCs w:val="21"/>
                <w:highlight w:val="none"/>
              </w:rPr>
            </w:pPr>
            <w:r>
              <w:rPr>
                <w:bCs/>
                <w:color w:val="auto"/>
                <w:szCs w:val="21"/>
                <w:highlight w:val="none"/>
              </w:rPr>
              <w:t>SO</w:t>
            </w:r>
            <w:r>
              <w:rPr>
                <w:bCs/>
                <w:color w:val="auto"/>
                <w:szCs w:val="21"/>
                <w:highlight w:val="none"/>
                <w:vertAlign w:val="subscript"/>
              </w:rPr>
              <w:t>2</w:t>
            </w:r>
          </w:p>
        </w:tc>
        <w:tc>
          <w:tcPr>
            <w:tcW w:w="1559" w:type="dxa"/>
            <w:noWrap w:val="0"/>
            <w:vAlign w:val="center"/>
          </w:tcPr>
          <w:p w14:paraId="7C859165">
            <w:pPr>
              <w:adjustRightInd w:val="0"/>
              <w:snapToGrid w:val="0"/>
              <w:spacing w:line="360" w:lineRule="exact"/>
              <w:jc w:val="center"/>
              <w:rPr>
                <w:rFonts w:hint="eastAsia" w:eastAsia="宋体"/>
                <w:bCs/>
                <w:color w:val="auto"/>
                <w:szCs w:val="21"/>
                <w:highlight w:val="none"/>
                <w:lang w:eastAsia="zh-CN"/>
              </w:rPr>
            </w:pPr>
            <w:r>
              <w:rPr>
                <w:rFonts w:hint="eastAsia"/>
                <w:color w:val="auto"/>
                <w:spacing w:val="1"/>
                <w:szCs w:val="21"/>
                <w:highlight w:val="none"/>
                <w:lang w:val="en-US" w:eastAsia="zh-CN"/>
              </w:rPr>
              <w:t>0</w:t>
            </w:r>
          </w:p>
        </w:tc>
        <w:tc>
          <w:tcPr>
            <w:tcW w:w="1276" w:type="dxa"/>
            <w:noWrap w:val="0"/>
            <w:vAlign w:val="center"/>
          </w:tcPr>
          <w:p w14:paraId="01E8A2B3">
            <w:pPr>
              <w:pStyle w:val="49"/>
              <w:spacing w:beforeLines="0" w:afterLines="0" w:line="240" w:lineRule="auto"/>
              <w:rPr>
                <w:rFonts w:ascii="Times New Roman"/>
                <w:snapToGrid w:val="0"/>
                <w:color w:val="auto"/>
                <w:kern w:val="21"/>
                <w:szCs w:val="21"/>
                <w:highlight w:val="none"/>
                <w:lang w:val="en-US" w:eastAsia="zh-CN"/>
              </w:rPr>
            </w:pPr>
            <w:r>
              <w:rPr>
                <w:rFonts w:hint="eastAsia" w:ascii="Times New Roman"/>
                <w:color w:val="auto"/>
                <w:spacing w:val="1"/>
                <w:szCs w:val="21"/>
                <w:highlight w:val="none"/>
                <w:lang w:val="en-US" w:eastAsia="zh-CN"/>
              </w:rPr>
              <w:t>0</w:t>
            </w:r>
          </w:p>
        </w:tc>
        <w:tc>
          <w:tcPr>
            <w:tcW w:w="1559" w:type="dxa"/>
            <w:noWrap w:val="0"/>
            <w:vAlign w:val="center"/>
          </w:tcPr>
          <w:p w14:paraId="30BBEB07">
            <w:pPr>
              <w:pStyle w:val="49"/>
              <w:spacing w:beforeLines="0" w:afterLines="0" w:line="240" w:lineRule="auto"/>
              <w:rPr>
                <w:rFonts w:ascii="Times New Roman"/>
                <w:snapToGrid w:val="0"/>
                <w:color w:val="auto"/>
                <w:kern w:val="21"/>
                <w:szCs w:val="21"/>
                <w:highlight w:val="none"/>
                <w:lang w:val="en-US" w:eastAsia="zh-CN"/>
              </w:rPr>
            </w:pPr>
            <w:r>
              <w:rPr>
                <w:rFonts w:ascii="Times New Roman"/>
                <w:snapToGrid w:val="0"/>
                <w:color w:val="auto"/>
                <w:kern w:val="21"/>
                <w:szCs w:val="21"/>
                <w:highlight w:val="none"/>
                <w:lang w:val="en-US" w:eastAsia="zh-CN"/>
              </w:rPr>
              <w:t>0</w:t>
            </w:r>
          </w:p>
        </w:tc>
        <w:tc>
          <w:tcPr>
            <w:tcW w:w="1701" w:type="dxa"/>
            <w:noWrap w:val="0"/>
            <w:vAlign w:val="center"/>
          </w:tcPr>
          <w:p w14:paraId="7610F6CB">
            <w:pPr>
              <w:pStyle w:val="49"/>
              <w:spacing w:beforeLines="0" w:afterLines="0" w:line="240" w:lineRule="auto"/>
              <w:rPr>
                <w:rFonts w:ascii="Times New Roman"/>
                <w:snapToGrid w:val="0"/>
                <w:color w:val="auto"/>
                <w:kern w:val="21"/>
                <w:szCs w:val="21"/>
                <w:highlight w:val="none"/>
                <w:lang w:val="en-US" w:eastAsia="zh-CN"/>
              </w:rPr>
            </w:pPr>
            <w:r>
              <w:rPr>
                <w:rFonts w:hint="eastAsia" w:ascii="Times New Roman"/>
                <w:snapToGrid w:val="0"/>
                <w:color w:val="auto"/>
                <w:kern w:val="21"/>
                <w:szCs w:val="21"/>
                <w:highlight w:val="none"/>
                <w:lang w:val="en-US" w:eastAsia="zh-CN"/>
              </w:rPr>
              <w:t>0</w:t>
            </w:r>
          </w:p>
        </w:tc>
        <w:tc>
          <w:tcPr>
            <w:tcW w:w="1701" w:type="dxa"/>
            <w:noWrap w:val="0"/>
            <w:vAlign w:val="center"/>
          </w:tcPr>
          <w:p w14:paraId="6B135745">
            <w:pPr>
              <w:pStyle w:val="49"/>
              <w:spacing w:beforeLines="0" w:afterLines="0" w:line="240" w:lineRule="auto"/>
              <w:rPr>
                <w:rFonts w:ascii="Times New Roman"/>
                <w:snapToGrid w:val="0"/>
                <w:color w:val="auto"/>
                <w:kern w:val="21"/>
                <w:szCs w:val="21"/>
                <w:highlight w:val="none"/>
                <w:lang w:val="en-US" w:eastAsia="zh-CN"/>
              </w:rPr>
            </w:pPr>
            <w:r>
              <w:rPr>
                <w:rFonts w:ascii="Times New Roman"/>
                <w:snapToGrid w:val="0"/>
                <w:color w:val="auto"/>
                <w:kern w:val="21"/>
                <w:szCs w:val="21"/>
                <w:highlight w:val="none"/>
                <w:lang w:val="en-US" w:eastAsia="zh-CN"/>
              </w:rPr>
              <w:t>0</w:t>
            </w:r>
          </w:p>
        </w:tc>
        <w:tc>
          <w:tcPr>
            <w:tcW w:w="1843" w:type="dxa"/>
            <w:noWrap w:val="0"/>
            <w:vAlign w:val="center"/>
          </w:tcPr>
          <w:p w14:paraId="3C3C40B6">
            <w:pPr>
              <w:adjustRightInd w:val="0"/>
              <w:snapToGrid w:val="0"/>
              <w:spacing w:line="360" w:lineRule="exact"/>
              <w:jc w:val="center"/>
              <w:rPr>
                <w:rFonts w:hint="eastAsia" w:eastAsia="宋体"/>
                <w:bCs/>
                <w:color w:val="auto"/>
                <w:szCs w:val="21"/>
                <w:highlight w:val="none"/>
                <w:lang w:eastAsia="zh-CN"/>
              </w:rPr>
            </w:pPr>
            <w:r>
              <w:rPr>
                <w:rFonts w:hint="eastAsia"/>
                <w:bCs/>
                <w:color w:val="auto"/>
                <w:szCs w:val="21"/>
                <w:highlight w:val="none"/>
                <w:lang w:val="en-US" w:eastAsia="zh-CN"/>
              </w:rPr>
              <w:t>0</w:t>
            </w:r>
          </w:p>
        </w:tc>
        <w:tc>
          <w:tcPr>
            <w:tcW w:w="1144" w:type="dxa"/>
            <w:noWrap w:val="0"/>
            <w:vAlign w:val="center"/>
          </w:tcPr>
          <w:p w14:paraId="4F8B09F6">
            <w:pPr>
              <w:pStyle w:val="49"/>
              <w:spacing w:beforeLines="0" w:afterLines="0" w:line="240" w:lineRule="auto"/>
              <w:rPr>
                <w:rFonts w:hint="default" w:ascii="Times New Roman"/>
                <w:snapToGrid w:val="0"/>
                <w:color w:val="auto"/>
                <w:kern w:val="21"/>
                <w:szCs w:val="21"/>
                <w:highlight w:val="none"/>
                <w:lang w:val="en-US" w:eastAsia="zh-CN"/>
              </w:rPr>
            </w:pPr>
            <w:r>
              <w:rPr>
                <w:rFonts w:hint="eastAsia" w:ascii="Times New Roman"/>
                <w:snapToGrid w:val="0"/>
                <w:color w:val="auto"/>
                <w:kern w:val="21"/>
                <w:szCs w:val="21"/>
                <w:highlight w:val="none"/>
                <w:lang w:val="en-US" w:eastAsia="zh-CN"/>
              </w:rPr>
              <w:t>0</w:t>
            </w:r>
          </w:p>
        </w:tc>
      </w:tr>
      <w:tr w14:paraId="69AD48E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446" w:type="dxa"/>
            <w:vMerge w:val="continue"/>
            <w:noWrap w:val="0"/>
            <w:vAlign w:val="center"/>
          </w:tcPr>
          <w:p w14:paraId="680F79A8">
            <w:pPr>
              <w:pStyle w:val="49"/>
              <w:spacing w:beforeLines="0" w:afterLines="0" w:line="240" w:lineRule="auto"/>
              <w:rPr>
                <w:rFonts w:ascii="Times New Roman"/>
                <w:snapToGrid w:val="0"/>
                <w:color w:val="auto"/>
                <w:kern w:val="21"/>
                <w:szCs w:val="21"/>
                <w:highlight w:val="none"/>
                <w:lang w:val="en-US" w:eastAsia="zh-CN"/>
              </w:rPr>
            </w:pPr>
          </w:p>
        </w:tc>
        <w:tc>
          <w:tcPr>
            <w:tcW w:w="1559" w:type="dxa"/>
            <w:noWrap w:val="0"/>
            <w:vAlign w:val="center"/>
          </w:tcPr>
          <w:p w14:paraId="11BEE4AD">
            <w:pPr>
              <w:adjustRightInd w:val="0"/>
              <w:snapToGrid w:val="0"/>
              <w:spacing w:line="360" w:lineRule="exact"/>
              <w:jc w:val="center"/>
              <w:rPr>
                <w:bCs/>
                <w:color w:val="auto"/>
                <w:szCs w:val="21"/>
                <w:highlight w:val="none"/>
              </w:rPr>
            </w:pPr>
            <w:r>
              <w:rPr>
                <w:bCs/>
                <w:color w:val="auto"/>
                <w:szCs w:val="21"/>
                <w:highlight w:val="none"/>
              </w:rPr>
              <w:t>颗粒物</w:t>
            </w:r>
          </w:p>
        </w:tc>
        <w:tc>
          <w:tcPr>
            <w:tcW w:w="1559" w:type="dxa"/>
            <w:noWrap w:val="0"/>
            <w:vAlign w:val="center"/>
          </w:tcPr>
          <w:p w14:paraId="46BADBDC">
            <w:pPr>
              <w:adjustRightInd w:val="0"/>
              <w:snapToGrid w:val="0"/>
              <w:spacing w:line="360" w:lineRule="exact"/>
              <w:jc w:val="center"/>
              <w:rPr>
                <w:bCs/>
                <w:color w:val="auto"/>
                <w:szCs w:val="21"/>
                <w:highlight w:val="none"/>
              </w:rPr>
            </w:pPr>
            <w:r>
              <w:rPr>
                <w:rFonts w:hint="eastAsia"/>
                <w:color w:val="auto"/>
                <w:spacing w:val="1"/>
                <w:szCs w:val="21"/>
                <w:highlight w:val="none"/>
                <w:lang w:val="en-US" w:eastAsia="zh-CN"/>
              </w:rPr>
              <w:t>0</w:t>
            </w:r>
          </w:p>
        </w:tc>
        <w:tc>
          <w:tcPr>
            <w:tcW w:w="1276" w:type="dxa"/>
            <w:noWrap w:val="0"/>
            <w:vAlign w:val="center"/>
          </w:tcPr>
          <w:p w14:paraId="0AB8016A">
            <w:pPr>
              <w:pStyle w:val="49"/>
              <w:spacing w:beforeLines="0" w:afterLines="0" w:line="240" w:lineRule="auto"/>
              <w:rPr>
                <w:rFonts w:ascii="Times New Roman"/>
                <w:snapToGrid w:val="0"/>
                <w:color w:val="auto"/>
                <w:kern w:val="21"/>
                <w:szCs w:val="21"/>
                <w:highlight w:val="none"/>
                <w:lang w:val="en-US" w:eastAsia="zh-CN"/>
              </w:rPr>
            </w:pPr>
            <w:r>
              <w:rPr>
                <w:rFonts w:hint="eastAsia" w:ascii="Times New Roman"/>
                <w:color w:val="auto"/>
                <w:spacing w:val="1"/>
                <w:szCs w:val="21"/>
                <w:highlight w:val="none"/>
                <w:lang w:val="en-US" w:eastAsia="zh-CN"/>
              </w:rPr>
              <w:t>0</w:t>
            </w:r>
          </w:p>
        </w:tc>
        <w:tc>
          <w:tcPr>
            <w:tcW w:w="1559" w:type="dxa"/>
            <w:noWrap w:val="0"/>
            <w:vAlign w:val="center"/>
          </w:tcPr>
          <w:p w14:paraId="156810A1">
            <w:pPr>
              <w:pStyle w:val="49"/>
              <w:spacing w:beforeLines="0" w:afterLines="0" w:line="240" w:lineRule="auto"/>
              <w:rPr>
                <w:rFonts w:ascii="Times New Roman"/>
                <w:snapToGrid w:val="0"/>
                <w:color w:val="auto"/>
                <w:kern w:val="21"/>
                <w:szCs w:val="21"/>
                <w:highlight w:val="none"/>
                <w:lang w:val="en-US" w:eastAsia="zh-CN"/>
              </w:rPr>
            </w:pPr>
            <w:r>
              <w:rPr>
                <w:rFonts w:ascii="Times New Roman"/>
                <w:snapToGrid w:val="0"/>
                <w:color w:val="auto"/>
                <w:kern w:val="21"/>
                <w:szCs w:val="21"/>
                <w:highlight w:val="none"/>
                <w:lang w:val="en-US" w:eastAsia="zh-CN"/>
              </w:rPr>
              <w:t>0</w:t>
            </w:r>
          </w:p>
        </w:tc>
        <w:tc>
          <w:tcPr>
            <w:tcW w:w="1701" w:type="dxa"/>
            <w:noWrap w:val="0"/>
            <w:vAlign w:val="center"/>
          </w:tcPr>
          <w:p w14:paraId="013256CB">
            <w:pPr>
              <w:pStyle w:val="49"/>
              <w:spacing w:beforeLines="0" w:afterLines="0" w:line="240" w:lineRule="auto"/>
              <w:rPr>
                <w:rFonts w:hint="default" w:ascii="Times New Roman"/>
                <w:snapToGrid w:val="0"/>
                <w:color w:val="auto"/>
                <w:kern w:val="21"/>
                <w:szCs w:val="21"/>
                <w:highlight w:val="none"/>
                <w:lang w:val="en-US" w:eastAsia="zh-CN"/>
              </w:rPr>
            </w:pPr>
            <w:r>
              <w:rPr>
                <w:rFonts w:hint="eastAsia" w:ascii="Times New Roman"/>
                <w:snapToGrid w:val="0"/>
                <w:color w:val="auto"/>
                <w:kern w:val="21"/>
                <w:szCs w:val="21"/>
                <w:highlight w:val="none"/>
                <w:lang w:val="en-US" w:eastAsia="zh-CN"/>
              </w:rPr>
              <w:t>0.227</w:t>
            </w:r>
          </w:p>
        </w:tc>
        <w:tc>
          <w:tcPr>
            <w:tcW w:w="1701" w:type="dxa"/>
            <w:noWrap w:val="0"/>
            <w:vAlign w:val="center"/>
          </w:tcPr>
          <w:p w14:paraId="1F90439F">
            <w:pPr>
              <w:pStyle w:val="49"/>
              <w:spacing w:beforeLines="0" w:afterLines="0" w:line="240" w:lineRule="auto"/>
              <w:rPr>
                <w:rFonts w:ascii="Times New Roman"/>
                <w:snapToGrid w:val="0"/>
                <w:color w:val="auto"/>
                <w:kern w:val="21"/>
                <w:szCs w:val="21"/>
                <w:highlight w:val="none"/>
                <w:lang w:val="en-US" w:eastAsia="zh-CN"/>
              </w:rPr>
            </w:pPr>
            <w:r>
              <w:rPr>
                <w:rFonts w:ascii="Times New Roman"/>
                <w:snapToGrid w:val="0"/>
                <w:color w:val="auto"/>
                <w:kern w:val="21"/>
                <w:szCs w:val="21"/>
                <w:highlight w:val="none"/>
                <w:lang w:val="en-US" w:eastAsia="zh-CN"/>
              </w:rPr>
              <w:t>0</w:t>
            </w:r>
          </w:p>
        </w:tc>
        <w:tc>
          <w:tcPr>
            <w:tcW w:w="1843" w:type="dxa"/>
            <w:noWrap w:val="0"/>
            <w:vAlign w:val="center"/>
          </w:tcPr>
          <w:p w14:paraId="6CB7566D">
            <w:pPr>
              <w:pStyle w:val="49"/>
              <w:spacing w:beforeLines="0" w:afterLines="0" w:line="240" w:lineRule="auto"/>
              <w:rPr>
                <w:rFonts w:hint="eastAsia" w:ascii="Times New Roman" w:hAnsi="Times New Roman" w:eastAsia="宋体" w:cs="Times New Roman"/>
                <w:snapToGrid w:val="0"/>
                <w:color w:val="auto"/>
                <w:kern w:val="21"/>
                <w:szCs w:val="21"/>
                <w:highlight w:val="none"/>
                <w:lang w:val="en-US" w:eastAsia="zh-CN"/>
              </w:rPr>
            </w:pPr>
            <w:r>
              <w:rPr>
                <w:rFonts w:hint="eastAsia" w:ascii="Times New Roman" w:hAnsi="Times New Roman" w:eastAsia="宋体" w:cs="Times New Roman"/>
                <w:snapToGrid w:val="0"/>
                <w:color w:val="auto"/>
                <w:kern w:val="21"/>
                <w:szCs w:val="21"/>
                <w:highlight w:val="none"/>
                <w:lang w:val="en-US" w:eastAsia="zh-CN"/>
              </w:rPr>
              <w:t>0.227</w:t>
            </w:r>
          </w:p>
        </w:tc>
        <w:tc>
          <w:tcPr>
            <w:tcW w:w="1144" w:type="dxa"/>
            <w:noWrap w:val="0"/>
            <w:vAlign w:val="center"/>
          </w:tcPr>
          <w:p w14:paraId="5E76A4A1">
            <w:pPr>
              <w:pStyle w:val="49"/>
              <w:spacing w:beforeLines="0" w:afterLines="0" w:line="240" w:lineRule="auto"/>
              <w:rPr>
                <w:rFonts w:hint="eastAsia" w:ascii="Times New Roman" w:hAnsi="Times New Roman" w:eastAsia="宋体" w:cs="Times New Roman"/>
                <w:snapToGrid w:val="0"/>
                <w:color w:val="auto"/>
                <w:kern w:val="21"/>
                <w:szCs w:val="21"/>
                <w:highlight w:val="none"/>
                <w:lang w:val="en-US" w:eastAsia="zh-CN"/>
              </w:rPr>
            </w:pPr>
            <w:r>
              <w:rPr>
                <w:rFonts w:hint="eastAsia" w:ascii="Times New Roman" w:hAnsi="Times New Roman" w:eastAsia="宋体" w:cs="Times New Roman"/>
                <w:snapToGrid w:val="0"/>
                <w:color w:val="auto"/>
                <w:kern w:val="21"/>
                <w:szCs w:val="21"/>
                <w:highlight w:val="none"/>
                <w:lang w:val="en-US" w:eastAsia="zh-CN"/>
              </w:rPr>
              <w:t>0.227</w:t>
            </w:r>
          </w:p>
        </w:tc>
      </w:tr>
      <w:tr w14:paraId="6CDFD99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446" w:type="dxa"/>
            <w:vMerge w:val="continue"/>
            <w:noWrap w:val="0"/>
            <w:vAlign w:val="center"/>
          </w:tcPr>
          <w:p w14:paraId="70A8249B">
            <w:pPr>
              <w:pStyle w:val="49"/>
              <w:spacing w:beforeLines="0" w:afterLines="0" w:line="240" w:lineRule="auto"/>
              <w:rPr>
                <w:rFonts w:ascii="Times New Roman"/>
                <w:snapToGrid w:val="0"/>
                <w:color w:val="auto"/>
                <w:kern w:val="21"/>
                <w:szCs w:val="21"/>
                <w:highlight w:val="none"/>
                <w:lang w:val="en-US" w:eastAsia="zh-CN"/>
              </w:rPr>
            </w:pPr>
          </w:p>
        </w:tc>
        <w:tc>
          <w:tcPr>
            <w:tcW w:w="1559" w:type="dxa"/>
            <w:noWrap w:val="0"/>
            <w:vAlign w:val="center"/>
          </w:tcPr>
          <w:p w14:paraId="22CDA9BE">
            <w:pPr>
              <w:adjustRightInd w:val="0"/>
              <w:snapToGrid w:val="0"/>
              <w:spacing w:line="360" w:lineRule="exact"/>
              <w:jc w:val="center"/>
              <w:rPr>
                <w:bCs/>
                <w:color w:val="auto"/>
                <w:szCs w:val="21"/>
                <w:highlight w:val="none"/>
              </w:rPr>
            </w:pPr>
            <w:r>
              <w:rPr>
                <w:bCs/>
                <w:color w:val="auto"/>
                <w:szCs w:val="21"/>
                <w:highlight w:val="none"/>
              </w:rPr>
              <w:t>NO</w:t>
            </w:r>
            <w:r>
              <w:rPr>
                <w:bCs/>
                <w:color w:val="auto"/>
                <w:szCs w:val="21"/>
                <w:highlight w:val="none"/>
                <w:vertAlign w:val="subscript"/>
              </w:rPr>
              <w:t>X</w:t>
            </w:r>
          </w:p>
        </w:tc>
        <w:tc>
          <w:tcPr>
            <w:tcW w:w="1559" w:type="dxa"/>
            <w:noWrap w:val="0"/>
            <w:vAlign w:val="center"/>
          </w:tcPr>
          <w:p w14:paraId="661449A2">
            <w:pPr>
              <w:adjustRightInd w:val="0"/>
              <w:snapToGrid w:val="0"/>
              <w:spacing w:line="360" w:lineRule="exact"/>
              <w:jc w:val="center"/>
              <w:rPr>
                <w:bCs/>
                <w:color w:val="auto"/>
                <w:szCs w:val="21"/>
                <w:highlight w:val="none"/>
              </w:rPr>
            </w:pPr>
            <w:r>
              <w:rPr>
                <w:rFonts w:hint="eastAsia"/>
                <w:color w:val="auto"/>
                <w:spacing w:val="1"/>
                <w:szCs w:val="21"/>
                <w:highlight w:val="none"/>
                <w:lang w:val="en-US" w:eastAsia="zh-CN"/>
              </w:rPr>
              <w:t>0</w:t>
            </w:r>
          </w:p>
        </w:tc>
        <w:tc>
          <w:tcPr>
            <w:tcW w:w="1276" w:type="dxa"/>
            <w:noWrap w:val="0"/>
            <w:vAlign w:val="center"/>
          </w:tcPr>
          <w:p w14:paraId="4F3DC8F0">
            <w:pPr>
              <w:pStyle w:val="49"/>
              <w:spacing w:beforeLines="0" w:afterLines="0" w:line="240" w:lineRule="auto"/>
              <w:rPr>
                <w:rFonts w:ascii="Times New Roman"/>
                <w:snapToGrid w:val="0"/>
                <w:color w:val="auto"/>
                <w:kern w:val="21"/>
                <w:szCs w:val="21"/>
                <w:highlight w:val="none"/>
                <w:lang w:val="en-US" w:eastAsia="zh-CN"/>
              </w:rPr>
            </w:pPr>
            <w:r>
              <w:rPr>
                <w:rFonts w:hint="eastAsia" w:ascii="Times New Roman"/>
                <w:color w:val="auto"/>
                <w:spacing w:val="1"/>
                <w:szCs w:val="21"/>
                <w:highlight w:val="none"/>
                <w:lang w:val="en-US" w:eastAsia="zh-CN"/>
              </w:rPr>
              <w:t>0</w:t>
            </w:r>
          </w:p>
        </w:tc>
        <w:tc>
          <w:tcPr>
            <w:tcW w:w="1559" w:type="dxa"/>
            <w:noWrap w:val="0"/>
            <w:vAlign w:val="center"/>
          </w:tcPr>
          <w:p w14:paraId="5AE00E39">
            <w:pPr>
              <w:pStyle w:val="49"/>
              <w:spacing w:beforeLines="0" w:afterLines="0" w:line="240" w:lineRule="auto"/>
              <w:rPr>
                <w:rFonts w:ascii="Times New Roman"/>
                <w:snapToGrid w:val="0"/>
                <w:color w:val="auto"/>
                <w:kern w:val="21"/>
                <w:szCs w:val="21"/>
                <w:highlight w:val="none"/>
                <w:lang w:val="en-US" w:eastAsia="zh-CN"/>
              </w:rPr>
            </w:pPr>
            <w:r>
              <w:rPr>
                <w:rFonts w:ascii="Times New Roman"/>
                <w:snapToGrid w:val="0"/>
                <w:color w:val="auto"/>
                <w:kern w:val="21"/>
                <w:szCs w:val="21"/>
                <w:highlight w:val="none"/>
                <w:lang w:val="en-US" w:eastAsia="zh-CN"/>
              </w:rPr>
              <w:t>0</w:t>
            </w:r>
          </w:p>
        </w:tc>
        <w:tc>
          <w:tcPr>
            <w:tcW w:w="1701" w:type="dxa"/>
            <w:noWrap w:val="0"/>
            <w:vAlign w:val="center"/>
          </w:tcPr>
          <w:p w14:paraId="5E954C87">
            <w:pPr>
              <w:pStyle w:val="49"/>
              <w:spacing w:beforeLines="0" w:afterLines="0" w:line="240" w:lineRule="auto"/>
              <w:rPr>
                <w:rFonts w:ascii="Times New Roman"/>
                <w:snapToGrid w:val="0"/>
                <w:color w:val="auto"/>
                <w:kern w:val="21"/>
                <w:szCs w:val="21"/>
                <w:highlight w:val="none"/>
                <w:lang w:val="en-US" w:eastAsia="zh-CN"/>
              </w:rPr>
            </w:pPr>
            <w:r>
              <w:rPr>
                <w:rFonts w:hint="eastAsia" w:ascii="Times New Roman"/>
                <w:snapToGrid w:val="0"/>
                <w:color w:val="auto"/>
                <w:kern w:val="21"/>
                <w:szCs w:val="21"/>
                <w:highlight w:val="none"/>
                <w:lang w:val="en-US" w:eastAsia="zh-CN"/>
              </w:rPr>
              <w:t>0</w:t>
            </w:r>
          </w:p>
        </w:tc>
        <w:tc>
          <w:tcPr>
            <w:tcW w:w="1701" w:type="dxa"/>
            <w:noWrap w:val="0"/>
            <w:vAlign w:val="center"/>
          </w:tcPr>
          <w:p w14:paraId="645960C4">
            <w:pPr>
              <w:pStyle w:val="49"/>
              <w:spacing w:beforeLines="0" w:afterLines="0" w:line="240" w:lineRule="auto"/>
              <w:rPr>
                <w:rFonts w:ascii="Times New Roman"/>
                <w:snapToGrid w:val="0"/>
                <w:color w:val="auto"/>
                <w:kern w:val="21"/>
                <w:szCs w:val="21"/>
                <w:highlight w:val="none"/>
                <w:lang w:val="en-US" w:eastAsia="zh-CN"/>
              </w:rPr>
            </w:pPr>
            <w:r>
              <w:rPr>
                <w:rFonts w:ascii="Times New Roman"/>
                <w:snapToGrid w:val="0"/>
                <w:color w:val="auto"/>
                <w:kern w:val="21"/>
                <w:szCs w:val="21"/>
                <w:highlight w:val="none"/>
                <w:lang w:val="en-US" w:eastAsia="zh-CN"/>
              </w:rPr>
              <w:t>0</w:t>
            </w:r>
          </w:p>
        </w:tc>
        <w:tc>
          <w:tcPr>
            <w:tcW w:w="1843" w:type="dxa"/>
            <w:noWrap w:val="0"/>
            <w:vAlign w:val="center"/>
          </w:tcPr>
          <w:p w14:paraId="2C652A1A">
            <w:pPr>
              <w:pStyle w:val="49"/>
              <w:spacing w:beforeLines="0" w:afterLines="0" w:line="240" w:lineRule="auto"/>
              <w:rPr>
                <w:rFonts w:hint="eastAsia" w:ascii="Times New Roman" w:hAnsi="Times New Roman" w:eastAsia="宋体" w:cs="Times New Roman"/>
                <w:snapToGrid w:val="0"/>
                <w:color w:val="auto"/>
                <w:kern w:val="21"/>
                <w:szCs w:val="21"/>
                <w:highlight w:val="none"/>
                <w:lang w:val="en-US" w:eastAsia="zh-CN"/>
              </w:rPr>
            </w:pPr>
            <w:r>
              <w:rPr>
                <w:rFonts w:hint="eastAsia" w:ascii="Times New Roman" w:hAnsi="Times New Roman" w:eastAsia="宋体" w:cs="Times New Roman"/>
                <w:snapToGrid w:val="0"/>
                <w:color w:val="auto"/>
                <w:kern w:val="21"/>
                <w:szCs w:val="21"/>
                <w:highlight w:val="none"/>
                <w:lang w:val="en-US" w:eastAsia="zh-CN"/>
              </w:rPr>
              <w:t>0</w:t>
            </w:r>
          </w:p>
        </w:tc>
        <w:tc>
          <w:tcPr>
            <w:tcW w:w="1144" w:type="dxa"/>
            <w:noWrap w:val="0"/>
            <w:vAlign w:val="center"/>
          </w:tcPr>
          <w:p w14:paraId="225AD352">
            <w:pPr>
              <w:pStyle w:val="49"/>
              <w:spacing w:beforeLines="0" w:afterLines="0" w:line="240" w:lineRule="auto"/>
              <w:rPr>
                <w:rFonts w:hint="default" w:ascii="Times New Roman" w:hAnsi="Times New Roman" w:eastAsia="宋体" w:cs="Times New Roman"/>
                <w:snapToGrid w:val="0"/>
                <w:color w:val="auto"/>
                <w:kern w:val="21"/>
                <w:szCs w:val="21"/>
                <w:highlight w:val="none"/>
                <w:lang w:val="en-US" w:eastAsia="zh-CN"/>
              </w:rPr>
            </w:pPr>
            <w:r>
              <w:rPr>
                <w:rFonts w:hint="eastAsia" w:ascii="Times New Roman" w:hAnsi="Times New Roman" w:eastAsia="宋体" w:cs="Times New Roman"/>
                <w:snapToGrid w:val="0"/>
                <w:color w:val="auto"/>
                <w:kern w:val="21"/>
                <w:szCs w:val="21"/>
                <w:highlight w:val="none"/>
                <w:lang w:val="en-US" w:eastAsia="zh-CN"/>
              </w:rPr>
              <w:t>0</w:t>
            </w:r>
          </w:p>
        </w:tc>
      </w:tr>
      <w:tr w14:paraId="249D15E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446" w:type="dxa"/>
            <w:vMerge w:val="continue"/>
            <w:noWrap w:val="0"/>
            <w:vAlign w:val="center"/>
          </w:tcPr>
          <w:p w14:paraId="4E7F1A51">
            <w:pPr>
              <w:pStyle w:val="49"/>
              <w:spacing w:beforeLines="0" w:afterLines="0" w:line="240" w:lineRule="auto"/>
              <w:rPr>
                <w:rFonts w:ascii="Times New Roman"/>
                <w:snapToGrid w:val="0"/>
                <w:color w:val="auto"/>
                <w:kern w:val="21"/>
                <w:szCs w:val="21"/>
                <w:highlight w:val="none"/>
                <w:lang w:val="en-US" w:eastAsia="zh-CN"/>
              </w:rPr>
            </w:pPr>
          </w:p>
        </w:tc>
        <w:tc>
          <w:tcPr>
            <w:tcW w:w="1559" w:type="dxa"/>
            <w:noWrap w:val="0"/>
            <w:vAlign w:val="center"/>
          </w:tcPr>
          <w:p w14:paraId="55D74E74">
            <w:pPr>
              <w:adjustRightInd w:val="0"/>
              <w:snapToGrid w:val="0"/>
              <w:spacing w:line="360" w:lineRule="exact"/>
              <w:jc w:val="center"/>
              <w:rPr>
                <w:bCs/>
                <w:color w:val="auto"/>
                <w:szCs w:val="21"/>
                <w:highlight w:val="none"/>
              </w:rPr>
            </w:pPr>
            <w:r>
              <w:rPr>
                <w:bCs/>
                <w:color w:val="auto"/>
                <w:szCs w:val="21"/>
                <w:highlight w:val="none"/>
              </w:rPr>
              <w:t>VOCs</w:t>
            </w:r>
          </w:p>
        </w:tc>
        <w:tc>
          <w:tcPr>
            <w:tcW w:w="1559" w:type="dxa"/>
            <w:noWrap w:val="0"/>
            <w:vAlign w:val="center"/>
          </w:tcPr>
          <w:p w14:paraId="3EC37FA3">
            <w:pPr>
              <w:adjustRightInd w:val="0"/>
              <w:snapToGrid w:val="0"/>
              <w:spacing w:line="360" w:lineRule="exact"/>
              <w:jc w:val="center"/>
              <w:rPr>
                <w:bCs/>
                <w:color w:val="auto"/>
                <w:szCs w:val="21"/>
                <w:highlight w:val="none"/>
              </w:rPr>
            </w:pPr>
            <w:r>
              <w:rPr>
                <w:rFonts w:hint="eastAsia"/>
                <w:color w:val="auto"/>
                <w:spacing w:val="1"/>
                <w:szCs w:val="21"/>
                <w:highlight w:val="none"/>
                <w:lang w:val="en-US" w:eastAsia="zh-CN"/>
              </w:rPr>
              <w:t>0</w:t>
            </w:r>
          </w:p>
        </w:tc>
        <w:tc>
          <w:tcPr>
            <w:tcW w:w="1276" w:type="dxa"/>
            <w:noWrap w:val="0"/>
            <w:vAlign w:val="center"/>
          </w:tcPr>
          <w:p w14:paraId="19C96C3A">
            <w:pPr>
              <w:pStyle w:val="49"/>
              <w:spacing w:beforeLines="0" w:afterLines="0" w:line="240" w:lineRule="auto"/>
              <w:rPr>
                <w:rFonts w:ascii="Times New Roman"/>
                <w:snapToGrid w:val="0"/>
                <w:color w:val="auto"/>
                <w:kern w:val="21"/>
                <w:szCs w:val="21"/>
                <w:highlight w:val="none"/>
                <w:lang w:val="en-US" w:eastAsia="zh-CN"/>
              </w:rPr>
            </w:pPr>
            <w:r>
              <w:rPr>
                <w:rFonts w:hint="eastAsia" w:ascii="Times New Roman"/>
                <w:color w:val="auto"/>
                <w:spacing w:val="1"/>
                <w:szCs w:val="21"/>
                <w:highlight w:val="none"/>
                <w:lang w:val="en-US" w:eastAsia="zh-CN"/>
              </w:rPr>
              <w:t>0</w:t>
            </w:r>
          </w:p>
        </w:tc>
        <w:tc>
          <w:tcPr>
            <w:tcW w:w="1559" w:type="dxa"/>
            <w:noWrap w:val="0"/>
            <w:vAlign w:val="center"/>
          </w:tcPr>
          <w:p w14:paraId="597B87B8">
            <w:pPr>
              <w:pStyle w:val="49"/>
              <w:spacing w:beforeLines="0" w:afterLines="0" w:line="240" w:lineRule="auto"/>
              <w:rPr>
                <w:rFonts w:ascii="Times New Roman"/>
                <w:snapToGrid w:val="0"/>
                <w:color w:val="auto"/>
                <w:kern w:val="21"/>
                <w:szCs w:val="21"/>
                <w:highlight w:val="none"/>
                <w:lang w:val="en-US" w:eastAsia="zh-CN"/>
              </w:rPr>
            </w:pPr>
            <w:r>
              <w:rPr>
                <w:rFonts w:ascii="Times New Roman"/>
                <w:snapToGrid w:val="0"/>
                <w:color w:val="auto"/>
                <w:kern w:val="21"/>
                <w:szCs w:val="21"/>
                <w:highlight w:val="none"/>
                <w:lang w:val="en-US" w:eastAsia="zh-CN"/>
              </w:rPr>
              <w:t>0</w:t>
            </w:r>
          </w:p>
        </w:tc>
        <w:tc>
          <w:tcPr>
            <w:tcW w:w="1701" w:type="dxa"/>
            <w:noWrap w:val="0"/>
            <w:vAlign w:val="center"/>
          </w:tcPr>
          <w:p w14:paraId="0612B894">
            <w:pPr>
              <w:pStyle w:val="49"/>
              <w:spacing w:beforeLines="0" w:afterLines="0" w:line="240" w:lineRule="auto"/>
              <w:rPr>
                <w:rFonts w:hint="default" w:ascii="Times New Roman"/>
                <w:snapToGrid w:val="0"/>
                <w:color w:val="auto"/>
                <w:kern w:val="21"/>
                <w:szCs w:val="21"/>
                <w:highlight w:val="none"/>
                <w:lang w:val="en-US" w:eastAsia="zh-CN"/>
              </w:rPr>
            </w:pPr>
            <w:r>
              <w:rPr>
                <w:rFonts w:hint="eastAsia" w:ascii="Times New Roman"/>
                <w:snapToGrid w:val="0"/>
                <w:color w:val="auto"/>
                <w:kern w:val="21"/>
                <w:szCs w:val="21"/>
                <w:highlight w:val="none"/>
                <w:lang w:val="en-US" w:eastAsia="zh-CN"/>
              </w:rPr>
              <w:t>0.396</w:t>
            </w:r>
          </w:p>
        </w:tc>
        <w:tc>
          <w:tcPr>
            <w:tcW w:w="1701" w:type="dxa"/>
            <w:noWrap w:val="0"/>
            <w:vAlign w:val="center"/>
          </w:tcPr>
          <w:p w14:paraId="5285D94E">
            <w:pPr>
              <w:pStyle w:val="49"/>
              <w:spacing w:beforeLines="0" w:afterLines="0" w:line="240" w:lineRule="auto"/>
              <w:rPr>
                <w:rFonts w:ascii="Times New Roman"/>
                <w:snapToGrid w:val="0"/>
                <w:color w:val="auto"/>
                <w:kern w:val="21"/>
                <w:szCs w:val="21"/>
                <w:highlight w:val="none"/>
                <w:lang w:val="en-US" w:eastAsia="zh-CN"/>
              </w:rPr>
            </w:pPr>
            <w:r>
              <w:rPr>
                <w:rFonts w:ascii="Times New Roman"/>
                <w:snapToGrid w:val="0"/>
                <w:color w:val="auto"/>
                <w:kern w:val="21"/>
                <w:szCs w:val="21"/>
                <w:highlight w:val="none"/>
                <w:lang w:val="en-US" w:eastAsia="zh-CN"/>
              </w:rPr>
              <w:t>0</w:t>
            </w:r>
          </w:p>
        </w:tc>
        <w:tc>
          <w:tcPr>
            <w:tcW w:w="1843" w:type="dxa"/>
            <w:noWrap w:val="0"/>
            <w:vAlign w:val="center"/>
          </w:tcPr>
          <w:p w14:paraId="4945FE9B">
            <w:pPr>
              <w:pStyle w:val="49"/>
              <w:spacing w:beforeLines="0" w:afterLines="0" w:line="240" w:lineRule="auto"/>
              <w:rPr>
                <w:rFonts w:hint="default" w:ascii="Times New Roman" w:hAnsi="Times New Roman" w:eastAsia="宋体" w:cs="Times New Roman"/>
                <w:snapToGrid w:val="0"/>
                <w:color w:val="auto"/>
                <w:kern w:val="21"/>
                <w:szCs w:val="21"/>
                <w:highlight w:val="none"/>
                <w:lang w:val="en-US" w:eastAsia="zh-CN"/>
              </w:rPr>
            </w:pPr>
            <w:r>
              <w:rPr>
                <w:rFonts w:hint="eastAsia" w:ascii="Times New Roman" w:hAnsi="Times New Roman" w:eastAsia="宋体" w:cs="Times New Roman"/>
                <w:snapToGrid w:val="0"/>
                <w:color w:val="auto"/>
                <w:kern w:val="21"/>
                <w:szCs w:val="21"/>
                <w:highlight w:val="none"/>
                <w:lang w:val="en-US" w:eastAsia="zh-CN"/>
              </w:rPr>
              <w:t>0.396</w:t>
            </w:r>
          </w:p>
        </w:tc>
        <w:tc>
          <w:tcPr>
            <w:tcW w:w="1144" w:type="dxa"/>
            <w:noWrap w:val="0"/>
            <w:vAlign w:val="center"/>
          </w:tcPr>
          <w:p w14:paraId="61ABFF7A">
            <w:pPr>
              <w:pStyle w:val="49"/>
              <w:spacing w:beforeLines="0" w:afterLines="0" w:line="240" w:lineRule="auto"/>
              <w:rPr>
                <w:rFonts w:hint="default" w:ascii="Times New Roman" w:hAnsi="Times New Roman" w:eastAsia="宋体" w:cs="Times New Roman"/>
                <w:snapToGrid w:val="0"/>
                <w:color w:val="auto"/>
                <w:kern w:val="21"/>
                <w:szCs w:val="21"/>
                <w:highlight w:val="none"/>
                <w:lang w:val="en-US" w:eastAsia="zh-CN"/>
              </w:rPr>
            </w:pPr>
            <w:r>
              <w:rPr>
                <w:rFonts w:hint="eastAsia" w:ascii="Times New Roman" w:hAnsi="Times New Roman" w:eastAsia="宋体" w:cs="Times New Roman"/>
                <w:snapToGrid w:val="0"/>
                <w:color w:val="auto"/>
                <w:kern w:val="21"/>
                <w:szCs w:val="21"/>
                <w:highlight w:val="none"/>
                <w:lang w:val="en-US" w:eastAsia="zh-CN"/>
              </w:rPr>
              <w:t>0.396</w:t>
            </w:r>
          </w:p>
        </w:tc>
      </w:tr>
      <w:tr w14:paraId="0A93A3F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446" w:type="dxa"/>
            <w:vMerge w:val="restart"/>
            <w:noWrap w:val="0"/>
            <w:vAlign w:val="center"/>
          </w:tcPr>
          <w:p w14:paraId="51436F3D">
            <w:pPr>
              <w:pStyle w:val="49"/>
              <w:spacing w:beforeLines="0" w:afterLines="0" w:line="240" w:lineRule="auto"/>
              <w:rPr>
                <w:rFonts w:ascii="Times New Roman"/>
                <w:snapToGrid w:val="0"/>
                <w:color w:val="auto"/>
                <w:kern w:val="21"/>
                <w:szCs w:val="21"/>
                <w:highlight w:val="none"/>
                <w:lang w:val="en-US" w:eastAsia="zh-CN"/>
              </w:rPr>
            </w:pPr>
            <w:r>
              <w:rPr>
                <w:rFonts w:ascii="Times New Roman"/>
                <w:snapToGrid w:val="0"/>
                <w:color w:val="auto"/>
                <w:kern w:val="21"/>
                <w:szCs w:val="21"/>
                <w:highlight w:val="none"/>
                <w:lang w:val="en-US" w:eastAsia="zh-CN"/>
              </w:rPr>
              <w:t>废水</w:t>
            </w:r>
          </w:p>
        </w:tc>
        <w:tc>
          <w:tcPr>
            <w:tcW w:w="1559" w:type="dxa"/>
            <w:noWrap w:val="0"/>
            <w:vAlign w:val="center"/>
          </w:tcPr>
          <w:p w14:paraId="68CE6B33">
            <w:pPr>
              <w:adjustRightInd w:val="0"/>
              <w:snapToGrid w:val="0"/>
              <w:spacing w:line="360" w:lineRule="exact"/>
              <w:jc w:val="center"/>
              <w:rPr>
                <w:bCs/>
                <w:color w:val="auto"/>
                <w:szCs w:val="21"/>
                <w:highlight w:val="none"/>
              </w:rPr>
            </w:pPr>
            <w:r>
              <w:rPr>
                <w:bCs/>
                <w:color w:val="auto"/>
                <w:szCs w:val="21"/>
                <w:highlight w:val="none"/>
              </w:rPr>
              <w:t>COD</w:t>
            </w:r>
          </w:p>
        </w:tc>
        <w:tc>
          <w:tcPr>
            <w:tcW w:w="1559" w:type="dxa"/>
            <w:noWrap w:val="0"/>
            <w:vAlign w:val="center"/>
          </w:tcPr>
          <w:p w14:paraId="258764A1">
            <w:pPr>
              <w:adjustRightInd w:val="0"/>
              <w:snapToGrid w:val="0"/>
              <w:spacing w:line="360" w:lineRule="exact"/>
              <w:jc w:val="center"/>
              <w:rPr>
                <w:bCs/>
                <w:color w:val="auto"/>
                <w:szCs w:val="21"/>
                <w:highlight w:val="none"/>
              </w:rPr>
            </w:pPr>
            <w:r>
              <w:rPr>
                <w:rFonts w:hint="eastAsia"/>
                <w:color w:val="auto"/>
                <w:spacing w:val="1"/>
                <w:szCs w:val="21"/>
                <w:highlight w:val="none"/>
                <w:lang w:val="en-US" w:eastAsia="zh-CN"/>
              </w:rPr>
              <w:t>0</w:t>
            </w:r>
          </w:p>
        </w:tc>
        <w:tc>
          <w:tcPr>
            <w:tcW w:w="1276" w:type="dxa"/>
            <w:noWrap w:val="0"/>
            <w:vAlign w:val="center"/>
          </w:tcPr>
          <w:p w14:paraId="4564428A">
            <w:pPr>
              <w:pStyle w:val="49"/>
              <w:spacing w:beforeLines="0" w:afterLines="0" w:line="240" w:lineRule="auto"/>
              <w:rPr>
                <w:rFonts w:ascii="Times New Roman"/>
                <w:bCs/>
                <w:color w:val="auto"/>
                <w:szCs w:val="21"/>
                <w:highlight w:val="none"/>
                <w:lang w:val="en-US" w:eastAsia="zh-CN"/>
              </w:rPr>
            </w:pPr>
            <w:r>
              <w:rPr>
                <w:rFonts w:hint="eastAsia" w:ascii="Times New Roman"/>
                <w:color w:val="auto"/>
                <w:spacing w:val="1"/>
                <w:szCs w:val="21"/>
                <w:highlight w:val="none"/>
                <w:lang w:val="en-US" w:eastAsia="zh-CN"/>
              </w:rPr>
              <w:t>0</w:t>
            </w:r>
          </w:p>
        </w:tc>
        <w:tc>
          <w:tcPr>
            <w:tcW w:w="1559" w:type="dxa"/>
            <w:noWrap w:val="0"/>
            <w:vAlign w:val="center"/>
          </w:tcPr>
          <w:p w14:paraId="509C62C4">
            <w:pPr>
              <w:pStyle w:val="49"/>
              <w:spacing w:beforeLines="0" w:afterLines="0" w:line="240" w:lineRule="auto"/>
              <w:rPr>
                <w:rFonts w:hint="default"/>
                <w:snapToGrid w:val="0"/>
                <w:color w:val="auto"/>
                <w:kern w:val="21"/>
                <w:szCs w:val="21"/>
                <w:highlight w:val="none"/>
                <w:lang w:val="en-US"/>
              </w:rPr>
            </w:pPr>
            <w:r>
              <w:rPr>
                <w:rFonts w:hint="eastAsia" w:ascii="Times New Roman"/>
                <w:color w:val="auto"/>
                <w:spacing w:val="1"/>
                <w:szCs w:val="21"/>
                <w:highlight w:val="none"/>
                <w:lang w:val="en-US" w:eastAsia="zh-CN"/>
              </w:rPr>
              <w:t>0</w:t>
            </w:r>
          </w:p>
        </w:tc>
        <w:tc>
          <w:tcPr>
            <w:tcW w:w="1701" w:type="dxa"/>
            <w:noWrap w:val="0"/>
            <w:vAlign w:val="center"/>
          </w:tcPr>
          <w:p w14:paraId="2C16925C">
            <w:pPr>
              <w:pStyle w:val="49"/>
              <w:spacing w:beforeLines="0" w:afterLines="0" w:line="240" w:lineRule="auto"/>
              <w:rPr>
                <w:bCs/>
                <w:color w:val="auto"/>
                <w:szCs w:val="21"/>
                <w:highlight w:val="none"/>
              </w:rPr>
            </w:pPr>
            <w:r>
              <w:rPr>
                <w:rFonts w:hint="eastAsia" w:ascii="Times New Roman"/>
                <w:snapToGrid w:val="0"/>
                <w:color w:val="auto"/>
                <w:kern w:val="21"/>
                <w:szCs w:val="21"/>
                <w:highlight w:val="none"/>
                <w:lang w:val="en-US" w:eastAsia="zh-CN"/>
              </w:rPr>
              <w:t>0.127</w:t>
            </w:r>
          </w:p>
        </w:tc>
        <w:tc>
          <w:tcPr>
            <w:tcW w:w="1701" w:type="dxa"/>
            <w:noWrap w:val="0"/>
            <w:vAlign w:val="center"/>
          </w:tcPr>
          <w:p w14:paraId="33068FEE">
            <w:pPr>
              <w:pStyle w:val="49"/>
              <w:spacing w:beforeLines="0" w:afterLines="0" w:line="240" w:lineRule="auto"/>
              <w:rPr>
                <w:rFonts w:ascii="Times New Roman"/>
                <w:snapToGrid w:val="0"/>
                <w:color w:val="auto"/>
                <w:kern w:val="21"/>
                <w:szCs w:val="21"/>
                <w:highlight w:val="none"/>
                <w:lang w:val="en-US" w:eastAsia="zh-CN"/>
              </w:rPr>
            </w:pPr>
            <w:r>
              <w:rPr>
                <w:rFonts w:ascii="Times New Roman"/>
                <w:snapToGrid w:val="0"/>
                <w:color w:val="auto"/>
                <w:kern w:val="21"/>
                <w:szCs w:val="21"/>
                <w:highlight w:val="none"/>
                <w:lang w:val="en-US" w:eastAsia="zh-CN"/>
              </w:rPr>
              <w:t>0</w:t>
            </w:r>
          </w:p>
        </w:tc>
        <w:tc>
          <w:tcPr>
            <w:tcW w:w="1843" w:type="dxa"/>
            <w:noWrap w:val="0"/>
            <w:vAlign w:val="center"/>
          </w:tcPr>
          <w:p w14:paraId="74001166">
            <w:pPr>
              <w:pStyle w:val="49"/>
              <w:spacing w:beforeLines="0" w:afterLines="0" w:line="240" w:lineRule="auto"/>
              <w:rPr>
                <w:snapToGrid w:val="0"/>
                <w:color w:val="auto"/>
                <w:kern w:val="21"/>
                <w:szCs w:val="21"/>
                <w:highlight w:val="none"/>
              </w:rPr>
            </w:pPr>
            <w:r>
              <w:rPr>
                <w:rFonts w:hint="eastAsia" w:ascii="Times New Roman"/>
                <w:snapToGrid w:val="0"/>
                <w:color w:val="auto"/>
                <w:kern w:val="21"/>
                <w:szCs w:val="21"/>
                <w:highlight w:val="none"/>
                <w:lang w:val="en-US" w:eastAsia="zh-CN"/>
              </w:rPr>
              <w:t>0.127</w:t>
            </w:r>
          </w:p>
        </w:tc>
        <w:tc>
          <w:tcPr>
            <w:tcW w:w="1144" w:type="dxa"/>
            <w:noWrap w:val="0"/>
            <w:vAlign w:val="center"/>
          </w:tcPr>
          <w:p w14:paraId="66C2479B">
            <w:pPr>
              <w:pStyle w:val="49"/>
              <w:spacing w:beforeLines="0" w:afterLines="0" w:line="240" w:lineRule="auto"/>
              <w:rPr>
                <w:snapToGrid w:val="0"/>
                <w:color w:val="auto"/>
                <w:kern w:val="21"/>
                <w:szCs w:val="21"/>
                <w:highlight w:val="none"/>
              </w:rPr>
            </w:pPr>
            <w:r>
              <w:rPr>
                <w:rFonts w:hint="eastAsia" w:ascii="Times New Roman"/>
                <w:snapToGrid w:val="0"/>
                <w:color w:val="auto"/>
                <w:kern w:val="21"/>
                <w:szCs w:val="21"/>
                <w:highlight w:val="none"/>
                <w:lang w:val="en-US" w:eastAsia="zh-CN"/>
              </w:rPr>
              <w:t>0.127</w:t>
            </w:r>
          </w:p>
        </w:tc>
      </w:tr>
      <w:tr w14:paraId="7488027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446" w:type="dxa"/>
            <w:vMerge w:val="continue"/>
            <w:noWrap w:val="0"/>
            <w:vAlign w:val="center"/>
          </w:tcPr>
          <w:p w14:paraId="46FF981F">
            <w:pPr>
              <w:pStyle w:val="49"/>
              <w:spacing w:beforeLines="0" w:afterLines="0" w:line="240" w:lineRule="auto"/>
              <w:rPr>
                <w:rFonts w:ascii="Times New Roman"/>
                <w:snapToGrid w:val="0"/>
                <w:color w:val="auto"/>
                <w:kern w:val="21"/>
                <w:szCs w:val="21"/>
                <w:highlight w:val="none"/>
                <w:lang w:val="en-US" w:eastAsia="zh-CN"/>
              </w:rPr>
            </w:pPr>
          </w:p>
        </w:tc>
        <w:tc>
          <w:tcPr>
            <w:tcW w:w="1559" w:type="dxa"/>
            <w:noWrap w:val="0"/>
            <w:vAlign w:val="center"/>
          </w:tcPr>
          <w:p w14:paraId="620C7DFA">
            <w:pPr>
              <w:adjustRightInd w:val="0"/>
              <w:snapToGrid w:val="0"/>
              <w:spacing w:line="360" w:lineRule="exact"/>
              <w:jc w:val="center"/>
              <w:rPr>
                <w:bCs/>
                <w:color w:val="auto"/>
                <w:szCs w:val="21"/>
                <w:highlight w:val="none"/>
              </w:rPr>
            </w:pPr>
            <w:r>
              <w:rPr>
                <w:color w:val="auto"/>
                <w:szCs w:val="21"/>
                <w:highlight w:val="none"/>
              </w:rPr>
              <w:t>NH</w:t>
            </w:r>
            <w:r>
              <w:rPr>
                <w:color w:val="auto"/>
                <w:szCs w:val="21"/>
                <w:highlight w:val="none"/>
                <w:vertAlign w:val="subscript"/>
              </w:rPr>
              <w:t>3</w:t>
            </w:r>
            <w:r>
              <w:rPr>
                <w:color w:val="auto"/>
                <w:szCs w:val="21"/>
                <w:highlight w:val="none"/>
              </w:rPr>
              <w:t>-N</w:t>
            </w:r>
          </w:p>
        </w:tc>
        <w:tc>
          <w:tcPr>
            <w:tcW w:w="1559" w:type="dxa"/>
            <w:noWrap w:val="0"/>
            <w:vAlign w:val="center"/>
          </w:tcPr>
          <w:p w14:paraId="397F6A8D">
            <w:pPr>
              <w:adjustRightInd w:val="0"/>
              <w:snapToGrid w:val="0"/>
              <w:spacing w:line="360" w:lineRule="exact"/>
              <w:jc w:val="center"/>
              <w:rPr>
                <w:bCs/>
                <w:color w:val="auto"/>
                <w:szCs w:val="21"/>
                <w:highlight w:val="none"/>
              </w:rPr>
            </w:pPr>
            <w:r>
              <w:rPr>
                <w:rFonts w:hint="eastAsia"/>
                <w:color w:val="auto"/>
                <w:spacing w:val="1"/>
                <w:szCs w:val="21"/>
                <w:highlight w:val="none"/>
                <w:lang w:val="en-US" w:eastAsia="zh-CN"/>
              </w:rPr>
              <w:t>0</w:t>
            </w:r>
          </w:p>
        </w:tc>
        <w:tc>
          <w:tcPr>
            <w:tcW w:w="1276" w:type="dxa"/>
            <w:noWrap w:val="0"/>
            <w:vAlign w:val="center"/>
          </w:tcPr>
          <w:p w14:paraId="2DDDBE28">
            <w:pPr>
              <w:pStyle w:val="49"/>
              <w:spacing w:beforeLines="0" w:afterLines="0" w:line="240" w:lineRule="auto"/>
              <w:rPr>
                <w:rFonts w:ascii="Times New Roman"/>
                <w:bCs/>
                <w:color w:val="auto"/>
                <w:szCs w:val="21"/>
                <w:highlight w:val="none"/>
                <w:lang w:val="en-US" w:eastAsia="zh-CN"/>
              </w:rPr>
            </w:pPr>
            <w:r>
              <w:rPr>
                <w:rFonts w:hint="eastAsia" w:ascii="Times New Roman"/>
                <w:color w:val="auto"/>
                <w:spacing w:val="1"/>
                <w:szCs w:val="21"/>
                <w:highlight w:val="none"/>
                <w:lang w:val="en-US" w:eastAsia="zh-CN"/>
              </w:rPr>
              <w:t>0</w:t>
            </w:r>
          </w:p>
        </w:tc>
        <w:tc>
          <w:tcPr>
            <w:tcW w:w="1559" w:type="dxa"/>
            <w:noWrap w:val="0"/>
            <w:vAlign w:val="center"/>
          </w:tcPr>
          <w:p w14:paraId="07CD133A">
            <w:pPr>
              <w:pStyle w:val="49"/>
              <w:spacing w:beforeLines="0" w:afterLines="0" w:line="240" w:lineRule="auto"/>
              <w:rPr>
                <w:rFonts w:hint="default"/>
                <w:snapToGrid w:val="0"/>
                <w:color w:val="auto"/>
                <w:kern w:val="21"/>
                <w:szCs w:val="21"/>
                <w:highlight w:val="none"/>
                <w:lang w:val="en-US"/>
              </w:rPr>
            </w:pPr>
            <w:r>
              <w:rPr>
                <w:rFonts w:hint="eastAsia" w:ascii="Times New Roman"/>
                <w:color w:val="auto"/>
                <w:spacing w:val="1"/>
                <w:szCs w:val="21"/>
                <w:highlight w:val="none"/>
                <w:lang w:val="en-US" w:eastAsia="zh-CN"/>
              </w:rPr>
              <w:t>0</w:t>
            </w:r>
          </w:p>
        </w:tc>
        <w:tc>
          <w:tcPr>
            <w:tcW w:w="1701" w:type="dxa"/>
            <w:noWrap w:val="0"/>
            <w:vAlign w:val="center"/>
          </w:tcPr>
          <w:p w14:paraId="1B40E856">
            <w:pPr>
              <w:pStyle w:val="49"/>
              <w:spacing w:beforeLines="0" w:afterLines="0" w:line="240" w:lineRule="auto"/>
              <w:rPr>
                <w:bCs/>
                <w:color w:val="auto"/>
                <w:szCs w:val="21"/>
                <w:highlight w:val="none"/>
              </w:rPr>
            </w:pPr>
            <w:r>
              <w:rPr>
                <w:rFonts w:hint="eastAsia" w:ascii="Times New Roman"/>
                <w:snapToGrid w:val="0"/>
                <w:color w:val="auto"/>
                <w:kern w:val="21"/>
                <w:szCs w:val="21"/>
                <w:highlight w:val="none"/>
                <w:lang w:val="en-US" w:eastAsia="zh-CN"/>
              </w:rPr>
              <w:t>0.011</w:t>
            </w:r>
          </w:p>
        </w:tc>
        <w:tc>
          <w:tcPr>
            <w:tcW w:w="1701" w:type="dxa"/>
            <w:noWrap w:val="0"/>
            <w:vAlign w:val="center"/>
          </w:tcPr>
          <w:p w14:paraId="4BD665FC">
            <w:pPr>
              <w:pStyle w:val="49"/>
              <w:spacing w:beforeLines="0" w:afterLines="0" w:line="240" w:lineRule="auto"/>
              <w:rPr>
                <w:rFonts w:ascii="Times New Roman"/>
                <w:snapToGrid w:val="0"/>
                <w:color w:val="auto"/>
                <w:kern w:val="21"/>
                <w:szCs w:val="21"/>
                <w:highlight w:val="none"/>
                <w:lang w:val="en-US" w:eastAsia="zh-CN"/>
              </w:rPr>
            </w:pPr>
            <w:r>
              <w:rPr>
                <w:rFonts w:ascii="Times New Roman"/>
                <w:snapToGrid w:val="0"/>
                <w:color w:val="auto"/>
                <w:kern w:val="21"/>
                <w:szCs w:val="21"/>
                <w:highlight w:val="none"/>
                <w:lang w:val="en-US" w:eastAsia="zh-CN"/>
              </w:rPr>
              <w:t>0</w:t>
            </w:r>
          </w:p>
        </w:tc>
        <w:tc>
          <w:tcPr>
            <w:tcW w:w="1843" w:type="dxa"/>
            <w:noWrap w:val="0"/>
            <w:vAlign w:val="center"/>
          </w:tcPr>
          <w:p w14:paraId="60027804">
            <w:pPr>
              <w:pStyle w:val="49"/>
              <w:spacing w:beforeLines="0" w:afterLines="0" w:line="240" w:lineRule="auto"/>
              <w:rPr>
                <w:snapToGrid w:val="0"/>
                <w:color w:val="auto"/>
                <w:kern w:val="21"/>
                <w:szCs w:val="21"/>
                <w:highlight w:val="none"/>
              </w:rPr>
            </w:pPr>
            <w:r>
              <w:rPr>
                <w:rFonts w:hint="eastAsia" w:ascii="Times New Roman"/>
                <w:snapToGrid w:val="0"/>
                <w:color w:val="auto"/>
                <w:kern w:val="21"/>
                <w:szCs w:val="21"/>
                <w:highlight w:val="none"/>
                <w:lang w:val="en-US" w:eastAsia="zh-CN"/>
              </w:rPr>
              <w:t>0.011</w:t>
            </w:r>
          </w:p>
        </w:tc>
        <w:tc>
          <w:tcPr>
            <w:tcW w:w="1144" w:type="dxa"/>
            <w:noWrap w:val="0"/>
            <w:vAlign w:val="center"/>
          </w:tcPr>
          <w:p w14:paraId="0EEF00AE">
            <w:pPr>
              <w:pStyle w:val="49"/>
              <w:spacing w:beforeLines="0" w:afterLines="0" w:line="240" w:lineRule="auto"/>
              <w:rPr>
                <w:snapToGrid w:val="0"/>
                <w:color w:val="auto"/>
                <w:kern w:val="21"/>
                <w:szCs w:val="21"/>
                <w:highlight w:val="none"/>
              </w:rPr>
            </w:pPr>
            <w:r>
              <w:rPr>
                <w:rFonts w:hint="eastAsia" w:ascii="Times New Roman"/>
                <w:snapToGrid w:val="0"/>
                <w:color w:val="auto"/>
                <w:kern w:val="21"/>
                <w:szCs w:val="21"/>
                <w:highlight w:val="none"/>
                <w:lang w:val="en-US" w:eastAsia="zh-CN"/>
              </w:rPr>
              <w:t>0.011</w:t>
            </w:r>
          </w:p>
        </w:tc>
      </w:tr>
      <w:tr w14:paraId="509786C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446" w:type="dxa"/>
            <w:vMerge w:val="restart"/>
            <w:noWrap w:val="0"/>
            <w:vAlign w:val="center"/>
          </w:tcPr>
          <w:p w14:paraId="60053AC0">
            <w:pPr>
              <w:pStyle w:val="49"/>
              <w:spacing w:beforeLines="0" w:afterLines="0" w:line="240" w:lineRule="auto"/>
              <w:rPr>
                <w:rFonts w:ascii="Times New Roman"/>
                <w:snapToGrid w:val="0"/>
                <w:color w:val="auto"/>
                <w:kern w:val="21"/>
                <w:szCs w:val="21"/>
                <w:highlight w:val="none"/>
                <w:lang w:val="en-US" w:eastAsia="zh-CN"/>
              </w:rPr>
            </w:pPr>
            <w:r>
              <w:rPr>
                <w:rFonts w:ascii="Times New Roman"/>
                <w:snapToGrid w:val="0"/>
                <w:color w:val="auto"/>
                <w:kern w:val="21"/>
                <w:szCs w:val="21"/>
                <w:highlight w:val="none"/>
                <w:lang w:val="en-US" w:eastAsia="zh-CN"/>
              </w:rPr>
              <w:t>一般工业</w:t>
            </w:r>
          </w:p>
          <w:p w14:paraId="6294DCD7">
            <w:pPr>
              <w:pStyle w:val="49"/>
              <w:spacing w:beforeLines="0" w:afterLines="0" w:line="240" w:lineRule="auto"/>
              <w:rPr>
                <w:rFonts w:ascii="Times New Roman"/>
                <w:snapToGrid w:val="0"/>
                <w:color w:val="auto"/>
                <w:kern w:val="21"/>
                <w:szCs w:val="21"/>
                <w:highlight w:val="none"/>
                <w:lang w:val="en-US" w:eastAsia="zh-CN"/>
              </w:rPr>
            </w:pPr>
            <w:r>
              <w:rPr>
                <w:rFonts w:ascii="Times New Roman"/>
                <w:snapToGrid w:val="0"/>
                <w:color w:val="auto"/>
                <w:kern w:val="21"/>
                <w:szCs w:val="21"/>
                <w:highlight w:val="none"/>
                <w:lang w:val="en-US" w:eastAsia="zh-CN"/>
              </w:rPr>
              <w:t>固体废物</w:t>
            </w:r>
          </w:p>
        </w:tc>
        <w:tc>
          <w:tcPr>
            <w:tcW w:w="1559" w:type="dxa"/>
            <w:noWrap w:val="0"/>
            <w:vAlign w:val="center"/>
          </w:tcPr>
          <w:p w14:paraId="4083504F">
            <w:pPr>
              <w:tabs>
                <w:tab w:val="left" w:pos="4425"/>
              </w:tabs>
              <w:spacing w:line="240" w:lineRule="auto"/>
              <w:jc w:val="center"/>
              <w:rPr>
                <w:rFonts w:ascii="Times New Roman" w:hAnsi="Times New Roman" w:cs="Times New Roman"/>
                <w:bCs/>
                <w:color w:val="auto"/>
                <w:sz w:val="21"/>
                <w:szCs w:val="21"/>
                <w:highlight w:val="none"/>
              </w:rPr>
            </w:pPr>
            <w:r>
              <w:rPr>
                <w:rFonts w:hint="eastAsia"/>
                <w:color w:val="auto"/>
                <w:kern w:val="0"/>
                <w:sz w:val="21"/>
                <w:szCs w:val="21"/>
                <w:highlight w:val="none"/>
                <w:lang w:eastAsia="zh-CN"/>
              </w:rPr>
              <w:t>废木料</w:t>
            </w:r>
          </w:p>
        </w:tc>
        <w:tc>
          <w:tcPr>
            <w:tcW w:w="1559" w:type="dxa"/>
            <w:noWrap w:val="0"/>
            <w:vAlign w:val="center"/>
          </w:tcPr>
          <w:p w14:paraId="04DC4A42">
            <w:pPr>
              <w:adjustRightInd w:val="0"/>
              <w:snapToGrid w:val="0"/>
              <w:spacing w:line="360" w:lineRule="exact"/>
              <w:jc w:val="center"/>
              <w:rPr>
                <w:rFonts w:ascii="Times New Roman" w:hAnsi="Times New Roman" w:cs="Times New Roman"/>
                <w:bCs/>
                <w:color w:val="auto"/>
                <w:sz w:val="21"/>
                <w:szCs w:val="21"/>
                <w:highlight w:val="none"/>
                <w:lang w:eastAsia="zh-CN"/>
              </w:rPr>
            </w:pPr>
            <w:r>
              <w:rPr>
                <w:rFonts w:hint="eastAsia"/>
                <w:color w:val="auto"/>
                <w:spacing w:val="1"/>
                <w:szCs w:val="21"/>
                <w:highlight w:val="none"/>
                <w:lang w:val="en-US" w:eastAsia="zh-CN"/>
              </w:rPr>
              <w:t>0</w:t>
            </w:r>
          </w:p>
        </w:tc>
        <w:tc>
          <w:tcPr>
            <w:tcW w:w="1276" w:type="dxa"/>
            <w:noWrap w:val="0"/>
            <w:vAlign w:val="center"/>
          </w:tcPr>
          <w:p w14:paraId="7B8FE568">
            <w:pPr>
              <w:pStyle w:val="49"/>
              <w:spacing w:beforeLines="0" w:afterLines="0" w:line="240" w:lineRule="auto"/>
              <w:rPr>
                <w:bCs/>
                <w:color w:val="auto"/>
                <w:szCs w:val="21"/>
                <w:highlight w:val="none"/>
              </w:rPr>
            </w:pPr>
            <w:r>
              <w:rPr>
                <w:rFonts w:hint="eastAsia" w:ascii="Times New Roman"/>
                <w:color w:val="auto"/>
                <w:spacing w:val="1"/>
                <w:szCs w:val="21"/>
                <w:highlight w:val="none"/>
                <w:lang w:val="en-US" w:eastAsia="zh-CN"/>
              </w:rPr>
              <w:t>0</w:t>
            </w:r>
          </w:p>
        </w:tc>
        <w:tc>
          <w:tcPr>
            <w:tcW w:w="1559" w:type="dxa"/>
            <w:noWrap w:val="0"/>
            <w:vAlign w:val="center"/>
          </w:tcPr>
          <w:p w14:paraId="1C7BC258">
            <w:pPr>
              <w:pStyle w:val="49"/>
              <w:spacing w:beforeLines="0" w:afterLines="0" w:line="240" w:lineRule="auto"/>
              <w:rPr>
                <w:snapToGrid w:val="0"/>
                <w:color w:val="auto"/>
                <w:kern w:val="21"/>
                <w:szCs w:val="21"/>
                <w:highlight w:val="none"/>
              </w:rPr>
            </w:pPr>
            <w:r>
              <w:rPr>
                <w:rFonts w:ascii="Times New Roman"/>
                <w:snapToGrid w:val="0"/>
                <w:color w:val="auto"/>
                <w:kern w:val="21"/>
                <w:szCs w:val="21"/>
                <w:highlight w:val="none"/>
                <w:lang w:val="en-US" w:eastAsia="zh-CN"/>
              </w:rPr>
              <w:t>0</w:t>
            </w:r>
          </w:p>
        </w:tc>
        <w:tc>
          <w:tcPr>
            <w:tcW w:w="1701" w:type="dxa"/>
            <w:noWrap w:val="0"/>
            <w:vAlign w:val="center"/>
          </w:tcPr>
          <w:p w14:paraId="7EF1D56E">
            <w:pPr>
              <w:tabs>
                <w:tab w:val="left" w:pos="4425"/>
              </w:tabs>
              <w:spacing w:line="240" w:lineRule="auto"/>
              <w:jc w:val="center"/>
              <w:rPr>
                <w:bCs/>
                <w:color w:val="auto"/>
                <w:szCs w:val="21"/>
                <w:highlight w:val="none"/>
              </w:rPr>
            </w:pPr>
            <w:r>
              <w:rPr>
                <w:rFonts w:hint="eastAsia"/>
                <w:color w:val="auto"/>
                <w:lang w:val="en-US" w:eastAsia="zh-CN"/>
              </w:rPr>
              <w:t>122.2</w:t>
            </w:r>
          </w:p>
        </w:tc>
        <w:tc>
          <w:tcPr>
            <w:tcW w:w="1701" w:type="dxa"/>
            <w:noWrap w:val="0"/>
            <w:vAlign w:val="center"/>
          </w:tcPr>
          <w:p w14:paraId="7F81AFE7">
            <w:pPr>
              <w:pStyle w:val="49"/>
              <w:spacing w:beforeLines="0" w:afterLines="0" w:line="240" w:lineRule="auto"/>
              <w:rPr>
                <w:rFonts w:ascii="Times New Roman"/>
                <w:snapToGrid w:val="0"/>
                <w:color w:val="auto"/>
                <w:kern w:val="21"/>
                <w:szCs w:val="21"/>
                <w:highlight w:val="none"/>
                <w:lang w:val="en-US" w:eastAsia="zh-CN"/>
              </w:rPr>
            </w:pPr>
            <w:r>
              <w:rPr>
                <w:rFonts w:ascii="Times New Roman"/>
                <w:snapToGrid w:val="0"/>
                <w:color w:val="auto"/>
                <w:kern w:val="21"/>
                <w:szCs w:val="21"/>
                <w:highlight w:val="none"/>
                <w:lang w:val="en-US" w:eastAsia="zh-CN"/>
              </w:rPr>
              <w:t>0</w:t>
            </w:r>
          </w:p>
        </w:tc>
        <w:tc>
          <w:tcPr>
            <w:tcW w:w="1843" w:type="dxa"/>
            <w:noWrap w:val="0"/>
            <w:vAlign w:val="center"/>
          </w:tcPr>
          <w:p w14:paraId="77CD5E86">
            <w:pPr>
              <w:tabs>
                <w:tab w:val="left" w:pos="4425"/>
              </w:tabs>
              <w:spacing w:line="240" w:lineRule="auto"/>
              <w:jc w:val="center"/>
              <w:rPr>
                <w:rFonts w:ascii="Times New Roman" w:hAnsi="Times New Roman" w:cs="Times New Roman"/>
                <w:snapToGrid w:val="0"/>
                <w:color w:val="auto"/>
                <w:kern w:val="21"/>
                <w:sz w:val="21"/>
                <w:szCs w:val="21"/>
                <w:highlight w:val="none"/>
                <w:lang w:eastAsia="zh-CN"/>
              </w:rPr>
            </w:pPr>
            <w:r>
              <w:rPr>
                <w:rFonts w:hint="eastAsia"/>
                <w:color w:val="auto"/>
                <w:lang w:val="en-US" w:eastAsia="zh-CN"/>
              </w:rPr>
              <w:t>122.2</w:t>
            </w:r>
          </w:p>
        </w:tc>
        <w:tc>
          <w:tcPr>
            <w:tcW w:w="1144" w:type="dxa"/>
            <w:noWrap w:val="0"/>
            <w:vAlign w:val="center"/>
          </w:tcPr>
          <w:p w14:paraId="7F457366">
            <w:pPr>
              <w:tabs>
                <w:tab w:val="left" w:pos="4425"/>
              </w:tabs>
              <w:spacing w:line="240" w:lineRule="auto"/>
              <w:jc w:val="center"/>
              <w:rPr>
                <w:snapToGrid w:val="0"/>
                <w:color w:val="auto"/>
                <w:kern w:val="21"/>
                <w:szCs w:val="21"/>
                <w:highlight w:val="none"/>
              </w:rPr>
            </w:pPr>
            <w:r>
              <w:rPr>
                <w:rFonts w:hint="eastAsia"/>
                <w:color w:val="auto"/>
                <w:lang w:val="en-US" w:eastAsia="zh-CN"/>
              </w:rPr>
              <w:t>122.2</w:t>
            </w:r>
          </w:p>
        </w:tc>
      </w:tr>
      <w:tr w14:paraId="60A7FDC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446" w:type="dxa"/>
            <w:vMerge w:val="continue"/>
            <w:noWrap w:val="0"/>
            <w:vAlign w:val="center"/>
          </w:tcPr>
          <w:p w14:paraId="3ACB377C">
            <w:pPr>
              <w:pStyle w:val="49"/>
              <w:spacing w:beforeLines="0" w:afterLines="0" w:line="240" w:lineRule="auto"/>
              <w:rPr>
                <w:rFonts w:ascii="Times New Roman"/>
                <w:snapToGrid w:val="0"/>
                <w:color w:val="auto"/>
                <w:kern w:val="21"/>
                <w:szCs w:val="21"/>
                <w:highlight w:val="none"/>
                <w:lang w:val="en-US" w:eastAsia="zh-CN"/>
              </w:rPr>
            </w:pPr>
          </w:p>
        </w:tc>
        <w:tc>
          <w:tcPr>
            <w:tcW w:w="1559" w:type="dxa"/>
            <w:noWrap w:val="0"/>
            <w:vAlign w:val="center"/>
          </w:tcPr>
          <w:p w14:paraId="123BA980">
            <w:pPr>
              <w:tabs>
                <w:tab w:val="left" w:pos="4425"/>
              </w:tabs>
              <w:spacing w:line="240" w:lineRule="auto"/>
              <w:jc w:val="center"/>
              <w:rPr>
                <w:rFonts w:ascii="Times New Roman" w:hAnsi="Times New Roman" w:cs="Times New Roman"/>
                <w:bCs/>
                <w:color w:val="auto"/>
                <w:sz w:val="21"/>
                <w:szCs w:val="21"/>
                <w:highlight w:val="none"/>
              </w:rPr>
            </w:pPr>
            <w:r>
              <w:rPr>
                <w:rFonts w:hint="eastAsia"/>
                <w:color w:val="auto"/>
                <w:kern w:val="0"/>
                <w:sz w:val="21"/>
                <w:szCs w:val="21"/>
                <w:highlight w:val="none"/>
                <w:lang w:eastAsia="zh-CN"/>
              </w:rPr>
              <w:t>除尘器收尘灰</w:t>
            </w:r>
          </w:p>
        </w:tc>
        <w:tc>
          <w:tcPr>
            <w:tcW w:w="1559" w:type="dxa"/>
            <w:noWrap w:val="0"/>
            <w:vAlign w:val="center"/>
          </w:tcPr>
          <w:p w14:paraId="474F59EB">
            <w:pPr>
              <w:adjustRightInd w:val="0"/>
              <w:snapToGrid w:val="0"/>
              <w:spacing w:line="360" w:lineRule="exact"/>
              <w:jc w:val="center"/>
              <w:rPr>
                <w:rFonts w:ascii="Times New Roman" w:hAnsi="Times New Roman" w:cs="Times New Roman"/>
                <w:color w:val="auto"/>
                <w:sz w:val="21"/>
                <w:szCs w:val="21"/>
                <w:highlight w:val="none"/>
                <w:lang w:eastAsia="zh-CN"/>
              </w:rPr>
            </w:pPr>
            <w:r>
              <w:rPr>
                <w:rFonts w:hint="eastAsia"/>
                <w:color w:val="auto"/>
                <w:spacing w:val="1"/>
                <w:szCs w:val="21"/>
                <w:highlight w:val="none"/>
                <w:lang w:val="en-US" w:eastAsia="zh-CN"/>
              </w:rPr>
              <w:t>0</w:t>
            </w:r>
          </w:p>
        </w:tc>
        <w:tc>
          <w:tcPr>
            <w:tcW w:w="1276" w:type="dxa"/>
            <w:noWrap w:val="0"/>
            <w:vAlign w:val="center"/>
          </w:tcPr>
          <w:p w14:paraId="132AB59D">
            <w:pPr>
              <w:pStyle w:val="49"/>
              <w:spacing w:beforeLines="0" w:afterLines="0" w:line="240" w:lineRule="auto"/>
              <w:rPr>
                <w:bCs/>
                <w:color w:val="auto"/>
                <w:szCs w:val="21"/>
                <w:highlight w:val="none"/>
              </w:rPr>
            </w:pPr>
            <w:r>
              <w:rPr>
                <w:rFonts w:hint="eastAsia" w:ascii="Times New Roman"/>
                <w:color w:val="auto"/>
                <w:spacing w:val="1"/>
                <w:szCs w:val="21"/>
                <w:highlight w:val="none"/>
                <w:lang w:val="en-US" w:eastAsia="zh-CN"/>
              </w:rPr>
              <w:t>0</w:t>
            </w:r>
          </w:p>
        </w:tc>
        <w:tc>
          <w:tcPr>
            <w:tcW w:w="1559" w:type="dxa"/>
            <w:noWrap w:val="0"/>
            <w:vAlign w:val="center"/>
          </w:tcPr>
          <w:p w14:paraId="2B984C95">
            <w:pPr>
              <w:pStyle w:val="49"/>
              <w:spacing w:beforeLines="0" w:afterLines="0" w:line="240" w:lineRule="auto"/>
              <w:rPr>
                <w:snapToGrid w:val="0"/>
                <w:color w:val="auto"/>
                <w:kern w:val="21"/>
                <w:szCs w:val="21"/>
                <w:highlight w:val="none"/>
              </w:rPr>
            </w:pPr>
            <w:r>
              <w:rPr>
                <w:rFonts w:ascii="Times New Roman"/>
                <w:snapToGrid w:val="0"/>
                <w:color w:val="auto"/>
                <w:kern w:val="21"/>
                <w:szCs w:val="21"/>
                <w:highlight w:val="none"/>
                <w:lang w:val="en-US" w:eastAsia="zh-CN"/>
              </w:rPr>
              <w:t>0</w:t>
            </w:r>
          </w:p>
        </w:tc>
        <w:tc>
          <w:tcPr>
            <w:tcW w:w="1701" w:type="dxa"/>
            <w:noWrap w:val="0"/>
            <w:vAlign w:val="center"/>
          </w:tcPr>
          <w:p w14:paraId="5C8F0B99">
            <w:pPr>
              <w:tabs>
                <w:tab w:val="left" w:pos="4425"/>
              </w:tabs>
              <w:spacing w:line="240" w:lineRule="auto"/>
              <w:jc w:val="center"/>
              <w:rPr>
                <w:rFonts w:hint="default"/>
                <w:bCs/>
                <w:color w:val="auto"/>
                <w:szCs w:val="21"/>
                <w:highlight w:val="none"/>
                <w:lang w:val="en-US"/>
              </w:rPr>
            </w:pPr>
            <w:r>
              <w:rPr>
                <w:rFonts w:hint="eastAsia"/>
                <w:color w:val="auto"/>
                <w:sz w:val="21"/>
                <w:szCs w:val="21"/>
                <w:highlight w:val="none"/>
                <w:lang w:val="en-US" w:eastAsia="zh-CN"/>
              </w:rPr>
              <w:t>22.47</w:t>
            </w:r>
          </w:p>
        </w:tc>
        <w:tc>
          <w:tcPr>
            <w:tcW w:w="1701" w:type="dxa"/>
            <w:noWrap w:val="0"/>
            <w:vAlign w:val="center"/>
          </w:tcPr>
          <w:p w14:paraId="3BDF0264">
            <w:pPr>
              <w:pStyle w:val="49"/>
              <w:spacing w:beforeLines="0" w:afterLines="0" w:line="240" w:lineRule="auto"/>
              <w:rPr>
                <w:rFonts w:ascii="Times New Roman"/>
                <w:snapToGrid w:val="0"/>
                <w:color w:val="auto"/>
                <w:kern w:val="21"/>
                <w:szCs w:val="21"/>
                <w:highlight w:val="none"/>
                <w:lang w:val="en-US" w:eastAsia="zh-CN"/>
              </w:rPr>
            </w:pPr>
            <w:r>
              <w:rPr>
                <w:rFonts w:ascii="Times New Roman"/>
                <w:snapToGrid w:val="0"/>
                <w:color w:val="auto"/>
                <w:kern w:val="21"/>
                <w:szCs w:val="21"/>
                <w:highlight w:val="none"/>
                <w:lang w:val="en-US" w:eastAsia="zh-CN"/>
              </w:rPr>
              <w:t>0</w:t>
            </w:r>
          </w:p>
        </w:tc>
        <w:tc>
          <w:tcPr>
            <w:tcW w:w="1843" w:type="dxa"/>
            <w:noWrap w:val="0"/>
            <w:vAlign w:val="center"/>
          </w:tcPr>
          <w:p w14:paraId="2B8973B2">
            <w:pPr>
              <w:spacing w:line="240" w:lineRule="auto"/>
              <w:jc w:val="center"/>
              <w:rPr>
                <w:rFonts w:ascii="Times New Roman" w:hAnsi="Times New Roman" w:cs="Times New Roman"/>
                <w:snapToGrid w:val="0"/>
                <w:color w:val="auto"/>
                <w:kern w:val="21"/>
                <w:sz w:val="21"/>
                <w:szCs w:val="21"/>
                <w:highlight w:val="none"/>
                <w:lang w:eastAsia="zh-CN"/>
              </w:rPr>
            </w:pPr>
            <w:r>
              <w:rPr>
                <w:rFonts w:hint="eastAsia"/>
                <w:color w:val="auto"/>
                <w:sz w:val="21"/>
                <w:szCs w:val="21"/>
                <w:highlight w:val="none"/>
                <w:lang w:val="en-US" w:eastAsia="zh-CN"/>
              </w:rPr>
              <w:t>22.47</w:t>
            </w:r>
          </w:p>
        </w:tc>
        <w:tc>
          <w:tcPr>
            <w:tcW w:w="1144" w:type="dxa"/>
            <w:noWrap w:val="0"/>
            <w:vAlign w:val="center"/>
          </w:tcPr>
          <w:p w14:paraId="0C342447">
            <w:pPr>
              <w:spacing w:line="240" w:lineRule="auto"/>
              <w:jc w:val="center"/>
              <w:rPr>
                <w:snapToGrid w:val="0"/>
                <w:color w:val="auto"/>
                <w:kern w:val="21"/>
                <w:szCs w:val="21"/>
                <w:highlight w:val="none"/>
              </w:rPr>
            </w:pPr>
            <w:r>
              <w:rPr>
                <w:rFonts w:hint="eastAsia"/>
                <w:color w:val="auto"/>
                <w:sz w:val="21"/>
                <w:szCs w:val="21"/>
                <w:highlight w:val="none"/>
                <w:lang w:val="en-US" w:eastAsia="zh-CN"/>
              </w:rPr>
              <w:t>22.47</w:t>
            </w:r>
          </w:p>
        </w:tc>
      </w:tr>
      <w:tr w14:paraId="4300D82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446" w:type="dxa"/>
            <w:vMerge w:val="continue"/>
            <w:noWrap w:val="0"/>
            <w:vAlign w:val="center"/>
          </w:tcPr>
          <w:p w14:paraId="7FB7D152">
            <w:pPr>
              <w:pStyle w:val="49"/>
              <w:spacing w:beforeLines="0" w:afterLines="0" w:line="240" w:lineRule="auto"/>
              <w:rPr>
                <w:rFonts w:ascii="Times New Roman"/>
                <w:snapToGrid w:val="0"/>
                <w:color w:val="auto"/>
                <w:kern w:val="21"/>
                <w:szCs w:val="21"/>
                <w:highlight w:val="none"/>
                <w:lang w:val="en-US" w:eastAsia="zh-CN"/>
              </w:rPr>
            </w:pPr>
          </w:p>
        </w:tc>
        <w:tc>
          <w:tcPr>
            <w:tcW w:w="1559" w:type="dxa"/>
            <w:noWrap w:val="0"/>
            <w:vAlign w:val="center"/>
          </w:tcPr>
          <w:p w14:paraId="7D1845B6">
            <w:pPr>
              <w:tabs>
                <w:tab w:val="left" w:pos="4425"/>
              </w:tabs>
              <w:spacing w:line="240" w:lineRule="auto"/>
              <w:jc w:val="center"/>
              <w:rPr>
                <w:rFonts w:hint="eastAsia"/>
                <w:color w:val="auto"/>
                <w:kern w:val="0"/>
                <w:sz w:val="21"/>
                <w:szCs w:val="21"/>
                <w:highlight w:val="none"/>
                <w:lang w:eastAsia="zh-CN"/>
              </w:rPr>
            </w:pPr>
            <w:r>
              <w:rPr>
                <w:rFonts w:hint="eastAsia"/>
                <w:color w:val="auto"/>
                <w:sz w:val="21"/>
                <w:szCs w:val="21"/>
                <w:highlight w:val="none"/>
                <w:lang w:eastAsia="zh-CN"/>
              </w:rPr>
              <w:t>地面收集尘</w:t>
            </w:r>
          </w:p>
        </w:tc>
        <w:tc>
          <w:tcPr>
            <w:tcW w:w="1559" w:type="dxa"/>
            <w:noWrap w:val="0"/>
            <w:vAlign w:val="center"/>
          </w:tcPr>
          <w:p w14:paraId="4526A74A">
            <w:pPr>
              <w:adjustRightInd w:val="0"/>
              <w:snapToGrid w:val="0"/>
              <w:spacing w:line="360" w:lineRule="exact"/>
              <w:jc w:val="center"/>
              <w:rPr>
                <w:rFonts w:hint="eastAsia"/>
                <w:color w:val="auto"/>
                <w:spacing w:val="1"/>
                <w:szCs w:val="21"/>
                <w:highlight w:val="none"/>
                <w:lang w:val="en-US" w:eastAsia="zh-CN"/>
              </w:rPr>
            </w:pPr>
            <w:r>
              <w:rPr>
                <w:rFonts w:hint="eastAsia"/>
                <w:color w:val="auto"/>
                <w:spacing w:val="1"/>
                <w:szCs w:val="21"/>
                <w:highlight w:val="none"/>
                <w:lang w:val="en-US" w:eastAsia="zh-CN"/>
              </w:rPr>
              <w:t>0</w:t>
            </w:r>
          </w:p>
        </w:tc>
        <w:tc>
          <w:tcPr>
            <w:tcW w:w="1276" w:type="dxa"/>
            <w:noWrap w:val="0"/>
            <w:vAlign w:val="center"/>
          </w:tcPr>
          <w:p w14:paraId="62B41124">
            <w:pPr>
              <w:pStyle w:val="49"/>
              <w:spacing w:beforeLines="0" w:afterLines="0" w:line="240" w:lineRule="auto"/>
              <w:rPr>
                <w:rFonts w:hint="eastAsia" w:ascii="Times New Roman"/>
                <w:color w:val="auto"/>
                <w:spacing w:val="1"/>
                <w:szCs w:val="21"/>
                <w:highlight w:val="none"/>
                <w:lang w:val="en-US" w:eastAsia="zh-CN"/>
              </w:rPr>
            </w:pPr>
            <w:r>
              <w:rPr>
                <w:rFonts w:hint="eastAsia" w:ascii="Times New Roman"/>
                <w:color w:val="auto"/>
                <w:spacing w:val="1"/>
                <w:szCs w:val="21"/>
                <w:highlight w:val="none"/>
                <w:lang w:val="en-US" w:eastAsia="zh-CN"/>
              </w:rPr>
              <w:t>0</w:t>
            </w:r>
          </w:p>
        </w:tc>
        <w:tc>
          <w:tcPr>
            <w:tcW w:w="1559" w:type="dxa"/>
            <w:noWrap w:val="0"/>
            <w:vAlign w:val="center"/>
          </w:tcPr>
          <w:p w14:paraId="671BB362">
            <w:pPr>
              <w:pStyle w:val="49"/>
              <w:spacing w:beforeLines="0" w:afterLines="0" w:line="240" w:lineRule="auto"/>
              <w:rPr>
                <w:rFonts w:ascii="Times New Roman"/>
                <w:snapToGrid w:val="0"/>
                <w:color w:val="auto"/>
                <w:kern w:val="21"/>
                <w:szCs w:val="21"/>
                <w:highlight w:val="none"/>
                <w:lang w:val="en-US" w:eastAsia="zh-CN"/>
              </w:rPr>
            </w:pPr>
            <w:r>
              <w:rPr>
                <w:rFonts w:ascii="Times New Roman"/>
                <w:snapToGrid w:val="0"/>
                <w:color w:val="auto"/>
                <w:kern w:val="21"/>
                <w:szCs w:val="21"/>
                <w:highlight w:val="none"/>
                <w:lang w:val="en-US" w:eastAsia="zh-CN"/>
              </w:rPr>
              <w:t>0</w:t>
            </w:r>
          </w:p>
        </w:tc>
        <w:tc>
          <w:tcPr>
            <w:tcW w:w="1701" w:type="dxa"/>
            <w:noWrap w:val="0"/>
            <w:vAlign w:val="center"/>
          </w:tcPr>
          <w:p w14:paraId="5A57C545">
            <w:pPr>
              <w:tabs>
                <w:tab w:val="left" w:pos="4425"/>
              </w:tabs>
              <w:spacing w:line="240" w:lineRule="auto"/>
              <w:jc w:val="center"/>
              <w:rPr>
                <w:rFonts w:hint="default"/>
                <w:color w:val="auto"/>
                <w:sz w:val="21"/>
                <w:szCs w:val="21"/>
                <w:highlight w:val="none"/>
                <w:lang w:val="en-US" w:eastAsia="zh-CN"/>
              </w:rPr>
            </w:pPr>
            <w:r>
              <w:rPr>
                <w:rFonts w:hint="eastAsia"/>
                <w:color w:val="auto"/>
                <w:sz w:val="21"/>
                <w:szCs w:val="21"/>
                <w:highlight w:val="none"/>
                <w:lang w:val="en-US" w:eastAsia="zh-CN"/>
              </w:rPr>
              <w:t>5.1057</w:t>
            </w:r>
          </w:p>
        </w:tc>
        <w:tc>
          <w:tcPr>
            <w:tcW w:w="1701" w:type="dxa"/>
            <w:noWrap w:val="0"/>
            <w:vAlign w:val="center"/>
          </w:tcPr>
          <w:p w14:paraId="6BE558C5">
            <w:pPr>
              <w:pStyle w:val="49"/>
              <w:spacing w:beforeLines="0" w:afterLines="0" w:line="240" w:lineRule="auto"/>
              <w:rPr>
                <w:rFonts w:hint="default" w:ascii="Times New Roman"/>
                <w:snapToGrid w:val="0"/>
                <w:color w:val="auto"/>
                <w:kern w:val="21"/>
                <w:szCs w:val="21"/>
                <w:highlight w:val="none"/>
                <w:lang w:val="en-US" w:eastAsia="zh-CN"/>
              </w:rPr>
            </w:pPr>
            <w:r>
              <w:rPr>
                <w:rFonts w:hint="eastAsia" w:ascii="Times New Roman"/>
                <w:snapToGrid w:val="0"/>
                <w:color w:val="auto"/>
                <w:kern w:val="21"/>
                <w:szCs w:val="21"/>
                <w:highlight w:val="none"/>
                <w:lang w:val="en-US" w:eastAsia="zh-CN"/>
              </w:rPr>
              <w:t>0</w:t>
            </w:r>
          </w:p>
        </w:tc>
        <w:tc>
          <w:tcPr>
            <w:tcW w:w="1843" w:type="dxa"/>
            <w:noWrap w:val="0"/>
            <w:vAlign w:val="center"/>
          </w:tcPr>
          <w:p w14:paraId="43D27444">
            <w:pPr>
              <w:spacing w:line="240" w:lineRule="auto"/>
              <w:jc w:val="center"/>
              <w:rPr>
                <w:rFonts w:hint="eastAsia"/>
                <w:color w:val="auto"/>
                <w:sz w:val="21"/>
                <w:szCs w:val="21"/>
                <w:highlight w:val="none"/>
                <w:lang w:val="en-US" w:eastAsia="zh-CN"/>
              </w:rPr>
            </w:pPr>
            <w:r>
              <w:rPr>
                <w:rFonts w:hint="eastAsia"/>
                <w:color w:val="auto"/>
                <w:sz w:val="21"/>
                <w:szCs w:val="21"/>
                <w:highlight w:val="none"/>
                <w:lang w:val="en-US" w:eastAsia="zh-CN"/>
              </w:rPr>
              <w:t>5.1057</w:t>
            </w:r>
          </w:p>
        </w:tc>
        <w:tc>
          <w:tcPr>
            <w:tcW w:w="1144" w:type="dxa"/>
            <w:noWrap w:val="0"/>
            <w:vAlign w:val="center"/>
          </w:tcPr>
          <w:p w14:paraId="2E6274BF">
            <w:pPr>
              <w:spacing w:line="240" w:lineRule="auto"/>
              <w:jc w:val="center"/>
              <w:rPr>
                <w:rFonts w:hint="eastAsia"/>
                <w:color w:val="auto"/>
                <w:sz w:val="21"/>
                <w:szCs w:val="21"/>
                <w:highlight w:val="none"/>
                <w:lang w:val="en-US" w:eastAsia="zh-CN"/>
              </w:rPr>
            </w:pPr>
            <w:r>
              <w:rPr>
                <w:rFonts w:hint="eastAsia"/>
                <w:color w:val="auto"/>
                <w:sz w:val="21"/>
                <w:szCs w:val="21"/>
                <w:highlight w:val="none"/>
                <w:lang w:val="en-US" w:eastAsia="zh-CN"/>
              </w:rPr>
              <w:t>5.1057</w:t>
            </w:r>
          </w:p>
        </w:tc>
      </w:tr>
      <w:tr w14:paraId="79A6FAF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446" w:type="dxa"/>
            <w:vMerge w:val="continue"/>
            <w:noWrap w:val="0"/>
            <w:vAlign w:val="center"/>
          </w:tcPr>
          <w:p w14:paraId="749A52AD">
            <w:pPr>
              <w:pStyle w:val="49"/>
              <w:spacing w:beforeLines="0" w:afterLines="0" w:line="240" w:lineRule="auto"/>
              <w:rPr>
                <w:rFonts w:ascii="Times New Roman"/>
                <w:snapToGrid w:val="0"/>
                <w:color w:val="auto"/>
                <w:kern w:val="21"/>
                <w:szCs w:val="21"/>
                <w:highlight w:val="none"/>
                <w:lang w:val="en-US" w:eastAsia="zh-CN"/>
              </w:rPr>
            </w:pPr>
          </w:p>
        </w:tc>
        <w:tc>
          <w:tcPr>
            <w:tcW w:w="1559" w:type="dxa"/>
            <w:noWrap w:val="0"/>
            <w:vAlign w:val="center"/>
          </w:tcPr>
          <w:p w14:paraId="1FE983AF">
            <w:pPr>
              <w:tabs>
                <w:tab w:val="left" w:pos="4425"/>
              </w:tabs>
              <w:spacing w:line="240" w:lineRule="auto"/>
              <w:jc w:val="center"/>
              <w:rPr>
                <w:rFonts w:ascii="Times New Roman" w:hAnsi="Times New Roman" w:cs="Times New Roman"/>
                <w:bCs/>
                <w:color w:val="auto"/>
                <w:sz w:val="21"/>
                <w:szCs w:val="21"/>
                <w:highlight w:val="none"/>
              </w:rPr>
            </w:pPr>
            <w:r>
              <w:rPr>
                <w:rFonts w:hint="eastAsia"/>
                <w:color w:val="auto"/>
                <w:kern w:val="0"/>
                <w:sz w:val="21"/>
                <w:szCs w:val="21"/>
                <w:highlight w:val="none"/>
                <w:lang w:eastAsia="zh-CN"/>
              </w:rPr>
              <w:t>废包装膜</w:t>
            </w:r>
          </w:p>
        </w:tc>
        <w:tc>
          <w:tcPr>
            <w:tcW w:w="1559" w:type="dxa"/>
            <w:noWrap w:val="0"/>
            <w:vAlign w:val="center"/>
          </w:tcPr>
          <w:p w14:paraId="761560DD">
            <w:pPr>
              <w:adjustRightInd w:val="0"/>
              <w:snapToGrid w:val="0"/>
              <w:spacing w:line="360" w:lineRule="exact"/>
              <w:jc w:val="center"/>
              <w:rPr>
                <w:rFonts w:ascii="Times New Roman" w:hAnsi="Times New Roman" w:cs="Times New Roman"/>
                <w:bCs/>
                <w:color w:val="auto"/>
                <w:sz w:val="21"/>
                <w:szCs w:val="21"/>
                <w:highlight w:val="none"/>
                <w:lang w:eastAsia="zh-CN"/>
              </w:rPr>
            </w:pPr>
            <w:r>
              <w:rPr>
                <w:rFonts w:hint="eastAsia"/>
                <w:color w:val="auto"/>
                <w:spacing w:val="1"/>
                <w:szCs w:val="21"/>
                <w:highlight w:val="none"/>
                <w:lang w:val="en-US" w:eastAsia="zh-CN"/>
              </w:rPr>
              <w:t>0</w:t>
            </w:r>
          </w:p>
        </w:tc>
        <w:tc>
          <w:tcPr>
            <w:tcW w:w="1276" w:type="dxa"/>
            <w:noWrap w:val="0"/>
            <w:vAlign w:val="center"/>
          </w:tcPr>
          <w:p w14:paraId="1F0BC5B6">
            <w:pPr>
              <w:pStyle w:val="49"/>
              <w:spacing w:beforeLines="0" w:afterLines="0" w:line="240" w:lineRule="auto"/>
              <w:rPr>
                <w:bCs/>
                <w:color w:val="auto"/>
                <w:szCs w:val="21"/>
                <w:highlight w:val="none"/>
              </w:rPr>
            </w:pPr>
            <w:r>
              <w:rPr>
                <w:rFonts w:hint="eastAsia" w:ascii="Times New Roman"/>
                <w:color w:val="auto"/>
                <w:spacing w:val="1"/>
                <w:szCs w:val="21"/>
                <w:highlight w:val="none"/>
                <w:lang w:val="en-US" w:eastAsia="zh-CN"/>
              </w:rPr>
              <w:t>0</w:t>
            </w:r>
          </w:p>
        </w:tc>
        <w:tc>
          <w:tcPr>
            <w:tcW w:w="1559" w:type="dxa"/>
            <w:noWrap w:val="0"/>
            <w:vAlign w:val="center"/>
          </w:tcPr>
          <w:p w14:paraId="5CCDF961">
            <w:pPr>
              <w:pStyle w:val="49"/>
              <w:spacing w:beforeLines="0" w:afterLines="0" w:line="240" w:lineRule="auto"/>
              <w:rPr>
                <w:bCs/>
                <w:color w:val="auto"/>
                <w:szCs w:val="21"/>
                <w:highlight w:val="none"/>
              </w:rPr>
            </w:pPr>
            <w:r>
              <w:rPr>
                <w:rFonts w:ascii="Times New Roman"/>
                <w:snapToGrid w:val="0"/>
                <w:color w:val="auto"/>
                <w:kern w:val="21"/>
                <w:szCs w:val="21"/>
                <w:highlight w:val="none"/>
                <w:lang w:val="en-US" w:eastAsia="zh-CN"/>
              </w:rPr>
              <w:t>0</w:t>
            </w:r>
          </w:p>
        </w:tc>
        <w:tc>
          <w:tcPr>
            <w:tcW w:w="1701" w:type="dxa"/>
            <w:noWrap w:val="0"/>
            <w:vAlign w:val="center"/>
          </w:tcPr>
          <w:p w14:paraId="4B26855F">
            <w:pPr>
              <w:tabs>
                <w:tab w:val="left" w:pos="4425"/>
              </w:tabs>
              <w:spacing w:line="240" w:lineRule="auto"/>
              <w:jc w:val="center"/>
              <w:rPr>
                <w:bCs/>
                <w:color w:val="auto"/>
                <w:szCs w:val="21"/>
                <w:highlight w:val="none"/>
              </w:rPr>
            </w:pPr>
            <w:r>
              <w:rPr>
                <w:rFonts w:hint="eastAsia"/>
                <w:color w:val="auto"/>
                <w:sz w:val="21"/>
                <w:szCs w:val="21"/>
                <w:highlight w:val="none"/>
                <w:lang w:val="en-US" w:eastAsia="zh-CN"/>
              </w:rPr>
              <w:t>0.1</w:t>
            </w:r>
          </w:p>
        </w:tc>
        <w:tc>
          <w:tcPr>
            <w:tcW w:w="1701" w:type="dxa"/>
            <w:noWrap w:val="0"/>
            <w:vAlign w:val="center"/>
          </w:tcPr>
          <w:p w14:paraId="60B51F8C">
            <w:pPr>
              <w:pStyle w:val="49"/>
              <w:spacing w:beforeLines="0" w:afterLines="0" w:line="240" w:lineRule="auto"/>
              <w:rPr>
                <w:rFonts w:ascii="Times New Roman"/>
                <w:snapToGrid w:val="0"/>
                <w:color w:val="auto"/>
                <w:kern w:val="21"/>
                <w:szCs w:val="21"/>
                <w:highlight w:val="none"/>
                <w:lang w:val="en-US" w:eastAsia="zh-CN"/>
              </w:rPr>
            </w:pPr>
            <w:r>
              <w:rPr>
                <w:rFonts w:ascii="Times New Roman"/>
                <w:snapToGrid w:val="0"/>
                <w:color w:val="auto"/>
                <w:kern w:val="21"/>
                <w:szCs w:val="21"/>
                <w:highlight w:val="none"/>
                <w:lang w:val="en-US" w:eastAsia="zh-CN"/>
              </w:rPr>
              <w:t>0</w:t>
            </w:r>
          </w:p>
        </w:tc>
        <w:tc>
          <w:tcPr>
            <w:tcW w:w="1843" w:type="dxa"/>
            <w:noWrap w:val="0"/>
            <w:vAlign w:val="center"/>
          </w:tcPr>
          <w:p w14:paraId="1169DA15">
            <w:pPr>
              <w:spacing w:line="240" w:lineRule="auto"/>
              <w:jc w:val="center"/>
              <w:rPr>
                <w:rFonts w:ascii="Times New Roman" w:hAnsi="Times New Roman" w:cs="Times New Roman"/>
                <w:snapToGrid w:val="0"/>
                <w:color w:val="auto"/>
                <w:kern w:val="21"/>
                <w:sz w:val="21"/>
                <w:szCs w:val="21"/>
                <w:highlight w:val="none"/>
              </w:rPr>
            </w:pPr>
            <w:r>
              <w:rPr>
                <w:rFonts w:hint="eastAsia"/>
                <w:color w:val="auto"/>
                <w:sz w:val="21"/>
                <w:szCs w:val="21"/>
                <w:highlight w:val="none"/>
                <w:lang w:val="en-US" w:eastAsia="zh-CN"/>
              </w:rPr>
              <w:t>0.1</w:t>
            </w:r>
          </w:p>
        </w:tc>
        <w:tc>
          <w:tcPr>
            <w:tcW w:w="1144" w:type="dxa"/>
            <w:noWrap w:val="0"/>
            <w:vAlign w:val="center"/>
          </w:tcPr>
          <w:p w14:paraId="260341C1">
            <w:pPr>
              <w:spacing w:line="240" w:lineRule="auto"/>
              <w:jc w:val="center"/>
              <w:rPr>
                <w:snapToGrid w:val="0"/>
                <w:color w:val="auto"/>
                <w:kern w:val="21"/>
                <w:szCs w:val="21"/>
                <w:highlight w:val="none"/>
              </w:rPr>
            </w:pPr>
            <w:r>
              <w:rPr>
                <w:rFonts w:hint="eastAsia"/>
                <w:color w:val="auto"/>
                <w:sz w:val="21"/>
                <w:szCs w:val="21"/>
                <w:highlight w:val="none"/>
                <w:lang w:val="en-US" w:eastAsia="zh-CN"/>
              </w:rPr>
              <w:t>0.1</w:t>
            </w:r>
          </w:p>
        </w:tc>
      </w:tr>
      <w:tr w14:paraId="2FBB0E5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446" w:type="dxa"/>
            <w:vMerge w:val="continue"/>
            <w:noWrap w:val="0"/>
            <w:vAlign w:val="center"/>
          </w:tcPr>
          <w:p w14:paraId="40CAA09D">
            <w:pPr>
              <w:pStyle w:val="49"/>
              <w:spacing w:beforeLines="0" w:afterLines="0" w:line="240" w:lineRule="auto"/>
              <w:rPr>
                <w:rFonts w:ascii="Times New Roman"/>
                <w:snapToGrid w:val="0"/>
                <w:color w:val="auto"/>
                <w:kern w:val="21"/>
                <w:szCs w:val="21"/>
                <w:highlight w:val="none"/>
                <w:lang w:val="en-US" w:eastAsia="zh-CN"/>
              </w:rPr>
            </w:pPr>
          </w:p>
        </w:tc>
        <w:tc>
          <w:tcPr>
            <w:tcW w:w="1559" w:type="dxa"/>
            <w:noWrap w:val="0"/>
            <w:vAlign w:val="center"/>
          </w:tcPr>
          <w:p w14:paraId="227BC22B">
            <w:pPr>
              <w:tabs>
                <w:tab w:val="left" w:pos="4425"/>
              </w:tabs>
              <w:spacing w:line="240" w:lineRule="auto"/>
              <w:jc w:val="center"/>
              <w:rPr>
                <w:rFonts w:ascii="Times New Roman" w:hAnsi="Times New Roman" w:cs="Times New Roman"/>
                <w:bCs/>
                <w:color w:val="auto"/>
                <w:sz w:val="21"/>
                <w:szCs w:val="21"/>
                <w:highlight w:val="none"/>
              </w:rPr>
            </w:pPr>
            <w:r>
              <w:rPr>
                <w:rFonts w:hint="eastAsia"/>
                <w:color w:val="auto"/>
                <w:kern w:val="0"/>
                <w:sz w:val="21"/>
                <w:szCs w:val="21"/>
                <w:highlight w:val="none"/>
                <w:lang w:eastAsia="zh-CN"/>
              </w:rPr>
              <w:t>废布袋</w:t>
            </w:r>
          </w:p>
        </w:tc>
        <w:tc>
          <w:tcPr>
            <w:tcW w:w="1559" w:type="dxa"/>
            <w:noWrap w:val="0"/>
            <w:vAlign w:val="center"/>
          </w:tcPr>
          <w:p w14:paraId="48FC57D3">
            <w:pPr>
              <w:adjustRightInd w:val="0"/>
              <w:snapToGrid w:val="0"/>
              <w:spacing w:line="360" w:lineRule="exact"/>
              <w:jc w:val="center"/>
              <w:rPr>
                <w:rFonts w:ascii="Times New Roman" w:hAnsi="Times New Roman" w:cs="Times New Roman"/>
                <w:bCs/>
                <w:color w:val="auto"/>
                <w:sz w:val="21"/>
                <w:szCs w:val="21"/>
                <w:highlight w:val="none"/>
                <w:lang w:eastAsia="zh-CN"/>
              </w:rPr>
            </w:pPr>
            <w:r>
              <w:rPr>
                <w:rFonts w:hint="eastAsia"/>
                <w:color w:val="auto"/>
                <w:spacing w:val="1"/>
                <w:szCs w:val="21"/>
                <w:highlight w:val="none"/>
                <w:lang w:val="en-US" w:eastAsia="zh-CN"/>
              </w:rPr>
              <w:t>0</w:t>
            </w:r>
          </w:p>
        </w:tc>
        <w:tc>
          <w:tcPr>
            <w:tcW w:w="1276" w:type="dxa"/>
            <w:noWrap w:val="0"/>
            <w:vAlign w:val="center"/>
          </w:tcPr>
          <w:p w14:paraId="2284294E">
            <w:pPr>
              <w:pStyle w:val="49"/>
              <w:spacing w:beforeLines="0" w:afterLines="0" w:line="240" w:lineRule="auto"/>
              <w:rPr>
                <w:bCs/>
                <w:color w:val="auto"/>
                <w:szCs w:val="21"/>
                <w:highlight w:val="none"/>
              </w:rPr>
            </w:pPr>
            <w:r>
              <w:rPr>
                <w:rFonts w:hint="eastAsia" w:ascii="Times New Roman"/>
                <w:color w:val="auto"/>
                <w:spacing w:val="1"/>
                <w:szCs w:val="21"/>
                <w:highlight w:val="none"/>
                <w:lang w:val="en-US" w:eastAsia="zh-CN"/>
              </w:rPr>
              <w:t>0</w:t>
            </w:r>
          </w:p>
        </w:tc>
        <w:tc>
          <w:tcPr>
            <w:tcW w:w="1559" w:type="dxa"/>
            <w:noWrap w:val="0"/>
            <w:vAlign w:val="center"/>
          </w:tcPr>
          <w:p w14:paraId="4E1BD3AA">
            <w:pPr>
              <w:pStyle w:val="49"/>
              <w:spacing w:beforeLines="0" w:afterLines="0" w:line="240" w:lineRule="auto"/>
              <w:rPr>
                <w:rFonts w:ascii="Times New Roman"/>
                <w:bCs/>
                <w:color w:val="auto"/>
                <w:szCs w:val="21"/>
                <w:highlight w:val="none"/>
                <w:lang w:val="en-US" w:eastAsia="zh-CN"/>
              </w:rPr>
            </w:pPr>
            <w:r>
              <w:rPr>
                <w:rFonts w:ascii="Times New Roman"/>
                <w:snapToGrid w:val="0"/>
                <w:color w:val="auto"/>
                <w:kern w:val="21"/>
                <w:szCs w:val="21"/>
                <w:highlight w:val="none"/>
                <w:lang w:val="en-US" w:eastAsia="zh-CN"/>
              </w:rPr>
              <w:t>0</w:t>
            </w:r>
          </w:p>
        </w:tc>
        <w:tc>
          <w:tcPr>
            <w:tcW w:w="1701" w:type="dxa"/>
            <w:noWrap w:val="0"/>
            <w:vAlign w:val="center"/>
          </w:tcPr>
          <w:p w14:paraId="1BD4614F">
            <w:pPr>
              <w:tabs>
                <w:tab w:val="left" w:pos="4425"/>
              </w:tabs>
              <w:spacing w:line="240" w:lineRule="auto"/>
              <w:jc w:val="center"/>
              <w:rPr>
                <w:bCs/>
                <w:color w:val="auto"/>
                <w:szCs w:val="21"/>
                <w:highlight w:val="none"/>
              </w:rPr>
            </w:pPr>
            <w:r>
              <w:rPr>
                <w:rFonts w:hint="eastAsia"/>
                <w:color w:val="auto"/>
                <w:sz w:val="21"/>
                <w:szCs w:val="21"/>
                <w:highlight w:val="none"/>
                <w:lang w:val="en-US" w:eastAsia="zh-CN"/>
              </w:rPr>
              <w:t>0.2</w:t>
            </w:r>
          </w:p>
        </w:tc>
        <w:tc>
          <w:tcPr>
            <w:tcW w:w="1701" w:type="dxa"/>
            <w:noWrap w:val="0"/>
            <w:vAlign w:val="center"/>
          </w:tcPr>
          <w:p w14:paraId="50E94006">
            <w:pPr>
              <w:pStyle w:val="49"/>
              <w:spacing w:beforeLines="0" w:afterLines="0" w:line="240" w:lineRule="auto"/>
              <w:rPr>
                <w:rFonts w:ascii="Times New Roman"/>
                <w:snapToGrid w:val="0"/>
                <w:color w:val="auto"/>
                <w:kern w:val="21"/>
                <w:szCs w:val="21"/>
                <w:highlight w:val="none"/>
                <w:lang w:val="en-US" w:eastAsia="zh-CN"/>
              </w:rPr>
            </w:pPr>
            <w:r>
              <w:rPr>
                <w:rFonts w:ascii="Times New Roman"/>
                <w:snapToGrid w:val="0"/>
                <w:color w:val="auto"/>
                <w:kern w:val="21"/>
                <w:szCs w:val="21"/>
                <w:highlight w:val="none"/>
                <w:lang w:val="en-US" w:eastAsia="zh-CN"/>
              </w:rPr>
              <w:t>0</w:t>
            </w:r>
          </w:p>
        </w:tc>
        <w:tc>
          <w:tcPr>
            <w:tcW w:w="1843" w:type="dxa"/>
            <w:noWrap w:val="0"/>
            <w:vAlign w:val="center"/>
          </w:tcPr>
          <w:p w14:paraId="6498591E">
            <w:pPr>
              <w:tabs>
                <w:tab w:val="left" w:pos="4425"/>
              </w:tabs>
              <w:spacing w:line="240" w:lineRule="auto"/>
              <w:jc w:val="center"/>
              <w:rPr>
                <w:rFonts w:ascii="Times New Roman" w:hAnsi="Times New Roman" w:cs="Times New Roman"/>
                <w:snapToGrid w:val="0"/>
                <w:color w:val="auto"/>
                <w:kern w:val="21"/>
                <w:sz w:val="21"/>
                <w:szCs w:val="21"/>
                <w:highlight w:val="none"/>
                <w:lang w:eastAsia="zh-CN"/>
              </w:rPr>
            </w:pPr>
            <w:r>
              <w:rPr>
                <w:rFonts w:hint="eastAsia"/>
                <w:color w:val="auto"/>
                <w:sz w:val="21"/>
                <w:szCs w:val="21"/>
                <w:highlight w:val="none"/>
                <w:lang w:val="en-US" w:eastAsia="zh-CN"/>
              </w:rPr>
              <w:t>0.2</w:t>
            </w:r>
          </w:p>
        </w:tc>
        <w:tc>
          <w:tcPr>
            <w:tcW w:w="1144" w:type="dxa"/>
            <w:noWrap w:val="0"/>
            <w:vAlign w:val="center"/>
          </w:tcPr>
          <w:p w14:paraId="34BD1F43">
            <w:pPr>
              <w:tabs>
                <w:tab w:val="left" w:pos="4425"/>
              </w:tabs>
              <w:spacing w:line="240" w:lineRule="auto"/>
              <w:jc w:val="center"/>
              <w:rPr>
                <w:snapToGrid w:val="0"/>
                <w:color w:val="auto"/>
                <w:kern w:val="21"/>
                <w:szCs w:val="21"/>
                <w:highlight w:val="none"/>
              </w:rPr>
            </w:pPr>
            <w:r>
              <w:rPr>
                <w:rFonts w:hint="eastAsia"/>
                <w:color w:val="auto"/>
                <w:sz w:val="21"/>
                <w:szCs w:val="21"/>
                <w:highlight w:val="none"/>
                <w:lang w:val="en-US" w:eastAsia="zh-CN"/>
              </w:rPr>
              <w:t>0.2</w:t>
            </w:r>
          </w:p>
        </w:tc>
      </w:tr>
      <w:tr w14:paraId="4684C09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446" w:type="dxa"/>
            <w:noWrap w:val="0"/>
            <w:vAlign w:val="center"/>
          </w:tcPr>
          <w:p w14:paraId="7A5AAFED">
            <w:pPr>
              <w:pStyle w:val="49"/>
              <w:spacing w:beforeLines="0" w:afterLines="0" w:line="240" w:lineRule="auto"/>
              <w:rPr>
                <w:rFonts w:ascii="Times New Roman"/>
                <w:snapToGrid w:val="0"/>
                <w:color w:val="auto"/>
                <w:kern w:val="21"/>
                <w:szCs w:val="21"/>
                <w:highlight w:val="none"/>
                <w:lang w:val="en-US" w:eastAsia="zh-CN"/>
              </w:rPr>
            </w:pPr>
            <w:r>
              <w:rPr>
                <w:rFonts w:hint="eastAsia" w:ascii="Times New Roman" w:hAnsi="Times New Roman" w:cs="Times New Roman"/>
                <w:color w:val="auto"/>
                <w:sz w:val="21"/>
                <w:szCs w:val="21"/>
                <w:highlight w:val="none"/>
                <w:lang w:eastAsia="zh-CN"/>
              </w:rPr>
              <w:t>生活垃圾</w:t>
            </w:r>
          </w:p>
        </w:tc>
        <w:tc>
          <w:tcPr>
            <w:tcW w:w="1559" w:type="dxa"/>
            <w:noWrap w:val="0"/>
            <w:vAlign w:val="center"/>
          </w:tcPr>
          <w:p w14:paraId="0CC8104A">
            <w:pPr>
              <w:pStyle w:val="56"/>
              <w:spacing w:line="240" w:lineRule="auto"/>
              <w:rPr>
                <w:rFonts w:hint="eastAsia"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生活垃圾</w:t>
            </w:r>
          </w:p>
        </w:tc>
        <w:tc>
          <w:tcPr>
            <w:tcW w:w="1559" w:type="dxa"/>
            <w:noWrap w:val="0"/>
            <w:vAlign w:val="center"/>
          </w:tcPr>
          <w:p w14:paraId="137CC6CC">
            <w:pPr>
              <w:adjustRightInd w:val="0"/>
              <w:snapToGrid w:val="0"/>
              <w:spacing w:line="360" w:lineRule="exact"/>
              <w:jc w:val="center"/>
              <w:rPr>
                <w:rFonts w:hint="eastAsia"/>
                <w:color w:val="auto"/>
                <w:spacing w:val="1"/>
                <w:szCs w:val="21"/>
                <w:highlight w:val="none"/>
                <w:lang w:val="en-US" w:eastAsia="zh-CN"/>
              </w:rPr>
            </w:pPr>
            <w:r>
              <w:rPr>
                <w:rFonts w:hint="eastAsia"/>
                <w:color w:val="auto"/>
                <w:spacing w:val="1"/>
                <w:szCs w:val="21"/>
                <w:highlight w:val="none"/>
                <w:lang w:val="en-US" w:eastAsia="zh-CN"/>
              </w:rPr>
              <w:t>0</w:t>
            </w:r>
          </w:p>
        </w:tc>
        <w:tc>
          <w:tcPr>
            <w:tcW w:w="1276" w:type="dxa"/>
            <w:noWrap w:val="0"/>
            <w:vAlign w:val="center"/>
          </w:tcPr>
          <w:p w14:paraId="687FB745">
            <w:pPr>
              <w:pStyle w:val="49"/>
              <w:spacing w:beforeLines="0" w:afterLines="0" w:line="240" w:lineRule="auto"/>
              <w:rPr>
                <w:rFonts w:hint="eastAsia" w:ascii="Times New Roman"/>
                <w:color w:val="auto"/>
                <w:spacing w:val="1"/>
                <w:szCs w:val="21"/>
                <w:highlight w:val="none"/>
                <w:lang w:val="en-US" w:eastAsia="zh-CN"/>
              </w:rPr>
            </w:pPr>
            <w:r>
              <w:rPr>
                <w:rFonts w:hint="eastAsia" w:ascii="Times New Roman"/>
                <w:color w:val="auto"/>
                <w:spacing w:val="1"/>
                <w:szCs w:val="21"/>
                <w:highlight w:val="none"/>
                <w:lang w:val="en-US" w:eastAsia="zh-CN"/>
              </w:rPr>
              <w:t>0</w:t>
            </w:r>
          </w:p>
        </w:tc>
        <w:tc>
          <w:tcPr>
            <w:tcW w:w="1559" w:type="dxa"/>
            <w:noWrap w:val="0"/>
            <w:vAlign w:val="center"/>
          </w:tcPr>
          <w:p w14:paraId="1CCCE462">
            <w:pPr>
              <w:pStyle w:val="49"/>
              <w:spacing w:beforeLines="0" w:afterLines="0" w:line="240" w:lineRule="auto"/>
              <w:rPr>
                <w:rFonts w:ascii="Times New Roman"/>
                <w:snapToGrid w:val="0"/>
                <w:color w:val="auto"/>
                <w:kern w:val="21"/>
                <w:szCs w:val="21"/>
                <w:highlight w:val="none"/>
                <w:lang w:val="en-US" w:eastAsia="zh-CN"/>
              </w:rPr>
            </w:pPr>
            <w:r>
              <w:rPr>
                <w:rFonts w:ascii="Times New Roman"/>
                <w:snapToGrid w:val="0"/>
                <w:color w:val="auto"/>
                <w:kern w:val="21"/>
                <w:szCs w:val="21"/>
                <w:highlight w:val="none"/>
                <w:lang w:val="en-US" w:eastAsia="zh-CN"/>
              </w:rPr>
              <w:t>0</w:t>
            </w:r>
          </w:p>
        </w:tc>
        <w:tc>
          <w:tcPr>
            <w:tcW w:w="1701" w:type="dxa"/>
            <w:noWrap w:val="0"/>
            <w:vAlign w:val="center"/>
          </w:tcPr>
          <w:p w14:paraId="5BC6995A">
            <w:pPr>
              <w:pStyle w:val="49"/>
              <w:spacing w:beforeLines="0" w:afterLines="0" w:line="240" w:lineRule="auto"/>
              <w:rPr>
                <w:rFonts w:ascii="Times New Roman"/>
                <w:snapToGrid w:val="0"/>
                <w:color w:val="auto"/>
                <w:kern w:val="21"/>
                <w:szCs w:val="21"/>
                <w:highlight w:val="none"/>
                <w:lang w:val="en-US" w:eastAsia="zh-CN"/>
              </w:rPr>
            </w:pPr>
            <w:r>
              <w:rPr>
                <w:rFonts w:hint="default" w:ascii="Times New Roman" w:hAnsi="Times New Roman" w:cs="Times New Roman"/>
                <w:color w:val="auto"/>
                <w:sz w:val="21"/>
                <w:szCs w:val="21"/>
                <w:highlight w:val="none"/>
                <w:lang w:val="en-US" w:eastAsia="zh-CN"/>
              </w:rPr>
              <w:t>3.3</w:t>
            </w:r>
          </w:p>
        </w:tc>
        <w:tc>
          <w:tcPr>
            <w:tcW w:w="1701" w:type="dxa"/>
            <w:noWrap w:val="0"/>
            <w:vAlign w:val="center"/>
          </w:tcPr>
          <w:p w14:paraId="42FEA021">
            <w:pPr>
              <w:pStyle w:val="49"/>
              <w:spacing w:beforeLines="0" w:afterLines="0" w:line="240" w:lineRule="auto"/>
              <w:rPr>
                <w:rFonts w:hint="default" w:ascii="Times New Roman"/>
                <w:snapToGrid w:val="0"/>
                <w:color w:val="auto"/>
                <w:kern w:val="21"/>
                <w:szCs w:val="21"/>
                <w:highlight w:val="none"/>
                <w:lang w:val="en-US" w:eastAsia="zh-CN"/>
              </w:rPr>
            </w:pPr>
            <w:r>
              <w:rPr>
                <w:rFonts w:hint="eastAsia" w:ascii="Times New Roman"/>
                <w:snapToGrid w:val="0"/>
                <w:color w:val="auto"/>
                <w:kern w:val="21"/>
                <w:szCs w:val="21"/>
                <w:highlight w:val="none"/>
                <w:lang w:val="en-US" w:eastAsia="zh-CN"/>
              </w:rPr>
              <w:t>0</w:t>
            </w:r>
          </w:p>
        </w:tc>
        <w:tc>
          <w:tcPr>
            <w:tcW w:w="1843" w:type="dxa"/>
            <w:noWrap w:val="0"/>
            <w:vAlign w:val="center"/>
          </w:tcPr>
          <w:p w14:paraId="583FC64E">
            <w:pPr>
              <w:pStyle w:val="49"/>
              <w:spacing w:beforeLines="0" w:afterLines="0" w:line="240" w:lineRule="auto"/>
              <w:rPr>
                <w:rFonts w:ascii="Times New Roman"/>
                <w:color w:val="auto"/>
                <w:highlight w:val="none"/>
                <w:lang w:val="en-US" w:eastAsia="zh-CN"/>
              </w:rPr>
            </w:pPr>
            <w:r>
              <w:rPr>
                <w:rFonts w:hint="default" w:ascii="Times New Roman" w:hAnsi="Times New Roman" w:cs="Times New Roman"/>
                <w:color w:val="auto"/>
                <w:sz w:val="21"/>
                <w:szCs w:val="21"/>
                <w:highlight w:val="none"/>
                <w:lang w:val="en-US" w:eastAsia="zh-CN"/>
              </w:rPr>
              <w:t>3.3</w:t>
            </w:r>
          </w:p>
        </w:tc>
        <w:tc>
          <w:tcPr>
            <w:tcW w:w="1144" w:type="dxa"/>
            <w:noWrap w:val="0"/>
            <w:vAlign w:val="center"/>
          </w:tcPr>
          <w:p w14:paraId="397477D0">
            <w:pPr>
              <w:adjustRightInd w:val="0"/>
              <w:snapToGrid w:val="0"/>
              <w:spacing w:line="360" w:lineRule="exact"/>
              <w:jc w:val="center"/>
              <w:rPr>
                <w:bCs/>
                <w:color w:val="auto"/>
                <w:szCs w:val="21"/>
                <w:highlight w:val="none"/>
              </w:rPr>
            </w:pPr>
            <w:r>
              <w:rPr>
                <w:rFonts w:hint="default" w:ascii="Times New Roman" w:hAnsi="Times New Roman" w:cs="Times New Roman"/>
                <w:color w:val="auto"/>
                <w:sz w:val="21"/>
                <w:szCs w:val="21"/>
                <w:highlight w:val="none"/>
                <w:lang w:val="en-US" w:eastAsia="zh-CN"/>
              </w:rPr>
              <w:t>3.3</w:t>
            </w:r>
          </w:p>
        </w:tc>
      </w:tr>
      <w:tr w14:paraId="0AE2C32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446" w:type="dxa"/>
            <w:vMerge w:val="restart"/>
            <w:noWrap w:val="0"/>
            <w:vAlign w:val="center"/>
          </w:tcPr>
          <w:p w14:paraId="57EDDD67">
            <w:pPr>
              <w:pStyle w:val="49"/>
              <w:spacing w:beforeLines="0" w:afterLines="0" w:line="240" w:lineRule="auto"/>
              <w:rPr>
                <w:rFonts w:ascii="Times New Roman"/>
                <w:snapToGrid w:val="0"/>
                <w:color w:val="auto"/>
                <w:kern w:val="21"/>
                <w:szCs w:val="21"/>
                <w:highlight w:val="none"/>
                <w:lang w:val="en-US" w:eastAsia="zh-CN"/>
              </w:rPr>
            </w:pPr>
            <w:r>
              <w:rPr>
                <w:rFonts w:ascii="Times New Roman"/>
                <w:snapToGrid w:val="0"/>
                <w:color w:val="auto"/>
                <w:kern w:val="21"/>
                <w:szCs w:val="21"/>
                <w:highlight w:val="none"/>
                <w:lang w:val="en-US" w:eastAsia="zh-CN"/>
              </w:rPr>
              <w:t>危险废物</w:t>
            </w:r>
          </w:p>
        </w:tc>
        <w:tc>
          <w:tcPr>
            <w:tcW w:w="1559" w:type="dxa"/>
            <w:noWrap w:val="0"/>
            <w:vAlign w:val="center"/>
          </w:tcPr>
          <w:p w14:paraId="5ACFCDDF">
            <w:pPr>
              <w:tabs>
                <w:tab w:val="left" w:pos="4425"/>
              </w:tabs>
              <w:spacing w:line="240" w:lineRule="auto"/>
              <w:jc w:val="center"/>
              <w:rPr>
                <w:rFonts w:ascii="Times New Roman" w:hAnsi="Times New Roman" w:cs="Times New Roman"/>
                <w:snapToGrid w:val="0"/>
                <w:color w:val="auto"/>
                <w:kern w:val="21"/>
                <w:sz w:val="21"/>
                <w:szCs w:val="21"/>
                <w:highlight w:val="none"/>
              </w:rPr>
            </w:pPr>
            <w:r>
              <w:rPr>
                <w:rFonts w:hint="eastAsia" w:ascii="Times New Roman" w:hAnsi="Times New Roman" w:eastAsia="宋体" w:cs="Times New Roman"/>
                <w:color w:val="auto"/>
                <w:sz w:val="21"/>
                <w:szCs w:val="21"/>
                <w:lang w:eastAsia="zh-CN"/>
              </w:rPr>
              <w:t>废活性炭</w:t>
            </w:r>
          </w:p>
        </w:tc>
        <w:tc>
          <w:tcPr>
            <w:tcW w:w="1559" w:type="dxa"/>
            <w:noWrap w:val="0"/>
            <w:vAlign w:val="center"/>
          </w:tcPr>
          <w:p w14:paraId="07429BC6">
            <w:pPr>
              <w:adjustRightInd w:val="0"/>
              <w:snapToGrid w:val="0"/>
              <w:spacing w:line="360" w:lineRule="exact"/>
              <w:jc w:val="center"/>
              <w:rPr>
                <w:rFonts w:ascii="Times New Roman" w:hAnsi="Times New Roman" w:cs="Times New Roman"/>
                <w:snapToGrid w:val="0"/>
                <w:color w:val="auto"/>
                <w:kern w:val="21"/>
                <w:sz w:val="21"/>
                <w:szCs w:val="21"/>
                <w:highlight w:val="none"/>
                <w:lang w:eastAsia="zh-CN"/>
              </w:rPr>
            </w:pPr>
            <w:r>
              <w:rPr>
                <w:rFonts w:hint="eastAsia"/>
                <w:color w:val="auto"/>
                <w:spacing w:val="1"/>
                <w:szCs w:val="21"/>
                <w:highlight w:val="none"/>
                <w:lang w:val="en-US" w:eastAsia="zh-CN"/>
              </w:rPr>
              <w:t>0</w:t>
            </w:r>
          </w:p>
        </w:tc>
        <w:tc>
          <w:tcPr>
            <w:tcW w:w="1276" w:type="dxa"/>
            <w:noWrap w:val="0"/>
            <w:vAlign w:val="center"/>
          </w:tcPr>
          <w:p w14:paraId="26B8AFAC">
            <w:pPr>
              <w:pStyle w:val="49"/>
              <w:spacing w:beforeLines="0" w:afterLines="0" w:line="240" w:lineRule="auto"/>
              <w:rPr>
                <w:rFonts w:ascii="Times New Roman"/>
                <w:snapToGrid w:val="0"/>
                <w:color w:val="auto"/>
                <w:kern w:val="21"/>
                <w:szCs w:val="21"/>
                <w:highlight w:val="none"/>
                <w:lang w:val="en-US" w:eastAsia="zh-CN"/>
              </w:rPr>
            </w:pPr>
            <w:r>
              <w:rPr>
                <w:rFonts w:hint="eastAsia" w:ascii="Times New Roman"/>
                <w:color w:val="auto"/>
                <w:spacing w:val="1"/>
                <w:szCs w:val="21"/>
                <w:highlight w:val="none"/>
                <w:lang w:val="en-US" w:eastAsia="zh-CN"/>
              </w:rPr>
              <w:t>0</w:t>
            </w:r>
          </w:p>
        </w:tc>
        <w:tc>
          <w:tcPr>
            <w:tcW w:w="1559" w:type="dxa"/>
            <w:noWrap w:val="0"/>
            <w:vAlign w:val="center"/>
          </w:tcPr>
          <w:p w14:paraId="78D66935">
            <w:pPr>
              <w:pStyle w:val="49"/>
              <w:spacing w:beforeLines="0" w:afterLines="0" w:line="240" w:lineRule="auto"/>
              <w:rPr>
                <w:rFonts w:ascii="Times New Roman"/>
                <w:snapToGrid w:val="0"/>
                <w:color w:val="auto"/>
                <w:kern w:val="21"/>
                <w:szCs w:val="21"/>
                <w:highlight w:val="none"/>
                <w:lang w:val="en-US" w:eastAsia="zh-CN"/>
              </w:rPr>
            </w:pPr>
            <w:r>
              <w:rPr>
                <w:rFonts w:ascii="Times New Roman"/>
                <w:snapToGrid w:val="0"/>
                <w:color w:val="auto"/>
                <w:kern w:val="21"/>
                <w:szCs w:val="21"/>
                <w:highlight w:val="none"/>
                <w:lang w:val="en-US" w:eastAsia="zh-CN"/>
              </w:rPr>
              <w:t>0</w:t>
            </w:r>
          </w:p>
        </w:tc>
        <w:tc>
          <w:tcPr>
            <w:tcW w:w="1701" w:type="dxa"/>
            <w:noWrap w:val="0"/>
            <w:vAlign w:val="center"/>
          </w:tcPr>
          <w:p w14:paraId="02D4A688">
            <w:pPr>
              <w:tabs>
                <w:tab w:val="left" w:pos="4425"/>
              </w:tabs>
              <w:spacing w:line="240" w:lineRule="auto"/>
              <w:jc w:val="center"/>
              <w:rPr>
                <w:snapToGrid w:val="0"/>
                <w:color w:val="auto"/>
                <w:kern w:val="21"/>
                <w:szCs w:val="21"/>
                <w:highlight w:val="none"/>
              </w:rPr>
            </w:pPr>
            <w:r>
              <w:rPr>
                <w:rFonts w:hint="eastAsia"/>
                <w:color w:val="auto"/>
                <w:sz w:val="21"/>
                <w:szCs w:val="21"/>
                <w:highlight w:val="none"/>
                <w:lang w:val="en-US" w:eastAsia="zh-CN"/>
              </w:rPr>
              <w:t>1.3</w:t>
            </w:r>
          </w:p>
        </w:tc>
        <w:tc>
          <w:tcPr>
            <w:tcW w:w="1701" w:type="dxa"/>
            <w:noWrap w:val="0"/>
            <w:vAlign w:val="center"/>
          </w:tcPr>
          <w:p w14:paraId="1BEC2233">
            <w:pPr>
              <w:pStyle w:val="49"/>
              <w:spacing w:beforeLines="0" w:afterLines="0" w:line="240" w:lineRule="auto"/>
              <w:rPr>
                <w:rFonts w:ascii="Times New Roman"/>
                <w:snapToGrid w:val="0"/>
                <w:color w:val="auto"/>
                <w:kern w:val="21"/>
                <w:szCs w:val="21"/>
                <w:highlight w:val="none"/>
                <w:lang w:val="en-US" w:eastAsia="zh-CN"/>
              </w:rPr>
            </w:pPr>
            <w:r>
              <w:rPr>
                <w:rFonts w:ascii="Times New Roman"/>
                <w:snapToGrid w:val="0"/>
                <w:color w:val="auto"/>
                <w:kern w:val="21"/>
                <w:szCs w:val="21"/>
                <w:highlight w:val="none"/>
                <w:lang w:val="en-US" w:eastAsia="zh-CN"/>
              </w:rPr>
              <w:t>0</w:t>
            </w:r>
          </w:p>
        </w:tc>
        <w:tc>
          <w:tcPr>
            <w:tcW w:w="1843" w:type="dxa"/>
            <w:noWrap w:val="0"/>
            <w:vAlign w:val="center"/>
          </w:tcPr>
          <w:p w14:paraId="5555C7C5">
            <w:pPr>
              <w:spacing w:line="240" w:lineRule="auto"/>
              <w:jc w:val="center"/>
              <w:rPr>
                <w:rFonts w:ascii="Times New Roman" w:hAnsi="Times New Roman" w:cs="Times New Roman"/>
                <w:snapToGrid w:val="0"/>
                <w:color w:val="auto"/>
                <w:kern w:val="21"/>
                <w:sz w:val="21"/>
                <w:szCs w:val="21"/>
                <w:highlight w:val="none"/>
                <w:lang w:eastAsia="zh-CN"/>
              </w:rPr>
            </w:pPr>
            <w:r>
              <w:rPr>
                <w:rFonts w:hint="eastAsia"/>
                <w:color w:val="auto"/>
                <w:sz w:val="21"/>
                <w:szCs w:val="21"/>
                <w:highlight w:val="none"/>
                <w:lang w:val="en-US" w:eastAsia="zh-CN"/>
              </w:rPr>
              <w:t>1.3</w:t>
            </w:r>
          </w:p>
        </w:tc>
        <w:tc>
          <w:tcPr>
            <w:tcW w:w="1144" w:type="dxa"/>
            <w:noWrap w:val="0"/>
            <w:vAlign w:val="center"/>
          </w:tcPr>
          <w:p w14:paraId="7A115AE6">
            <w:pPr>
              <w:spacing w:line="240" w:lineRule="auto"/>
              <w:jc w:val="center"/>
              <w:rPr>
                <w:snapToGrid w:val="0"/>
                <w:color w:val="auto"/>
                <w:kern w:val="21"/>
                <w:szCs w:val="21"/>
                <w:highlight w:val="none"/>
              </w:rPr>
            </w:pPr>
            <w:r>
              <w:rPr>
                <w:rFonts w:hint="eastAsia"/>
                <w:color w:val="auto"/>
                <w:sz w:val="21"/>
                <w:szCs w:val="21"/>
                <w:highlight w:val="none"/>
                <w:lang w:val="en-US" w:eastAsia="zh-CN"/>
              </w:rPr>
              <w:t>1.3</w:t>
            </w:r>
          </w:p>
        </w:tc>
      </w:tr>
      <w:tr w14:paraId="0138C60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446" w:type="dxa"/>
            <w:vMerge w:val="continue"/>
            <w:noWrap w:val="0"/>
            <w:vAlign w:val="center"/>
          </w:tcPr>
          <w:p w14:paraId="6E21DDEB">
            <w:pPr>
              <w:pStyle w:val="49"/>
              <w:spacing w:beforeLines="0" w:afterLines="0" w:line="240" w:lineRule="auto"/>
              <w:rPr>
                <w:rFonts w:ascii="Times New Roman"/>
                <w:snapToGrid w:val="0"/>
                <w:color w:val="auto"/>
                <w:kern w:val="21"/>
                <w:szCs w:val="21"/>
                <w:highlight w:val="none"/>
                <w:lang w:val="en-US" w:eastAsia="zh-CN"/>
              </w:rPr>
            </w:pPr>
          </w:p>
        </w:tc>
        <w:tc>
          <w:tcPr>
            <w:tcW w:w="1559" w:type="dxa"/>
            <w:noWrap w:val="0"/>
            <w:vAlign w:val="center"/>
          </w:tcPr>
          <w:p w14:paraId="274AC38D">
            <w:pPr>
              <w:tabs>
                <w:tab w:val="left" w:pos="4425"/>
              </w:tabs>
              <w:spacing w:line="240" w:lineRule="auto"/>
              <w:jc w:val="center"/>
              <w:rPr>
                <w:rFonts w:ascii="Times New Roman" w:hAnsi="Times New Roman" w:cs="Times New Roman"/>
                <w:snapToGrid w:val="0"/>
                <w:color w:val="auto"/>
                <w:kern w:val="21"/>
                <w:sz w:val="21"/>
                <w:szCs w:val="21"/>
                <w:highlight w:val="none"/>
              </w:rPr>
            </w:pPr>
            <w:r>
              <w:rPr>
                <w:rFonts w:hint="eastAsia"/>
                <w:color w:val="auto"/>
                <w:kern w:val="0"/>
                <w:sz w:val="21"/>
                <w:szCs w:val="21"/>
                <w:highlight w:val="none"/>
                <w:lang w:eastAsia="zh-CN"/>
              </w:rPr>
              <w:t>废</w:t>
            </w:r>
            <w:r>
              <w:rPr>
                <w:rFonts w:hint="eastAsia"/>
                <w:color w:val="auto"/>
                <w:kern w:val="0"/>
                <w:sz w:val="21"/>
                <w:szCs w:val="21"/>
                <w:highlight w:val="none"/>
                <w:lang w:val="en-US" w:eastAsia="zh-CN"/>
              </w:rPr>
              <w:t>UV灯管</w:t>
            </w:r>
          </w:p>
        </w:tc>
        <w:tc>
          <w:tcPr>
            <w:tcW w:w="1559" w:type="dxa"/>
            <w:noWrap w:val="0"/>
            <w:vAlign w:val="center"/>
          </w:tcPr>
          <w:p w14:paraId="5EEF9C79">
            <w:pPr>
              <w:adjustRightInd w:val="0"/>
              <w:snapToGrid w:val="0"/>
              <w:spacing w:line="360" w:lineRule="exact"/>
              <w:jc w:val="center"/>
              <w:rPr>
                <w:rFonts w:ascii="Times New Roman" w:hAnsi="Times New Roman" w:cs="Times New Roman"/>
                <w:snapToGrid w:val="0"/>
                <w:color w:val="auto"/>
                <w:kern w:val="21"/>
                <w:sz w:val="21"/>
                <w:szCs w:val="21"/>
                <w:highlight w:val="none"/>
                <w:lang w:eastAsia="zh-CN"/>
              </w:rPr>
            </w:pPr>
            <w:r>
              <w:rPr>
                <w:rFonts w:hint="eastAsia"/>
                <w:color w:val="auto"/>
                <w:spacing w:val="1"/>
                <w:szCs w:val="21"/>
                <w:highlight w:val="none"/>
                <w:lang w:val="en-US" w:eastAsia="zh-CN"/>
              </w:rPr>
              <w:t>0</w:t>
            </w:r>
          </w:p>
        </w:tc>
        <w:tc>
          <w:tcPr>
            <w:tcW w:w="1276" w:type="dxa"/>
            <w:noWrap w:val="0"/>
            <w:vAlign w:val="center"/>
          </w:tcPr>
          <w:p w14:paraId="4ADF2156">
            <w:pPr>
              <w:pStyle w:val="49"/>
              <w:spacing w:beforeLines="0" w:afterLines="0" w:line="240" w:lineRule="auto"/>
              <w:rPr>
                <w:rFonts w:ascii="Times New Roman"/>
                <w:snapToGrid w:val="0"/>
                <w:color w:val="auto"/>
                <w:kern w:val="21"/>
                <w:szCs w:val="21"/>
                <w:highlight w:val="none"/>
                <w:lang w:val="en-US" w:eastAsia="zh-CN"/>
              </w:rPr>
            </w:pPr>
            <w:r>
              <w:rPr>
                <w:rFonts w:hint="eastAsia" w:ascii="Times New Roman"/>
                <w:color w:val="auto"/>
                <w:spacing w:val="1"/>
                <w:szCs w:val="21"/>
                <w:highlight w:val="none"/>
                <w:lang w:val="en-US" w:eastAsia="zh-CN"/>
              </w:rPr>
              <w:t>0</w:t>
            </w:r>
          </w:p>
        </w:tc>
        <w:tc>
          <w:tcPr>
            <w:tcW w:w="1559" w:type="dxa"/>
            <w:noWrap w:val="0"/>
            <w:vAlign w:val="center"/>
          </w:tcPr>
          <w:p w14:paraId="211C8C8F">
            <w:pPr>
              <w:pStyle w:val="49"/>
              <w:spacing w:beforeLines="0" w:afterLines="0" w:line="240" w:lineRule="auto"/>
              <w:rPr>
                <w:rFonts w:ascii="Times New Roman"/>
                <w:snapToGrid w:val="0"/>
                <w:color w:val="auto"/>
                <w:kern w:val="21"/>
                <w:szCs w:val="21"/>
                <w:highlight w:val="none"/>
                <w:lang w:val="en-US" w:eastAsia="zh-CN"/>
              </w:rPr>
            </w:pPr>
            <w:r>
              <w:rPr>
                <w:rFonts w:ascii="Times New Roman"/>
                <w:snapToGrid w:val="0"/>
                <w:color w:val="auto"/>
                <w:kern w:val="21"/>
                <w:szCs w:val="21"/>
                <w:highlight w:val="none"/>
                <w:lang w:val="en-US" w:eastAsia="zh-CN"/>
              </w:rPr>
              <w:t>0</w:t>
            </w:r>
          </w:p>
        </w:tc>
        <w:tc>
          <w:tcPr>
            <w:tcW w:w="1701" w:type="dxa"/>
            <w:noWrap w:val="0"/>
            <w:vAlign w:val="center"/>
          </w:tcPr>
          <w:p w14:paraId="25D4F1E8">
            <w:pPr>
              <w:tabs>
                <w:tab w:val="left" w:pos="4425"/>
              </w:tabs>
              <w:spacing w:line="240" w:lineRule="auto"/>
              <w:jc w:val="center"/>
              <w:rPr>
                <w:rFonts w:ascii="Times New Roman"/>
                <w:snapToGrid w:val="0"/>
                <w:color w:val="auto"/>
                <w:kern w:val="21"/>
                <w:szCs w:val="21"/>
                <w:highlight w:val="none"/>
                <w:lang w:val="en-US" w:eastAsia="zh-CN"/>
              </w:rPr>
            </w:pPr>
            <w:r>
              <w:rPr>
                <w:rFonts w:hint="eastAsia"/>
                <w:color w:val="auto"/>
                <w:sz w:val="21"/>
                <w:szCs w:val="21"/>
                <w:highlight w:val="none"/>
                <w:lang w:val="en-US" w:eastAsia="zh-CN"/>
              </w:rPr>
              <w:t>0.012</w:t>
            </w:r>
          </w:p>
        </w:tc>
        <w:tc>
          <w:tcPr>
            <w:tcW w:w="1701" w:type="dxa"/>
            <w:noWrap w:val="0"/>
            <w:vAlign w:val="center"/>
          </w:tcPr>
          <w:p w14:paraId="07C3E34B">
            <w:pPr>
              <w:pStyle w:val="49"/>
              <w:spacing w:beforeLines="0" w:afterLines="0" w:line="240" w:lineRule="auto"/>
              <w:rPr>
                <w:rFonts w:ascii="Times New Roman"/>
                <w:snapToGrid w:val="0"/>
                <w:color w:val="auto"/>
                <w:kern w:val="21"/>
                <w:szCs w:val="21"/>
                <w:highlight w:val="none"/>
                <w:lang w:val="en-US" w:eastAsia="zh-CN"/>
              </w:rPr>
            </w:pPr>
            <w:r>
              <w:rPr>
                <w:rFonts w:ascii="Times New Roman"/>
                <w:snapToGrid w:val="0"/>
                <w:color w:val="auto"/>
                <w:kern w:val="21"/>
                <w:szCs w:val="21"/>
                <w:highlight w:val="none"/>
                <w:lang w:val="en-US" w:eastAsia="zh-CN"/>
              </w:rPr>
              <w:t>0</w:t>
            </w:r>
          </w:p>
        </w:tc>
        <w:tc>
          <w:tcPr>
            <w:tcW w:w="1843" w:type="dxa"/>
            <w:noWrap w:val="0"/>
            <w:vAlign w:val="center"/>
          </w:tcPr>
          <w:p w14:paraId="1F7E6AAC">
            <w:pPr>
              <w:tabs>
                <w:tab w:val="left" w:pos="4425"/>
              </w:tabs>
              <w:spacing w:line="240" w:lineRule="auto"/>
              <w:jc w:val="center"/>
              <w:rPr>
                <w:rFonts w:ascii="Times New Roman" w:hAnsi="Times New Roman" w:cs="Times New Roman"/>
                <w:snapToGrid w:val="0"/>
                <w:color w:val="auto"/>
                <w:kern w:val="21"/>
                <w:sz w:val="21"/>
                <w:szCs w:val="21"/>
                <w:highlight w:val="none"/>
                <w:lang w:eastAsia="zh-CN"/>
              </w:rPr>
            </w:pPr>
            <w:r>
              <w:rPr>
                <w:rFonts w:hint="eastAsia"/>
                <w:color w:val="auto"/>
                <w:sz w:val="21"/>
                <w:szCs w:val="21"/>
                <w:highlight w:val="none"/>
                <w:lang w:val="en-US" w:eastAsia="zh-CN"/>
              </w:rPr>
              <w:t>0.012</w:t>
            </w:r>
          </w:p>
        </w:tc>
        <w:tc>
          <w:tcPr>
            <w:tcW w:w="1144" w:type="dxa"/>
            <w:noWrap w:val="0"/>
            <w:vAlign w:val="center"/>
          </w:tcPr>
          <w:p w14:paraId="7B7A70BD">
            <w:pPr>
              <w:tabs>
                <w:tab w:val="left" w:pos="4425"/>
              </w:tabs>
              <w:spacing w:line="240" w:lineRule="auto"/>
              <w:jc w:val="center"/>
              <w:rPr>
                <w:snapToGrid w:val="0"/>
                <w:color w:val="auto"/>
                <w:kern w:val="21"/>
                <w:szCs w:val="21"/>
                <w:highlight w:val="none"/>
              </w:rPr>
            </w:pPr>
            <w:r>
              <w:rPr>
                <w:rFonts w:hint="eastAsia"/>
                <w:color w:val="auto"/>
                <w:sz w:val="21"/>
                <w:szCs w:val="21"/>
                <w:highlight w:val="none"/>
                <w:lang w:val="en-US" w:eastAsia="zh-CN"/>
              </w:rPr>
              <w:t>0.012</w:t>
            </w:r>
          </w:p>
        </w:tc>
      </w:tr>
      <w:tr w14:paraId="690F5DA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446" w:type="dxa"/>
            <w:vMerge w:val="continue"/>
            <w:noWrap w:val="0"/>
            <w:vAlign w:val="center"/>
          </w:tcPr>
          <w:p w14:paraId="45A1741C">
            <w:pPr>
              <w:pStyle w:val="49"/>
              <w:spacing w:beforeLines="0" w:afterLines="0" w:line="240" w:lineRule="auto"/>
              <w:rPr>
                <w:rFonts w:ascii="Times New Roman"/>
                <w:snapToGrid w:val="0"/>
                <w:color w:val="auto"/>
                <w:kern w:val="21"/>
                <w:szCs w:val="21"/>
                <w:highlight w:val="none"/>
                <w:lang w:val="en-US" w:eastAsia="zh-CN"/>
              </w:rPr>
            </w:pPr>
          </w:p>
        </w:tc>
        <w:tc>
          <w:tcPr>
            <w:tcW w:w="1559" w:type="dxa"/>
            <w:noWrap w:val="0"/>
            <w:vAlign w:val="center"/>
          </w:tcPr>
          <w:p w14:paraId="42D7C8E3">
            <w:pPr>
              <w:tabs>
                <w:tab w:val="left" w:pos="4425"/>
              </w:tabs>
              <w:spacing w:line="240" w:lineRule="auto"/>
              <w:jc w:val="center"/>
              <w:rPr>
                <w:rFonts w:ascii="Times New Roman" w:hAnsi="Times New Roman" w:cs="Times New Roman"/>
                <w:snapToGrid w:val="0"/>
                <w:color w:val="auto"/>
                <w:kern w:val="21"/>
                <w:sz w:val="21"/>
                <w:szCs w:val="21"/>
                <w:highlight w:val="none"/>
              </w:rPr>
            </w:pPr>
            <w:r>
              <w:rPr>
                <w:rFonts w:hint="eastAsia"/>
                <w:color w:val="auto"/>
                <w:kern w:val="0"/>
                <w:sz w:val="21"/>
                <w:szCs w:val="21"/>
                <w:highlight w:val="none"/>
                <w:lang w:eastAsia="zh-CN"/>
              </w:rPr>
              <w:t>废胶渣</w:t>
            </w:r>
          </w:p>
        </w:tc>
        <w:tc>
          <w:tcPr>
            <w:tcW w:w="1559" w:type="dxa"/>
            <w:noWrap w:val="0"/>
            <w:vAlign w:val="center"/>
          </w:tcPr>
          <w:p w14:paraId="1172A7B0">
            <w:pPr>
              <w:adjustRightInd w:val="0"/>
              <w:snapToGrid w:val="0"/>
              <w:spacing w:line="360" w:lineRule="exact"/>
              <w:jc w:val="center"/>
              <w:rPr>
                <w:rFonts w:ascii="Times New Roman" w:hAnsi="Times New Roman" w:cs="Times New Roman"/>
                <w:color w:val="auto"/>
                <w:sz w:val="21"/>
                <w:szCs w:val="21"/>
                <w:highlight w:val="none"/>
                <w:lang w:eastAsia="zh-CN"/>
              </w:rPr>
            </w:pPr>
            <w:r>
              <w:rPr>
                <w:rFonts w:hint="eastAsia"/>
                <w:color w:val="auto"/>
                <w:spacing w:val="1"/>
                <w:szCs w:val="21"/>
                <w:highlight w:val="none"/>
                <w:lang w:val="en-US" w:eastAsia="zh-CN"/>
              </w:rPr>
              <w:t>0</w:t>
            </w:r>
          </w:p>
        </w:tc>
        <w:tc>
          <w:tcPr>
            <w:tcW w:w="1276" w:type="dxa"/>
            <w:noWrap w:val="0"/>
            <w:vAlign w:val="center"/>
          </w:tcPr>
          <w:p w14:paraId="64CFE9F1">
            <w:pPr>
              <w:pStyle w:val="49"/>
              <w:spacing w:beforeLines="0" w:afterLines="0" w:line="240" w:lineRule="auto"/>
              <w:rPr>
                <w:rFonts w:ascii="Times New Roman"/>
                <w:snapToGrid w:val="0"/>
                <w:color w:val="auto"/>
                <w:kern w:val="21"/>
                <w:szCs w:val="21"/>
                <w:highlight w:val="none"/>
                <w:lang w:val="en-US" w:eastAsia="zh-CN"/>
              </w:rPr>
            </w:pPr>
            <w:r>
              <w:rPr>
                <w:rFonts w:hint="eastAsia" w:ascii="Times New Roman"/>
                <w:color w:val="auto"/>
                <w:spacing w:val="1"/>
                <w:szCs w:val="21"/>
                <w:highlight w:val="none"/>
                <w:lang w:val="en-US" w:eastAsia="zh-CN"/>
              </w:rPr>
              <w:t>0</w:t>
            </w:r>
          </w:p>
        </w:tc>
        <w:tc>
          <w:tcPr>
            <w:tcW w:w="1559" w:type="dxa"/>
            <w:noWrap w:val="0"/>
            <w:vAlign w:val="center"/>
          </w:tcPr>
          <w:p w14:paraId="415CA1F4">
            <w:pPr>
              <w:pStyle w:val="49"/>
              <w:spacing w:beforeLines="0" w:afterLines="0" w:line="240" w:lineRule="auto"/>
              <w:rPr>
                <w:rFonts w:ascii="Times New Roman"/>
                <w:color w:val="auto"/>
                <w:szCs w:val="21"/>
                <w:highlight w:val="none"/>
                <w:lang w:val="en-US" w:eastAsia="zh-CN"/>
              </w:rPr>
            </w:pPr>
            <w:r>
              <w:rPr>
                <w:rFonts w:ascii="Times New Roman"/>
                <w:snapToGrid w:val="0"/>
                <w:color w:val="auto"/>
                <w:kern w:val="21"/>
                <w:szCs w:val="21"/>
                <w:highlight w:val="none"/>
                <w:lang w:val="en-US" w:eastAsia="zh-CN"/>
              </w:rPr>
              <w:t>0</w:t>
            </w:r>
          </w:p>
        </w:tc>
        <w:tc>
          <w:tcPr>
            <w:tcW w:w="1701" w:type="dxa"/>
            <w:noWrap w:val="0"/>
            <w:vAlign w:val="center"/>
          </w:tcPr>
          <w:p w14:paraId="79B60FC6">
            <w:pPr>
              <w:tabs>
                <w:tab w:val="left" w:pos="4425"/>
              </w:tabs>
              <w:spacing w:line="240" w:lineRule="auto"/>
              <w:jc w:val="center"/>
              <w:rPr>
                <w:snapToGrid w:val="0"/>
                <w:color w:val="auto"/>
                <w:kern w:val="21"/>
                <w:szCs w:val="21"/>
                <w:highlight w:val="none"/>
              </w:rPr>
            </w:pPr>
            <w:r>
              <w:rPr>
                <w:rFonts w:hint="eastAsia"/>
                <w:color w:val="auto"/>
                <w:sz w:val="21"/>
                <w:szCs w:val="21"/>
                <w:highlight w:val="none"/>
                <w:lang w:val="en-US" w:eastAsia="zh-CN"/>
              </w:rPr>
              <w:t>0.0036</w:t>
            </w:r>
          </w:p>
        </w:tc>
        <w:tc>
          <w:tcPr>
            <w:tcW w:w="1701" w:type="dxa"/>
            <w:noWrap w:val="0"/>
            <w:vAlign w:val="center"/>
          </w:tcPr>
          <w:p w14:paraId="16DA682D">
            <w:pPr>
              <w:pStyle w:val="49"/>
              <w:spacing w:beforeLines="0" w:afterLines="0" w:line="240" w:lineRule="auto"/>
              <w:rPr>
                <w:rFonts w:ascii="Times New Roman"/>
                <w:snapToGrid w:val="0"/>
                <w:color w:val="auto"/>
                <w:kern w:val="21"/>
                <w:szCs w:val="21"/>
                <w:highlight w:val="none"/>
                <w:lang w:val="en-US" w:eastAsia="zh-CN"/>
              </w:rPr>
            </w:pPr>
            <w:r>
              <w:rPr>
                <w:rFonts w:ascii="Times New Roman"/>
                <w:snapToGrid w:val="0"/>
                <w:color w:val="auto"/>
                <w:kern w:val="21"/>
                <w:szCs w:val="21"/>
                <w:highlight w:val="none"/>
                <w:lang w:val="en-US" w:eastAsia="zh-CN"/>
              </w:rPr>
              <w:t>0</w:t>
            </w:r>
          </w:p>
        </w:tc>
        <w:tc>
          <w:tcPr>
            <w:tcW w:w="1843" w:type="dxa"/>
            <w:noWrap w:val="0"/>
            <w:vAlign w:val="center"/>
          </w:tcPr>
          <w:p w14:paraId="590DEA78">
            <w:pPr>
              <w:tabs>
                <w:tab w:val="left" w:pos="4425"/>
              </w:tabs>
              <w:spacing w:line="240" w:lineRule="auto"/>
              <w:jc w:val="center"/>
              <w:rPr>
                <w:rFonts w:ascii="Times New Roman" w:hAnsi="Times New Roman" w:cs="Times New Roman"/>
                <w:snapToGrid w:val="0"/>
                <w:color w:val="auto"/>
                <w:kern w:val="21"/>
                <w:sz w:val="21"/>
                <w:szCs w:val="21"/>
                <w:highlight w:val="none"/>
              </w:rPr>
            </w:pPr>
            <w:r>
              <w:rPr>
                <w:rFonts w:hint="eastAsia"/>
                <w:color w:val="auto"/>
                <w:sz w:val="21"/>
                <w:szCs w:val="21"/>
                <w:highlight w:val="none"/>
                <w:lang w:val="en-US" w:eastAsia="zh-CN"/>
              </w:rPr>
              <w:t>0.0036</w:t>
            </w:r>
          </w:p>
        </w:tc>
        <w:tc>
          <w:tcPr>
            <w:tcW w:w="1144" w:type="dxa"/>
            <w:noWrap w:val="0"/>
            <w:vAlign w:val="center"/>
          </w:tcPr>
          <w:p w14:paraId="36B42DE5">
            <w:pPr>
              <w:tabs>
                <w:tab w:val="left" w:pos="4425"/>
              </w:tabs>
              <w:spacing w:line="240" w:lineRule="auto"/>
              <w:jc w:val="center"/>
              <w:rPr>
                <w:snapToGrid w:val="0"/>
                <w:color w:val="auto"/>
                <w:kern w:val="21"/>
                <w:szCs w:val="21"/>
                <w:highlight w:val="none"/>
              </w:rPr>
            </w:pPr>
            <w:r>
              <w:rPr>
                <w:rFonts w:hint="eastAsia"/>
                <w:color w:val="auto"/>
                <w:sz w:val="21"/>
                <w:szCs w:val="21"/>
                <w:highlight w:val="none"/>
                <w:lang w:val="en-US" w:eastAsia="zh-CN"/>
              </w:rPr>
              <w:t>0.0036</w:t>
            </w:r>
          </w:p>
        </w:tc>
      </w:tr>
      <w:tr w14:paraId="1666588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446" w:type="dxa"/>
            <w:vMerge w:val="continue"/>
            <w:noWrap w:val="0"/>
            <w:vAlign w:val="center"/>
          </w:tcPr>
          <w:p w14:paraId="2E7E4D72">
            <w:pPr>
              <w:pStyle w:val="49"/>
              <w:spacing w:beforeLines="0" w:afterLines="0" w:line="240" w:lineRule="auto"/>
              <w:rPr>
                <w:rFonts w:ascii="Times New Roman"/>
                <w:snapToGrid w:val="0"/>
                <w:color w:val="auto"/>
                <w:kern w:val="21"/>
                <w:szCs w:val="21"/>
                <w:highlight w:val="none"/>
                <w:lang w:val="en-US" w:eastAsia="zh-CN"/>
              </w:rPr>
            </w:pPr>
          </w:p>
        </w:tc>
        <w:tc>
          <w:tcPr>
            <w:tcW w:w="1559" w:type="dxa"/>
            <w:noWrap w:val="0"/>
            <w:vAlign w:val="center"/>
          </w:tcPr>
          <w:p w14:paraId="1E6513A5">
            <w:pPr>
              <w:tabs>
                <w:tab w:val="left" w:pos="4425"/>
              </w:tabs>
              <w:spacing w:line="240" w:lineRule="auto"/>
              <w:jc w:val="center"/>
              <w:rPr>
                <w:rFonts w:ascii="Times New Roman" w:hAnsi="Times New Roman" w:cs="Times New Roman"/>
                <w:snapToGrid w:val="0"/>
                <w:color w:val="auto"/>
                <w:kern w:val="21"/>
                <w:sz w:val="21"/>
                <w:szCs w:val="21"/>
                <w:highlight w:val="none"/>
              </w:rPr>
            </w:pPr>
            <w:r>
              <w:rPr>
                <w:rFonts w:hint="eastAsia" w:ascii="Times New Roman" w:hAnsi="Times New Roman" w:eastAsia="宋体" w:cs="Times New Roman"/>
                <w:color w:val="auto"/>
                <w:kern w:val="0"/>
                <w:sz w:val="21"/>
                <w:szCs w:val="21"/>
                <w:highlight w:val="none"/>
                <w:lang w:val="en-US" w:eastAsia="zh-CN"/>
              </w:rPr>
              <w:t>废漆（胶）桶</w:t>
            </w:r>
          </w:p>
        </w:tc>
        <w:tc>
          <w:tcPr>
            <w:tcW w:w="1559" w:type="dxa"/>
            <w:noWrap w:val="0"/>
            <w:vAlign w:val="center"/>
          </w:tcPr>
          <w:p w14:paraId="75CF6FE4">
            <w:pPr>
              <w:adjustRightInd w:val="0"/>
              <w:snapToGrid w:val="0"/>
              <w:spacing w:line="360" w:lineRule="exact"/>
              <w:jc w:val="center"/>
              <w:rPr>
                <w:rFonts w:ascii="Times New Roman" w:hAnsi="Times New Roman" w:cs="Times New Roman"/>
                <w:color w:val="auto"/>
                <w:sz w:val="21"/>
                <w:szCs w:val="21"/>
                <w:highlight w:val="none"/>
                <w:lang w:eastAsia="zh-CN"/>
              </w:rPr>
            </w:pPr>
            <w:r>
              <w:rPr>
                <w:rFonts w:hint="eastAsia"/>
                <w:color w:val="auto"/>
                <w:spacing w:val="1"/>
                <w:szCs w:val="21"/>
                <w:highlight w:val="none"/>
                <w:lang w:val="en-US" w:eastAsia="zh-CN"/>
              </w:rPr>
              <w:t>0</w:t>
            </w:r>
          </w:p>
        </w:tc>
        <w:tc>
          <w:tcPr>
            <w:tcW w:w="1276" w:type="dxa"/>
            <w:noWrap w:val="0"/>
            <w:vAlign w:val="center"/>
          </w:tcPr>
          <w:p w14:paraId="18E07E46">
            <w:pPr>
              <w:pStyle w:val="49"/>
              <w:spacing w:beforeLines="0" w:afterLines="0" w:line="240" w:lineRule="auto"/>
              <w:rPr>
                <w:rFonts w:ascii="Times New Roman"/>
                <w:snapToGrid w:val="0"/>
                <w:color w:val="auto"/>
                <w:kern w:val="21"/>
                <w:szCs w:val="21"/>
                <w:highlight w:val="none"/>
                <w:lang w:val="en-US" w:eastAsia="zh-CN"/>
              </w:rPr>
            </w:pPr>
            <w:r>
              <w:rPr>
                <w:rFonts w:hint="eastAsia" w:ascii="Times New Roman"/>
                <w:color w:val="auto"/>
                <w:spacing w:val="1"/>
                <w:szCs w:val="21"/>
                <w:highlight w:val="none"/>
                <w:lang w:val="en-US" w:eastAsia="zh-CN"/>
              </w:rPr>
              <w:t>0</w:t>
            </w:r>
          </w:p>
        </w:tc>
        <w:tc>
          <w:tcPr>
            <w:tcW w:w="1559" w:type="dxa"/>
            <w:noWrap w:val="0"/>
            <w:vAlign w:val="center"/>
          </w:tcPr>
          <w:p w14:paraId="2EBD440F">
            <w:pPr>
              <w:pStyle w:val="49"/>
              <w:spacing w:beforeLines="0" w:afterLines="0" w:line="240" w:lineRule="auto"/>
              <w:rPr>
                <w:rFonts w:hint="eastAsia" w:ascii="Times New Roman"/>
                <w:color w:val="auto"/>
                <w:szCs w:val="21"/>
                <w:highlight w:val="none"/>
                <w:lang w:val="en-US" w:eastAsia="zh-CN"/>
              </w:rPr>
            </w:pPr>
            <w:r>
              <w:rPr>
                <w:rFonts w:ascii="Times New Roman"/>
                <w:snapToGrid w:val="0"/>
                <w:color w:val="auto"/>
                <w:kern w:val="21"/>
                <w:szCs w:val="21"/>
                <w:highlight w:val="none"/>
                <w:lang w:val="en-US" w:eastAsia="zh-CN"/>
              </w:rPr>
              <w:t>0</w:t>
            </w:r>
          </w:p>
        </w:tc>
        <w:tc>
          <w:tcPr>
            <w:tcW w:w="1701" w:type="dxa"/>
            <w:noWrap w:val="0"/>
            <w:vAlign w:val="center"/>
          </w:tcPr>
          <w:p w14:paraId="7CDC2D6C">
            <w:pPr>
              <w:tabs>
                <w:tab w:val="left" w:pos="4425"/>
              </w:tabs>
              <w:spacing w:line="240" w:lineRule="auto"/>
              <w:jc w:val="center"/>
              <w:rPr>
                <w:rFonts w:ascii="Times New Roman"/>
                <w:snapToGrid w:val="0"/>
                <w:color w:val="auto"/>
                <w:kern w:val="21"/>
                <w:szCs w:val="21"/>
                <w:highlight w:val="none"/>
                <w:lang w:val="en-US" w:eastAsia="zh-CN"/>
              </w:rPr>
            </w:pPr>
            <w:r>
              <w:rPr>
                <w:rFonts w:hint="eastAsia"/>
                <w:color w:val="auto"/>
                <w:sz w:val="21"/>
                <w:szCs w:val="21"/>
                <w:highlight w:val="none"/>
                <w:lang w:val="en-US" w:eastAsia="zh-CN"/>
              </w:rPr>
              <w:t>1.45</w:t>
            </w:r>
          </w:p>
        </w:tc>
        <w:tc>
          <w:tcPr>
            <w:tcW w:w="1701" w:type="dxa"/>
            <w:noWrap w:val="0"/>
            <w:vAlign w:val="center"/>
          </w:tcPr>
          <w:p w14:paraId="1988902F">
            <w:pPr>
              <w:pStyle w:val="49"/>
              <w:spacing w:beforeLines="0" w:afterLines="0" w:line="240" w:lineRule="auto"/>
              <w:rPr>
                <w:rFonts w:hint="eastAsia" w:ascii="Times New Roman"/>
                <w:snapToGrid w:val="0"/>
                <w:color w:val="auto"/>
                <w:kern w:val="21"/>
                <w:szCs w:val="21"/>
                <w:highlight w:val="none"/>
                <w:lang w:val="en-US" w:eastAsia="zh-CN"/>
              </w:rPr>
            </w:pPr>
            <w:r>
              <w:rPr>
                <w:rFonts w:hint="eastAsia" w:ascii="Times New Roman"/>
                <w:snapToGrid w:val="0"/>
                <w:color w:val="auto"/>
                <w:kern w:val="21"/>
                <w:szCs w:val="21"/>
                <w:highlight w:val="none"/>
                <w:lang w:val="en-US" w:eastAsia="zh-CN"/>
              </w:rPr>
              <w:t>0</w:t>
            </w:r>
          </w:p>
        </w:tc>
        <w:tc>
          <w:tcPr>
            <w:tcW w:w="1843" w:type="dxa"/>
            <w:noWrap w:val="0"/>
            <w:vAlign w:val="center"/>
          </w:tcPr>
          <w:p w14:paraId="5413F0E9">
            <w:pPr>
              <w:tabs>
                <w:tab w:val="left" w:pos="4425"/>
              </w:tabs>
              <w:spacing w:line="240" w:lineRule="auto"/>
              <w:jc w:val="center"/>
              <w:rPr>
                <w:rFonts w:ascii="Times New Roman" w:hAnsi="Times New Roman" w:cs="Times New Roman"/>
                <w:snapToGrid w:val="0"/>
                <w:color w:val="auto"/>
                <w:kern w:val="21"/>
                <w:sz w:val="21"/>
                <w:szCs w:val="21"/>
                <w:highlight w:val="none"/>
              </w:rPr>
            </w:pPr>
            <w:r>
              <w:rPr>
                <w:rFonts w:hint="eastAsia"/>
                <w:color w:val="auto"/>
                <w:sz w:val="21"/>
                <w:szCs w:val="21"/>
                <w:highlight w:val="none"/>
                <w:lang w:val="en-US" w:eastAsia="zh-CN"/>
              </w:rPr>
              <w:t>1.45</w:t>
            </w:r>
          </w:p>
        </w:tc>
        <w:tc>
          <w:tcPr>
            <w:tcW w:w="1144" w:type="dxa"/>
            <w:noWrap w:val="0"/>
            <w:vAlign w:val="center"/>
          </w:tcPr>
          <w:p w14:paraId="021FEE5B">
            <w:pPr>
              <w:tabs>
                <w:tab w:val="left" w:pos="4425"/>
              </w:tabs>
              <w:spacing w:line="240" w:lineRule="auto"/>
              <w:jc w:val="center"/>
              <w:rPr>
                <w:snapToGrid w:val="0"/>
                <w:color w:val="auto"/>
                <w:kern w:val="21"/>
                <w:szCs w:val="21"/>
                <w:highlight w:val="none"/>
              </w:rPr>
            </w:pPr>
            <w:r>
              <w:rPr>
                <w:rFonts w:hint="eastAsia"/>
                <w:color w:val="auto"/>
                <w:sz w:val="21"/>
                <w:szCs w:val="21"/>
                <w:highlight w:val="none"/>
                <w:lang w:val="en-US" w:eastAsia="zh-CN"/>
              </w:rPr>
              <w:t>1.45</w:t>
            </w:r>
          </w:p>
        </w:tc>
      </w:tr>
      <w:tr w14:paraId="27EC08F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446" w:type="dxa"/>
            <w:vMerge w:val="continue"/>
            <w:noWrap w:val="0"/>
            <w:vAlign w:val="center"/>
          </w:tcPr>
          <w:p w14:paraId="6B39022B">
            <w:pPr>
              <w:pStyle w:val="49"/>
              <w:spacing w:beforeLines="0" w:afterLines="0" w:line="240" w:lineRule="auto"/>
              <w:rPr>
                <w:rFonts w:ascii="Times New Roman"/>
                <w:snapToGrid w:val="0"/>
                <w:color w:val="auto"/>
                <w:kern w:val="21"/>
                <w:szCs w:val="21"/>
                <w:highlight w:val="none"/>
                <w:lang w:val="en-US" w:eastAsia="zh-CN"/>
              </w:rPr>
            </w:pPr>
          </w:p>
        </w:tc>
        <w:tc>
          <w:tcPr>
            <w:tcW w:w="1559" w:type="dxa"/>
            <w:noWrap w:val="0"/>
            <w:vAlign w:val="center"/>
          </w:tcPr>
          <w:p w14:paraId="366F59B2">
            <w:pPr>
              <w:tabs>
                <w:tab w:val="left" w:pos="4425"/>
              </w:tabs>
              <w:spacing w:line="240" w:lineRule="auto"/>
              <w:jc w:val="center"/>
              <w:rPr>
                <w:rFonts w:ascii="Times New Roman" w:hAnsi="Times New Roman" w:cs="Times New Roman"/>
                <w:snapToGrid w:val="0"/>
                <w:color w:val="auto"/>
                <w:kern w:val="21"/>
                <w:sz w:val="21"/>
                <w:szCs w:val="21"/>
                <w:highlight w:val="none"/>
              </w:rPr>
            </w:pPr>
            <w:r>
              <w:rPr>
                <w:rFonts w:hint="eastAsia"/>
                <w:color w:val="auto"/>
                <w:kern w:val="0"/>
                <w:sz w:val="21"/>
                <w:szCs w:val="21"/>
                <w:highlight w:val="none"/>
                <w:lang w:eastAsia="zh-CN"/>
              </w:rPr>
              <w:t>漆渣</w:t>
            </w:r>
          </w:p>
        </w:tc>
        <w:tc>
          <w:tcPr>
            <w:tcW w:w="1559" w:type="dxa"/>
            <w:noWrap w:val="0"/>
            <w:vAlign w:val="center"/>
          </w:tcPr>
          <w:p w14:paraId="14A2ADD9">
            <w:pPr>
              <w:adjustRightInd w:val="0"/>
              <w:snapToGrid w:val="0"/>
              <w:spacing w:line="360" w:lineRule="exact"/>
              <w:jc w:val="center"/>
              <w:rPr>
                <w:rFonts w:ascii="Times New Roman" w:hAnsi="Times New Roman" w:cs="Times New Roman"/>
                <w:color w:val="auto"/>
                <w:sz w:val="21"/>
                <w:szCs w:val="21"/>
                <w:highlight w:val="none"/>
                <w:lang w:eastAsia="zh-CN"/>
              </w:rPr>
            </w:pPr>
            <w:r>
              <w:rPr>
                <w:rFonts w:hint="eastAsia"/>
                <w:color w:val="auto"/>
                <w:spacing w:val="1"/>
                <w:szCs w:val="21"/>
                <w:highlight w:val="none"/>
                <w:lang w:val="en-US" w:eastAsia="zh-CN"/>
              </w:rPr>
              <w:t>0</w:t>
            </w:r>
          </w:p>
        </w:tc>
        <w:tc>
          <w:tcPr>
            <w:tcW w:w="1276" w:type="dxa"/>
            <w:noWrap w:val="0"/>
            <w:vAlign w:val="center"/>
          </w:tcPr>
          <w:p w14:paraId="10177D0C">
            <w:pPr>
              <w:pStyle w:val="49"/>
              <w:spacing w:beforeLines="0" w:afterLines="0" w:line="240" w:lineRule="auto"/>
              <w:rPr>
                <w:rFonts w:ascii="Times New Roman"/>
                <w:snapToGrid w:val="0"/>
                <w:color w:val="auto"/>
                <w:kern w:val="21"/>
                <w:szCs w:val="21"/>
                <w:highlight w:val="none"/>
                <w:lang w:val="en-US" w:eastAsia="zh-CN"/>
              </w:rPr>
            </w:pPr>
            <w:r>
              <w:rPr>
                <w:rFonts w:hint="eastAsia" w:ascii="Times New Roman"/>
                <w:color w:val="auto"/>
                <w:spacing w:val="1"/>
                <w:szCs w:val="21"/>
                <w:highlight w:val="none"/>
                <w:lang w:val="en-US" w:eastAsia="zh-CN"/>
              </w:rPr>
              <w:t>0</w:t>
            </w:r>
          </w:p>
        </w:tc>
        <w:tc>
          <w:tcPr>
            <w:tcW w:w="1559" w:type="dxa"/>
            <w:noWrap w:val="0"/>
            <w:vAlign w:val="center"/>
          </w:tcPr>
          <w:p w14:paraId="5AA9DAD6">
            <w:pPr>
              <w:pStyle w:val="49"/>
              <w:spacing w:beforeLines="0" w:afterLines="0" w:line="240" w:lineRule="auto"/>
              <w:rPr>
                <w:rFonts w:hint="eastAsia" w:ascii="Times New Roman"/>
                <w:color w:val="auto"/>
                <w:szCs w:val="21"/>
                <w:highlight w:val="none"/>
                <w:lang w:val="en-US" w:eastAsia="zh-CN"/>
              </w:rPr>
            </w:pPr>
            <w:r>
              <w:rPr>
                <w:rFonts w:ascii="Times New Roman"/>
                <w:snapToGrid w:val="0"/>
                <w:color w:val="auto"/>
                <w:kern w:val="21"/>
                <w:szCs w:val="21"/>
                <w:highlight w:val="none"/>
                <w:lang w:val="en-US" w:eastAsia="zh-CN"/>
              </w:rPr>
              <w:t>0</w:t>
            </w:r>
          </w:p>
        </w:tc>
        <w:tc>
          <w:tcPr>
            <w:tcW w:w="1701" w:type="dxa"/>
            <w:noWrap w:val="0"/>
            <w:vAlign w:val="center"/>
          </w:tcPr>
          <w:p w14:paraId="022A25DA">
            <w:pPr>
              <w:tabs>
                <w:tab w:val="left" w:pos="4425"/>
              </w:tabs>
              <w:spacing w:line="240" w:lineRule="auto"/>
              <w:jc w:val="center"/>
              <w:rPr>
                <w:snapToGrid w:val="0"/>
                <w:color w:val="auto"/>
                <w:kern w:val="21"/>
                <w:szCs w:val="21"/>
                <w:highlight w:val="none"/>
              </w:rPr>
            </w:pPr>
            <w:r>
              <w:rPr>
                <w:rFonts w:hint="eastAsia"/>
                <w:color w:val="auto"/>
                <w:sz w:val="21"/>
                <w:szCs w:val="21"/>
                <w:highlight w:val="none"/>
                <w:lang w:val="en-US" w:eastAsia="zh-CN"/>
              </w:rPr>
              <w:t>0.17</w:t>
            </w:r>
          </w:p>
        </w:tc>
        <w:tc>
          <w:tcPr>
            <w:tcW w:w="1701" w:type="dxa"/>
            <w:noWrap w:val="0"/>
            <w:vAlign w:val="center"/>
          </w:tcPr>
          <w:p w14:paraId="3E5D1114">
            <w:pPr>
              <w:pStyle w:val="49"/>
              <w:spacing w:beforeLines="0" w:afterLines="0" w:line="240" w:lineRule="auto"/>
              <w:rPr>
                <w:rFonts w:hint="eastAsia" w:ascii="Times New Roman"/>
                <w:snapToGrid w:val="0"/>
                <w:color w:val="auto"/>
                <w:kern w:val="21"/>
                <w:szCs w:val="21"/>
                <w:highlight w:val="none"/>
                <w:lang w:val="en-US" w:eastAsia="zh-CN"/>
              </w:rPr>
            </w:pPr>
            <w:r>
              <w:rPr>
                <w:rFonts w:hint="eastAsia" w:ascii="Times New Roman"/>
                <w:snapToGrid w:val="0"/>
                <w:color w:val="auto"/>
                <w:kern w:val="21"/>
                <w:szCs w:val="21"/>
                <w:highlight w:val="none"/>
                <w:lang w:val="en-US" w:eastAsia="zh-CN"/>
              </w:rPr>
              <w:t>0</w:t>
            </w:r>
          </w:p>
        </w:tc>
        <w:tc>
          <w:tcPr>
            <w:tcW w:w="1843" w:type="dxa"/>
            <w:noWrap w:val="0"/>
            <w:vAlign w:val="center"/>
          </w:tcPr>
          <w:p w14:paraId="67F34CF3">
            <w:pPr>
              <w:tabs>
                <w:tab w:val="left" w:pos="4425"/>
              </w:tabs>
              <w:spacing w:line="240" w:lineRule="auto"/>
              <w:jc w:val="center"/>
              <w:rPr>
                <w:rFonts w:ascii="Times New Roman" w:hAnsi="Times New Roman" w:cs="Times New Roman"/>
                <w:snapToGrid w:val="0"/>
                <w:color w:val="auto"/>
                <w:kern w:val="21"/>
                <w:sz w:val="21"/>
                <w:szCs w:val="21"/>
                <w:highlight w:val="none"/>
              </w:rPr>
            </w:pPr>
            <w:r>
              <w:rPr>
                <w:rFonts w:hint="eastAsia"/>
                <w:color w:val="auto"/>
                <w:sz w:val="21"/>
                <w:szCs w:val="21"/>
                <w:highlight w:val="none"/>
                <w:lang w:val="en-US" w:eastAsia="zh-CN"/>
              </w:rPr>
              <w:t>0.17</w:t>
            </w:r>
          </w:p>
        </w:tc>
        <w:tc>
          <w:tcPr>
            <w:tcW w:w="1144" w:type="dxa"/>
            <w:noWrap w:val="0"/>
            <w:vAlign w:val="center"/>
          </w:tcPr>
          <w:p w14:paraId="3F712D4B">
            <w:pPr>
              <w:tabs>
                <w:tab w:val="left" w:pos="4425"/>
              </w:tabs>
              <w:spacing w:line="240" w:lineRule="auto"/>
              <w:jc w:val="center"/>
              <w:rPr>
                <w:snapToGrid w:val="0"/>
                <w:color w:val="auto"/>
                <w:kern w:val="21"/>
                <w:szCs w:val="21"/>
                <w:highlight w:val="none"/>
              </w:rPr>
            </w:pPr>
            <w:r>
              <w:rPr>
                <w:rFonts w:hint="eastAsia"/>
                <w:color w:val="auto"/>
                <w:sz w:val="21"/>
                <w:szCs w:val="21"/>
                <w:highlight w:val="none"/>
                <w:lang w:val="en-US" w:eastAsia="zh-CN"/>
              </w:rPr>
              <w:t>0.17</w:t>
            </w:r>
          </w:p>
        </w:tc>
      </w:tr>
      <w:tr w14:paraId="70785A8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446" w:type="dxa"/>
            <w:vMerge w:val="continue"/>
            <w:noWrap w:val="0"/>
            <w:vAlign w:val="center"/>
          </w:tcPr>
          <w:p w14:paraId="0FCADB43">
            <w:pPr>
              <w:pStyle w:val="49"/>
              <w:spacing w:beforeLines="0" w:afterLines="0" w:line="240" w:lineRule="auto"/>
              <w:rPr>
                <w:rFonts w:ascii="Times New Roman"/>
                <w:snapToGrid w:val="0"/>
                <w:color w:val="auto"/>
                <w:kern w:val="21"/>
                <w:szCs w:val="21"/>
                <w:highlight w:val="none"/>
                <w:lang w:val="en-US" w:eastAsia="zh-CN"/>
              </w:rPr>
            </w:pPr>
          </w:p>
        </w:tc>
        <w:tc>
          <w:tcPr>
            <w:tcW w:w="1559" w:type="dxa"/>
            <w:noWrap w:val="0"/>
            <w:vAlign w:val="center"/>
          </w:tcPr>
          <w:p w14:paraId="329D60A0">
            <w:pPr>
              <w:tabs>
                <w:tab w:val="left" w:pos="4425"/>
              </w:tabs>
              <w:spacing w:line="240" w:lineRule="auto"/>
              <w:jc w:val="center"/>
              <w:rPr>
                <w:rFonts w:hint="eastAsia"/>
                <w:color w:val="auto"/>
                <w:kern w:val="0"/>
                <w:sz w:val="21"/>
                <w:szCs w:val="21"/>
                <w:highlight w:val="none"/>
                <w:lang w:eastAsia="zh-CN"/>
              </w:rPr>
            </w:pPr>
            <w:r>
              <w:rPr>
                <w:rFonts w:hint="eastAsia"/>
                <w:color w:val="auto"/>
                <w:kern w:val="0"/>
                <w:sz w:val="21"/>
                <w:szCs w:val="21"/>
                <w:highlight w:val="none"/>
                <w:lang w:eastAsia="zh-CN"/>
              </w:rPr>
              <w:t>废辊筒</w:t>
            </w:r>
          </w:p>
        </w:tc>
        <w:tc>
          <w:tcPr>
            <w:tcW w:w="1559" w:type="dxa"/>
            <w:noWrap w:val="0"/>
            <w:vAlign w:val="center"/>
          </w:tcPr>
          <w:p w14:paraId="5FFB2887">
            <w:pPr>
              <w:adjustRightInd w:val="0"/>
              <w:snapToGrid w:val="0"/>
              <w:spacing w:line="360" w:lineRule="exact"/>
              <w:jc w:val="center"/>
              <w:rPr>
                <w:rFonts w:hint="eastAsia" w:ascii="Times New Roman" w:hAnsi="Times New Roman" w:eastAsia="宋体" w:cs="Times New Roman"/>
                <w:color w:val="auto"/>
                <w:spacing w:val="1"/>
                <w:szCs w:val="21"/>
                <w:highlight w:val="none"/>
                <w:lang w:val="en-US" w:eastAsia="zh-CN"/>
              </w:rPr>
            </w:pPr>
            <w:r>
              <w:rPr>
                <w:rFonts w:hint="eastAsia" w:ascii="Times New Roman" w:hAnsi="Times New Roman" w:eastAsia="宋体" w:cs="Times New Roman"/>
                <w:color w:val="auto"/>
                <w:spacing w:val="1"/>
                <w:szCs w:val="21"/>
                <w:highlight w:val="none"/>
                <w:lang w:val="en-US" w:eastAsia="zh-CN"/>
              </w:rPr>
              <w:t>0</w:t>
            </w:r>
          </w:p>
        </w:tc>
        <w:tc>
          <w:tcPr>
            <w:tcW w:w="1276" w:type="dxa"/>
            <w:noWrap w:val="0"/>
            <w:vAlign w:val="center"/>
          </w:tcPr>
          <w:p w14:paraId="646656A0">
            <w:pPr>
              <w:adjustRightInd w:val="0"/>
              <w:snapToGrid w:val="0"/>
              <w:spacing w:line="360" w:lineRule="exact"/>
              <w:jc w:val="center"/>
              <w:rPr>
                <w:rFonts w:hint="eastAsia" w:ascii="Times New Roman" w:hAnsi="Times New Roman" w:eastAsia="宋体" w:cs="Times New Roman"/>
                <w:color w:val="auto"/>
                <w:spacing w:val="1"/>
                <w:szCs w:val="21"/>
                <w:highlight w:val="none"/>
                <w:lang w:val="en-US" w:eastAsia="zh-CN"/>
              </w:rPr>
            </w:pPr>
            <w:r>
              <w:rPr>
                <w:rFonts w:hint="eastAsia" w:ascii="Times New Roman" w:hAnsi="Times New Roman" w:eastAsia="宋体" w:cs="Times New Roman"/>
                <w:color w:val="auto"/>
                <w:spacing w:val="1"/>
                <w:szCs w:val="21"/>
                <w:highlight w:val="none"/>
                <w:lang w:val="en-US" w:eastAsia="zh-CN"/>
              </w:rPr>
              <w:t>0</w:t>
            </w:r>
          </w:p>
        </w:tc>
        <w:tc>
          <w:tcPr>
            <w:tcW w:w="1559" w:type="dxa"/>
            <w:noWrap w:val="0"/>
            <w:vAlign w:val="center"/>
          </w:tcPr>
          <w:p w14:paraId="530E6799">
            <w:pPr>
              <w:adjustRightInd w:val="0"/>
              <w:snapToGrid w:val="0"/>
              <w:spacing w:line="360" w:lineRule="exact"/>
              <w:jc w:val="center"/>
              <w:rPr>
                <w:rFonts w:hint="eastAsia" w:ascii="Times New Roman" w:hAnsi="Times New Roman" w:eastAsia="宋体" w:cs="Times New Roman"/>
                <w:color w:val="auto"/>
                <w:spacing w:val="1"/>
                <w:szCs w:val="21"/>
                <w:highlight w:val="none"/>
                <w:lang w:val="en-US" w:eastAsia="zh-CN"/>
              </w:rPr>
            </w:pPr>
            <w:r>
              <w:rPr>
                <w:rFonts w:hint="eastAsia" w:ascii="Times New Roman" w:hAnsi="Times New Roman" w:eastAsia="宋体" w:cs="Times New Roman"/>
                <w:color w:val="auto"/>
                <w:spacing w:val="1"/>
                <w:szCs w:val="21"/>
                <w:highlight w:val="none"/>
                <w:lang w:val="en-US" w:eastAsia="zh-CN"/>
              </w:rPr>
              <w:t>0</w:t>
            </w:r>
          </w:p>
        </w:tc>
        <w:tc>
          <w:tcPr>
            <w:tcW w:w="1701" w:type="dxa"/>
            <w:noWrap w:val="0"/>
            <w:vAlign w:val="center"/>
          </w:tcPr>
          <w:p w14:paraId="42EDA2B5">
            <w:pPr>
              <w:adjustRightInd w:val="0"/>
              <w:snapToGrid w:val="0"/>
              <w:spacing w:line="360" w:lineRule="exact"/>
              <w:jc w:val="center"/>
              <w:rPr>
                <w:rFonts w:hint="default" w:ascii="Times New Roman" w:hAnsi="Times New Roman" w:eastAsia="宋体" w:cs="Times New Roman"/>
                <w:color w:val="auto"/>
                <w:spacing w:val="1"/>
                <w:szCs w:val="21"/>
                <w:highlight w:val="none"/>
                <w:lang w:val="en-US" w:eastAsia="zh-CN"/>
              </w:rPr>
            </w:pPr>
            <w:r>
              <w:rPr>
                <w:rFonts w:hint="eastAsia" w:ascii="Times New Roman" w:hAnsi="Times New Roman" w:eastAsia="宋体" w:cs="Times New Roman"/>
                <w:color w:val="auto"/>
                <w:spacing w:val="1"/>
                <w:szCs w:val="21"/>
                <w:highlight w:val="none"/>
                <w:lang w:val="en-US" w:eastAsia="zh-CN"/>
              </w:rPr>
              <w:t>0.21/5a</w:t>
            </w:r>
          </w:p>
        </w:tc>
        <w:tc>
          <w:tcPr>
            <w:tcW w:w="1701" w:type="dxa"/>
            <w:noWrap w:val="0"/>
            <w:vAlign w:val="center"/>
          </w:tcPr>
          <w:p w14:paraId="11C01991">
            <w:pPr>
              <w:adjustRightInd w:val="0"/>
              <w:snapToGrid w:val="0"/>
              <w:spacing w:line="360" w:lineRule="exact"/>
              <w:jc w:val="center"/>
              <w:rPr>
                <w:rFonts w:hint="eastAsia" w:ascii="Times New Roman" w:hAnsi="Times New Roman" w:eastAsia="宋体" w:cs="Times New Roman"/>
                <w:color w:val="auto"/>
                <w:spacing w:val="1"/>
                <w:szCs w:val="21"/>
                <w:highlight w:val="none"/>
                <w:lang w:val="en-US" w:eastAsia="zh-CN"/>
              </w:rPr>
            </w:pPr>
            <w:r>
              <w:rPr>
                <w:rFonts w:hint="eastAsia" w:ascii="Times New Roman" w:hAnsi="Times New Roman" w:eastAsia="宋体" w:cs="Times New Roman"/>
                <w:color w:val="auto"/>
                <w:spacing w:val="1"/>
                <w:szCs w:val="21"/>
                <w:highlight w:val="none"/>
                <w:lang w:val="en-US" w:eastAsia="zh-CN"/>
              </w:rPr>
              <w:t>0</w:t>
            </w:r>
          </w:p>
        </w:tc>
        <w:tc>
          <w:tcPr>
            <w:tcW w:w="1843" w:type="dxa"/>
            <w:noWrap w:val="0"/>
            <w:vAlign w:val="center"/>
          </w:tcPr>
          <w:p w14:paraId="6EEAB8AC">
            <w:pPr>
              <w:adjustRightInd w:val="0"/>
              <w:snapToGrid w:val="0"/>
              <w:spacing w:line="360" w:lineRule="exact"/>
              <w:jc w:val="center"/>
              <w:rPr>
                <w:rFonts w:hint="eastAsia" w:ascii="Times New Roman" w:hAnsi="Times New Roman" w:eastAsia="宋体" w:cs="Times New Roman"/>
                <w:color w:val="auto"/>
                <w:spacing w:val="1"/>
                <w:szCs w:val="21"/>
                <w:highlight w:val="none"/>
                <w:lang w:val="en-US" w:eastAsia="zh-CN"/>
              </w:rPr>
            </w:pPr>
            <w:r>
              <w:rPr>
                <w:rFonts w:hint="eastAsia" w:ascii="Times New Roman" w:hAnsi="Times New Roman" w:eastAsia="宋体" w:cs="Times New Roman"/>
                <w:color w:val="auto"/>
                <w:spacing w:val="1"/>
                <w:szCs w:val="21"/>
                <w:highlight w:val="none"/>
                <w:lang w:val="en-US" w:eastAsia="zh-CN"/>
              </w:rPr>
              <w:t>0.21/5a</w:t>
            </w:r>
          </w:p>
        </w:tc>
        <w:tc>
          <w:tcPr>
            <w:tcW w:w="1144" w:type="dxa"/>
            <w:noWrap w:val="0"/>
            <w:vAlign w:val="center"/>
          </w:tcPr>
          <w:p w14:paraId="5124528F">
            <w:pPr>
              <w:adjustRightInd w:val="0"/>
              <w:snapToGrid w:val="0"/>
              <w:spacing w:line="360" w:lineRule="exact"/>
              <w:jc w:val="center"/>
              <w:rPr>
                <w:rFonts w:hint="eastAsia" w:ascii="Times New Roman" w:hAnsi="Times New Roman" w:eastAsia="宋体" w:cs="Times New Roman"/>
                <w:color w:val="auto"/>
                <w:spacing w:val="1"/>
                <w:szCs w:val="21"/>
                <w:highlight w:val="none"/>
                <w:lang w:val="en-US" w:eastAsia="zh-CN"/>
              </w:rPr>
            </w:pPr>
            <w:r>
              <w:rPr>
                <w:rFonts w:hint="eastAsia" w:ascii="Times New Roman" w:hAnsi="Times New Roman" w:eastAsia="宋体" w:cs="Times New Roman"/>
                <w:color w:val="auto"/>
                <w:spacing w:val="1"/>
                <w:szCs w:val="21"/>
                <w:highlight w:val="none"/>
                <w:lang w:val="en-US" w:eastAsia="zh-CN"/>
              </w:rPr>
              <w:t>0.21/5a</w:t>
            </w:r>
          </w:p>
        </w:tc>
      </w:tr>
    </w:tbl>
    <w:p w14:paraId="2CF6EA37">
      <w:pPr>
        <w:pStyle w:val="49"/>
        <w:spacing w:before="192" w:beforeLines="80" w:after="24"/>
        <w:jc w:val="left"/>
        <w:rPr>
          <w:rFonts w:ascii="Times New Roman"/>
          <w:color w:val="auto"/>
          <w:highlight w:val="none"/>
        </w:rPr>
      </w:pPr>
      <w:r>
        <w:rPr>
          <w:rFonts w:ascii="Times New Roman"/>
          <w:snapToGrid w:val="0"/>
          <w:color w:val="auto"/>
          <w:kern w:val="21"/>
          <w:szCs w:val="21"/>
          <w:highlight w:val="none"/>
        </w:rPr>
        <w:t>注：</w:t>
      </w:r>
      <w:r>
        <w:rPr>
          <w:rFonts w:ascii="Times New Roman"/>
          <w:snapToGrid w:val="0"/>
          <w:color w:val="auto"/>
          <w:spacing w:val="-16"/>
          <w:kern w:val="21"/>
          <w:szCs w:val="21"/>
          <w:highlight w:val="none"/>
        </w:rPr>
        <w:fldChar w:fldCharType="begin"/>
      </w:r>
      <w:r>
        <w:rPr>
          <w:rFonts w:ascii="Times New Roman"/>
          <w:snapToGrid w:val="0"/>
          <w:color w:val="auto"/>
          <w:spacing w:val="-16"/>
          <w:kern w:val="21"/>
          <w:szCs w:val="21"/>
          <w:highlight w:val="none"/>
        </w:rPr>
        <w:instrText xml:space="preserve"> = 6 \* GB3 \* MERGEFORMAT </w:instrText>
      </w:r>
      <w:r>
        <w:rPr>
          <w:rFonts w:ascii="Times New Roman"/>
          <w:snapToGrid w:val="0"/>
          <w:color w:val="auto"/>
          <w:spacing w:val="-16"/>
          <w:kern w:val="21"/>
          <w:szCs w:val="21"/>
          <w:highlight w:val="none"/>
        </w:rPr>
        <w:fldChar w:fldCharType="separate"/>
      </w:r>
      <w:r>
        <w:rPr>
          <w:rFonts w:ascii="Times New Roman"/>
          <w:color w:val="auto"/>
          <w:szCs w:val="21"/>
          <w:highlight w:val="none"/>
        </w:rPr>
        <w:t>⑥</w:t>
      </w:r>
      <w:r>
        <w:rPr>
          <w:rFonts w:ascii="Times New Roman"/>
          <w:snapToGrid w:val="0"/>
          <w:color w:val="auto"/>
          <w:spacing w:val="-16"/>
          <w:kern w:val="21"/>
          <w:szCs w:val="21"/>
          <w:highlight w:val="none"/>
        </w:rPr>
        <w:fldChar w:fldCharType="end"/>
      </w:r>
      <w:r>
        <w:rPr>
          <w:rFonts w:ascii="Times New Roman"/>
          <w:snapToGrid w:val="0"/>
          <w:color w:val="auto"/>
          <w:spacing w:val="-16"/>
          <w:kern w:val="21"/>
          <w:szCs w:val="21"/>
          <w:highlight w:val="none"/>
        </w:rPr>
        <w:t>=</w:t>
      </w:r>
      <w:r>
        <w:rPr>
          <w:rFonts w:ascii="Times New Roman"/>
          <w:snapToGrid w:val="0"/>
          <w:color w:val="auto"/>
          <w:spacing w:val="-6"/>
          <w:kern w:val="21"/>
          <w:szCs w:val="21"/>
          <w:highlight w:val="none"/>
        </w:rPr>
        <w:fldChar w:fldCharType="begin"/>
      </w:r>
      <w:r>
        <w:rPr>
          <w:rFonts w:ascii="Times New Roman"/>
          <w:snapToGrid w:val="0"/>
          <w:color w:val="auto"/>
          <w:spacing w:val="-6"/>
          <w:kern w:val="21"/>
          <w:szCs w:val="21"/>
          <w:highlight w:val="none"/>
        </w:rPr>
        <w:instrText xml:space="preserve"> = 1 \* GB3 \* MERGEFORMAT </w:instrText>
      </w:r>
      <w:r>
        <w:rPr>
          <w:rFonts w:ascii="Times New Roman"/>
          <w:snapToGrid w:val="0"/>
          <w:color w:val="auto"/>
          <w:spacing w:val="-6"/>
          <w:kern w:val="21"/>
          <w:szCs w:val="21"/>
          <w:highlight w:val="none"/>
        </w:rPr>
        <w:fldChar w:fldCharType="separate"/>
      </w:r>
      <w:r>
        <w:rPr>
          <w:rFonts w:ascii="Times New Roman"/>
          <w:color w:val="auto"/>
          <w:szCs w:val="21"/>
          <w:highlight w:val="none"/>
        </w:rPr>
        <w:t>①</w:t>
      </w:r>
      <w:r>
        <w:rPr>
          <w:rFonts w:ascii="Times New Roman"/>
          <w:snapToGrid w:val="0"/>
          <w:color w:val="auto"/>
          <w:spacing w:val="-6"/>
          <w:kern w:val="21"/>
          <w:szCs w:val="21"/>
          <w:highlight w:val="none"/>
        </w:rPr>
        <w:fldChar w:fldCharType="end"/>
      </w:r>
      <w:r>
        <w:rPr>
          <w:rFonts w:ascii="Times New Roman"/>
          <w:snapToGrid w:val="0"/>
          <w:color w:val="auto"/>
          <w:spacing w:val="-6"/>
          <w:kern w:val="21"/>
          <w:szCs w:val="21"/>
          <w:highlight w:val="none"/>
        </w:rPr>
        <w:t>+</w:t>
      </w:r>
      <w:r>
        <w:rPr>
          <w:rFonts w:ascii="Times New Roman"/>
          <w:snapToGrid w:val="0"/>
          <w:color w:val="auto"/>
          <w:spacing w:val="-6"/>
          <w:kern w:val="21"/>
          <w:szCs w:val="21"/>
          <w:highlight w:val="none"/>
        </w:rPr>
        <w:fldChar w:fldCharType="begin"/>
      </w:r>
      <w:r>
        <w:rPr>
          <w:rFonts w:ascii="Times New Roman"/>
          <w:snapToGrid w:val="0"/>
          <w:color w:val="auto"/>
          <w:spacing w:val="-6"/>
          <w:kern w:val="21"/>
          <w:szCs w:val="21"/>
          <w:highlight w:val="none"/>
        </w:rPr>
        <w:instrText xml:space="preserve"> = 3 \* GB3 \* MERGEFORMAT </w:instrText>
      </w:r>
      <w:r>
        <w:rPr>
          <w:rFonts w:ascii="Times New Roman"/>
          <w:snapToGrid w:val="0"/>
          <w:color w:val="auto"/>
          <w:spacing w:val="-6"/>
          <w:kern w:val="21"/>
          <w:szCs w:val="21"/>
          <w:highlight w:val="none"/>
        </w:rPr>
        <w:fldChar w:fldCharType="separate"/>
      </w:r>
      <w:r>
        <w:rPr>
          <w:rFonts w:ascii="Times New Roman"/>
          <w:color w:val="auto"/>
          <w:szCs w:val="21"/>
          <w:highlight w:val="none"/>
        </w:rPr>
        <w:t>③</w:t>
      </w:r>
      <w:r>
        <w:rPr>
          <w:rFonts w:ascii="Times New Roman"/>
          <w:snapToGrid w:val="0"/>
          <w:color w:val="auto"/>
          <w:spacing w:val="-6"/>
          <w:kern w:val="21"/>
          <w:szCs w:val="21"/>
          <w:highlight w:val="none"/>
        </w:rPr>
        <w:fldChar w:fldCharType="end"/>
      </w:r>
      <w:r>
        <w:rPr>
          <w:rFonts w:ascii="Times New Roman"/>
          <w:snapToGrid w:val="0"/>
          <w:color w:val="auto"/>
          <w:spacing w:val="-6"/>
          <w:kern w:val="21"/>
          <w:szCs w:val="21"/>
          <w:highlight w:val="none"/>
        </w:rPr>
        <w:t>+</w:t>
      </w:r>
      <w:r>
        <w:rPr>
          <w:rFonts w:ascii="Times New Roman"/>
          <w:snapToGrid w:val="0"/>
          <w:color w:val="auto"/>
          <w:spacing w:val="-6"/>
          <w:kern w:val="21"/>
          <w:szCs w:val="21"/>
          <w:highlight w:val="none"/>
        </w:rPr>
        <w:fldChar w:fldCharType="begin"/>
      </w:r>
      <w:r>
        <w:rPr>
          <w:rFonts w:ascii="Times New Roman"/>
          <w:snapToGrid w:val="0"/>
          <w:color w:val="auto"/>
          <w:spacing w:val="-6"/>
          <w:kern w:val="21"/>
          <w:szCs w:val="21"/>
          <w:highlight w:val="none"/>
        </w:rPr>
        <w:instrText xml:space="preserve"> = 4 \* GB3 \* MERGEFORMAT </w:instrText>
      </w:r>
      <w:r>
        <w:rPr>
          <w:rFonts w:ascii="Times New Roman"/>
          <w:snapToGrid w:val="0"/>
          <w:color w:val="auto"/>
          <w:spacing w:val="-6"/>
          <w:kern w:val="21"/>
          <w:szCs w:val="21"/>
          <w:highlight w:val="none"/>
        </w:rPr>
        <w:fldChar w:fldCharType="separate"/>
      </w:r>
      <w:r>
        <w:rPr>
          <w:rFonts w:ascii="Times New Roman"/>
          <w:color w:val="auto"/>
          <w:szCs w:val="21"/>
          <w:highlight w:val="none"/>
        </w:rPr>
        <w:t>④</w:t>
      </w:r>
      <w:r>
        <w:rPr>
          <w:rFonts w:ascii="Times New Roman"/>
          <w:snapToGrid w:val="0"/>
          <w:color w:val="auto"/>
          <w:spacing w:val="-6"/>
          <w:kern w:val="21"/>
          <w:szCs w:val="21"/>
          <w:highlight w:val="none"/>
        </w:rPr>
        <w:fldChar w:fldCharType="end"/>
      </w:r>
      <w:r>
        <w:rPr>
          <w:rFonts w:ascii="Times New Roman"/>
          <w:snapToGrid w:val="0"/>
          <w:color w:val="auto"/>
          <w:spacing w:val="-6"/>
          <w:kern w:val="21"/>
          <w:szCs w:val="21"/>
          <w:highlight w:val="none"/>
        </w:rPr>
        <w:t>-</w:t>
      </w:r>
      <w:r>
        <w:rPr>
          <w:rFonts w:ascii="Times New Roman"/>
          <w:snapToGrid w:val="0"/>
          <w:color w:val="auto"/>
          <w:spacing w:val="-16"/>
          <w:kern w:val="21"/>
          <w:szCs w:val="21"/>
          <w:highlight w:val="none"/>
        </w:rPr>
        <w:fldChar w:fldCharType="begin"/>
      </w:r>
      <w:r>
        <w:rPr>
          <w:rFonts w:ascii="Times New Roman"/>
          <w:snapToGrid w:val="0"/>
          <w:color w:val="auto"/>
          <w:spacing w:val="-16"/>
          <w:kern w:val="21"/>
          <w:szCs w:val="21"/>
          <w:highlight w:val="none"/>
        </w:rPr>
        <w:instrText xml:space="preserve"> = 5 \* GB3 \* MERGEFORMAT </w:instrText>
      </w:r>
      <w:r>
        <w:rPr>
          <w:rFonts w:ascii="Times New Roman"/>
          <w:snapToGrid w:val="0"/>
          <w:color w:val="auto"/>
          <w:spacing w:val="-16"/>
          <w:kern w:val="21"/>
          <w:szCs w:val="21"/>
          <w:highlight w:val="none"/>
        </w:rPr>
        <w:fldChar w:fldCharType="separate"/>
      </w:r>
      <w:r>
        <w:rPr>
          <w:rFonts w:ascii="Times New Roman"/>
          <w:color w:val="auto"/>
          <w:szCs w:val="21"/>
          <w:highlight w:val="none"/>
        </w:rPr>
        <w:t>⑤</w:t>
      </w:r>
      <w:r>
        <w:rPr>
          <w:rFonts w:ascii="Times New Roman"/>
          <w:snapToGrid w:val="0"/>
          <w:color w:val="auto"/>
          <w:spacing w:val="-16"/>
          <w:kern w:val="21"/>
          <w:szCs w:val="21"/>
          <w:highlight w:val="none"/>
        </w:rPr>
        <w:fldChar w:fldCharType="end"/>
      </w:r>
      <w:r>
        <w:rPr>
          <w:rFonts w:ascii="Times New Roman"/>
          <w:snapToGrid w:val="0"/>
          <w:color w:val="auto"/>
          <w:spacing w:val="-16"/>
          <w:kern w:val="21"/>
          <w:szCs w:val="21"/>
          <w:highlight w:val="none"/>
        </w:rPr>
        <w:t>；</w:t>
      </w:r>
      <w:r>
        <w:rPr>
          <w:rFonts w:ascii="Times New Roman"/>
          <w:snapToGrid w:val="0"/>
          <w:color w:val="auto"/>
          <w:spacing w:val="-6"/>
          <w:kern w:val="21"/>
          <w:szCs w:val="21"/>
          <w:highlight w:val="none"/>
        </w:rPr>
        <w:fldChar w:fldCharType="begin"/>
      </w:r>
      <w:r>
        <w:rPr>
          <w:rFonts w:ascii="Times New Roman"/>
          <w:snapToGrid w:val="0"/>
          <w:color w:val="auto"/>
          <w:spacing w:val="-6"/>
          <w:kern w:val="21"/>
          <w:szCs w:val="21"/>
          <w:highlight w:val="none"/>
        </w:rPr>
        <w:instrText xml:space="preserve"> = 7 \* GB3 \* MERGEFORMAT </w:instrText>
      </w:r>
      <w:r>
        <w:rPr>
          <w:rFonts w:ascii="Times New Roman"/>
          <w:snapToGrid w:val="0"/>
          <w:color w:val="auto"/>
          <w:spacing w:val="-6"/>
          <w:kern w:val="21"/>
          <w:szCs w:val="21"/>
          <w:highlight w:val="none"/>
        </w:rPr>
        <w:fldChar w:fldCharType="separate"/>
      </w:r>
      <w:r>
        <w:rPr>
          <w:rFonts w:ascii="Times New Roman"/>
          <w:color w:val="auto"/>
          <w:szCs w:val="21"/>
          <w:highlight w:val="none"/>
        </w:rPr>
        <w:t>⑦</w:t>
      </w:r>
      <w:r>
        <w:rPr>
          <w:rFonts w:ascii="Times New Roman"/>
          <w:snapToGrid w:val="0"/>
          <w:color w:val="auto"/>
          <w:spacing w:val="-6"/>
          <w:kern w:val="21"/>
          <w:szCs w:val="21"/>
          <w:highlight w:val="none"/>
        </w:rPr>
        <w:fldChar w:fldCharType="end"/>
      </w:r>
      <w:r>
        <w:rPr>
          <w:rFonts w:ascii="Times New Roman"/>
          <w:snapToGrid w:val="0"/>
          <w:color w:val="auto"/>
          <w:spacing w:val="-6"/>
          <w:kern w:val="21"/>
          <w:szCs w:val="21"/>
          <w:highlight w:val="none"/>
        </w:rPr>
        <w:t>=</w:t>
      </w:r>
      <w:r>
        <w:rPr>
          <w:rFonts w:ascii="Times New Roman"/>
          <w:snapToGrid w:val="0"/>
          <w:color w:val="auto"/>
          <w:spacing w:val="-16"/>
          <w:kern w:val="21"/>
          <w:szCs w:val="21"/>
          <w:highlight w:val="none"/>
        </w:rPr>
        <w:fldChar w:fldCharType="begin"/>
      </w:r>
      <w:r>
        <w:rPr>
          <w:rFonts w:ascii="Times New Roman"/>
          <w:snapToGrid w:val="0"/>
          <w:color w:val="auto"/>
          <w:spacing w:val="-16"/>
          <w:kern w:val="21"/>
          <w:szCs w:val="21"/>
          <w:highlight w:val="none"/>
        </w:rPr>
        <w:instrText xml:space="preserve"> = 6 \* GB3 \* MERGEFORMAT </w:instrText>
      </w:r>
      <w:r>
        <w:rPr>
          <w:rFonts w:ascii="Times New Roman"/>
          <w:snapToGrid w:val="0"/>
          <w:color w:val="auto"/>
          <w:spacing w:val="-16"/>
          <w:kern w:val="21"/>
          <w:szCs w:val="21"/>
          <w:highlight w:val="none"/>
        </w:rPr>
        <w:fldChar w:fldCharType="separate"/>
      </w:r>
      <w:r>
        <w:rPr>
          <w:rFonts w:ascii="Times New Roman"/>
          <w:color w:val="auto"/>
          <w:szCs w:val="21"/>
          <w:highlight w:val="none"/>
        </w:rPr>
        <w:t>⑥</w:t>
      </w:r>
      <w:r>
        <w:rPr>
          <w:rFonts w:ascii="Times New Roman"/>
          <w:snapToGrid w:val="0"/>
          <w:color w:val="auto"/>
          <w:spacing w:val="-16"/>
          <w:kern w:val="21"/>
          <w:szCs w:val="21"/>
          <w:highlight w:val="none"/>
        </w:rPr>
        <w:fldChar w:fldCharType="end"/>
      </w:r>
      <w:r>
        <w:rPr>
          <w:rFonts w:ascii="Times New Roman"/>
          <w:snapToGrid w:val="0"/>
          <w:color w:val="auto"/>
          <w:spacing w:val="-16"/>
          <w:kern w:val="21"/>
          <w:szCs w:val="21"/>
          <w:highlight w:val="none"/>
        </w:rPr>
        <w:t>-</w:t>
      </w:r>
      <w:r>
        <w:rPr>
          <w:rFonts w:ascii="Times New Roman"/>
          <w:snapToGrid w:val="0"/>
          <w:color w:val="auto"/>
          <w:spacing w:val="-6"/>
          <w:kern w:val="21"/>
          <w:szCs w:val="21"/>
          <w:highlight w:val="none"/>
        </w:rPr>
        <w:fldChar w:fldCharType="begin"/>
      </w:r>
      <w:r>
        <w:rPr>
          <w:rFonts w:ascii="Times New Roman"/>
          <w:snapToGrid w:val="0"/>
          <w:color w:val="auto"/>
          <w:spacing w:val="-6"/>
          <w:kern w:val="21"/>
          <w:szCs w:val="21"/>
          <w:highlight w:val="none"/>
        </w:rPr>
        <w:instrText xml:space="preserve"> = 1 \* GB3 \* MERGEFORMAT </w:instrText>
      </w:r>
      <w:r>
        <w:rPr>
          <w:rFonts w:ascii="Times New Roman"/>
          <w:snapToGrid w:val="0"/>
          <w:color w:val="auto"/>
          <w:spacing w:val="-6"/>
          <w:kern w:val="21"/>
          <w:szCs w:val="21"/>
          <w:highlight w:val="none"/>
        </w:rPr>
        <w:fldChar w:fldCharType="separate"/>
      </w:r>
      <w:r>
        <w:rPr>
          <w:rFonts w:ascii="Times New Roman"/>
          <w:color w:val="auto"/>
          <w:szCs w:val="21"/>
          <w:highlight w:val="none"/>
        </w:rPr>
        <w:t>①</w:t>
      </w:r>
      <w:r>
        <w:rPr>
          <w:rFonts w:ascii="Times New Roman"/>
          <w:snapToGrid w:val="0"/>
          <w:color w:val="auto"/>
          <w:spacing w:val="-6"/>
          <w:kern w:val="21"/>
          <w:szCs w:val="21"/>
          <w:highlight w:val="none"/>
        </w:rPr>
        <w:fldChar w:fldCharType="end"/>
      </w:r>
    </w:p>
    <w:p w14:paraId="46D28A43">
      <w:pPr>
        <w:rPr>
          <w:color w:val="auto"/>
          <w:highlight w:val="none"/>
        </w:rPr>
        <w:sectPr>
          <w:pgSz w:w="16838" w:h="11906" w:orient="landscape"/>
          <w:pgMar w:top="1701" w:right="1531" w:bottom="1701" w:left="1531" w:header="851" w:footer="1077" w:gutter="0"/>
          <w:pgNumType w:fmt="decimal"/>
          <w:cols w:space="720" w:num="1"/>
          <w:docGrid w:linePitch="312" w:charSpace="0"/>
        </w:sectPr>
      </w:pPr>
    </w:p>
    <w:p w14:paraId="429B0486">
      <w:pPr>
        <w:pStyle w:val="4"/>
        <w:numPr>
          <w:ilvl w:val="0"/>
          <w:numId w:val="0"/>
        </w:numPr>
        <w:rPr>
          <w:color w:val="auto"/>
          <w:highlight w:val="none"/>
        </w:rPr>
      </w:pPr>
      <w:r>
        <w:rPr>
          <w:color w:val="auto"/>
          <w:highlight w:val="none"/>
        </w:rPr>
        <w:t>附图</w:t>
      </w:r>
      <w:r>
        <w:rPr>
          <w:rFonts w:hint="default" w:ascii="Times New Roman" w:hAnsi="Times New Roman" w:cs="Times New Roman"/>
          <w:color w:val="auto"/>
          <w:highlight w:val="none"/>
        </w:rPr>
        <w:t>1</w:t>
      </w:r>
      <w:r>
        <w:rPr>
          <w:color w:val="auto"/>
          <w:highlight w:val="none"/>
        </w:rPr>
        <w:t xml:space="preserve"> 地理位置图</w:t>
      </w:r>
    </w:p>
    <w:p w14:paraId="4C1A5641">
      <w:pPr>
        <w:jc w:val="center"/>
        <w:rPr>
          <w:color w:val="auto"/>
        </w:rPr>
      </w:pPr>
      <w:r>
        <w:rPr>
          <w:color w:val="auto"/>
        </w:rPr>
        <w:drawing>
          <wp:inline distT="0" distB="0" distL="114300" distR="114300">
            <wp:extent cx="6323965" cy="4776470"/>
            <wp:effectExtent l="0" t="0" r="635" b="5080"/>
            <wp:docPr id="16"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37"/>
                    <pic:cNvPicPr>
                      <a:picLocks noChangeAspect="1"/>
                    </pic:cNvPicPr>
                  </pic:nvPicPr>
                  <pic:blipFill>
                    <a:blip r:embed="rId49"/>
                    <a:stretch>
                      <a:fillRect/>
                    </a:stretch>
                  </pic:blipFill>
                  <pic:spPr>
                    <a:xfrm>
                      <a:off x="0" y="0"/>
                      <a:ext cx="6323965" cy="4776470"/>
                    </a:xfrm>
                    <a:prstGeom prst="rect">
                      <a:avLst/>
                    </a:prstGeom>
                    <a:noFill/>
                    <a:ln>
                      <a:noFill/>
                    </a:ln>
                  </pic:spPr>
                </pic:pic>
              </a:graphicData>
            </a:graphic>
          </wp:inline>
        </w:drawing>
      </w:r>
    </w:p>
    <w:p w14:paraId="5D152642">
      <w:pPr>
        <w:pStyle w:val="4"/>
        <w:numPr>
          <w:ilvl w:val="2"/>
          <w:numId w:val="0"/>
        </w:numPr>
        <w:rPr>
          <w:color w:val="auto"/>
          <w:highlight w:val="none"/>
        </w:rPr>
        <w:sectPr>
          <w:pgSz w:w="16838" w:h="11906" w:orient="landscape"/>
          <w:pgMar w:top="1797" w:right="1440" w:bottom="1797" w:left="1440" w:header="851" w:footer="992" w:gutter="0"/>
          <w:pgNumType w:fmt="decimal"/>
          <w:cols w:space="720" w:num="1"/>
          <w:docGrid w:type="linesAndChars" w:linePitch="312" w:charSpace="0"/>
        </w:sectPr>
      </w:pPr>
    </w:p>
    <w:p w14:paraId="654680AD">
      <w:pPr>
        <w:pStyle w:val="4"/>
        <w:numPr>
          <w:ilvl w:val="2"/>
          <w:numId w:val="0"/>
        </w:numPr>
        <w:rPr>
          <w:rFonts w:ascii="Times New Roman" w:hAnsi="Times New Roman"/>
          <w:color w:val="auto"/>
          <w:szCs w:val="24"/>
          <w:highlight w:val="none"/>
        </w:rPr>
      </w:pPr>
      <w:r>
        <w:rPr>
          <w:color w:val="auto"/>
          <w:highlight w:val="none"/>
        </w:rPr>
        <w:t>附图</w:t>
      </w:r>
      <w:r>
        <w:rPr>
          <w:rFonts w:hint="default" w:ascii="Times New Roman" w:hAnsi="Times New Roman" w:cs="Times New Roman"/>
          <w:color w:val="auto"/>
          <w:highlight w:val="none"/>
        </w:rPr>
        <w:t>2</w:t>
      </w:r>
      <w:r>
        <w:rPr>
          <w:color w:val="auto"/>
          <w:highlight w:val="none"/>
        </w:rPr>
        <w:t xml:space="preserve"> 项目</w:t>
      </w:r>
      <w:r>
        <w:rPr>
          <w:rFonts w:hint="eastAsia"/>
          <w:color w:val="auto"/>
          <w:highlight w:val="none"/>
          <w:lang w:eastAsia="zh-CN"/>
        </w:rPr>
        <w:t>平面布置</w:t>
      </w:r>
      <w:r>
        <w:rPr>
          <w:color w:val="auto"/>
          <w:highlight w:val="none"/>
        </w:rPr>
        <w:t>图</w:t>
      </w:r>
    </w:p>
    <w:p w14:paraId="566B60FF">
      <w:pPr>
        <w:spacing w:line="240" w:lineRule="auto"/>
        <w:jc w:val="center"/>
        <w:rPr>
          <w:color w:val="auto"/>
          <w:sz w:val="24"/>
          <w:highlight w:val="none"/>
        </w:rPr>
        <w:sectPr>
          <w:pgSz w:w="16838" w:h="11906" w:orient="landscape"/>
          <w:pgMar w:top="1797" w:right="1440" w:bottom="1797" w:left="1440" w:header="851" w:footer="992" w:gutter="0"/>
          <w:pgNumType w:fmt="decimal"/>
          <w:cols w:space="720" w:num="1"/>
          <w:docGrid w:type="linesAndChars" w:linePitch="312" w:charSpace="0"/>
        </w:sectPr>
      </w:pPr>
      <w:r>
        <w:rPr>
          <w:color w:val="auto"/>
        </w:rPr>
        <w:drawing>
          <wp:inline distT="0" distB="0" distL="114300" distR="114300">
            <wp:extent cx="7151370" cy="4901565"/>
            <wp:effectExtent l="0" t="0" r="11430" b="13335"/>
            <wp:docPr id="17" name="图片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382"/>
                    <pic:cNvPicPr>
                      <a:picLocks noChangeAspect="1"/>
                    </pic:cNvPicPr>
                  </pic:nvPicPr>
                  <pic:blipFill>
                    <a:blip r:embed="rId50"/>
                    <a:stretch>
                      <a:fillRect/>
                    </a:stretch>
                  </pic:blipFill>
                  <pic:spPr>
                    <a:xfrm>
                      <a:off x="0" y="0"/>
                      <a:ext cx="7151370" cy="4901565"/>
                    </a:xfrm>
                    <a:prstGeom prst="rect">
                      <a:avLst/>
                    </a:prstGeom>
                    <a:noFill/>
                    <a:ln>
                      <a:noFill/>
                    </a:ln>
                  </pic:spPr>
                </pic:pic>
              </a:graphicData>
            </a:graphic>
          </wp:inline>
        </w:drawing>
      </w:r>
    </w:p>
    <w:p w14:paraId="0C49FC82">
      <w:pPr>
        <w:pStyle w:val="4"/>
        <w:numPr>
          <w:ilvl w:val="2"/>
          <w:numId w:val="0"/>
        </w:numPr>
        <w:rPr>
          <w:rFonts w:hint="eastAsia"/>
          <w:color w:val="auto"/>
          <w:highlight w:val="none"/>
        </w:rPr>
      </w:pPr>
      <w:r>
        <w:rPr>
          <w:rFonts w:hint="eastAsia"/>
          <w:color w:val="auto"/>
          <w:highlight w:val="none"/>
        </w:rPr>
        <w:t>附图</w:t>
      </w:r>
      <w:r>
        <w:rPr>
          <w:rFonts w:hint="default" w:ascii="Times New Roman" w:hAnsi="Times New Roman" w:cs="Times New Roman"/>
          <w:color w:val="auto"/>
          <w:highlight w:val="none"/>
          <w:lang w:val="en-US" w:eastAsia="zh-CN"/>
        </w:rPr>
        <w:t>3</w:t>
      </w:r>
      <w:r>
        <w:rPr>
          <w:rFonts w:hint="eastAsia"/>
          <w:color w:val="auto"/>
          <w:highlight w:val="none"/>
        </w:rPr>
        <w:t xml:space="preserve"> </w:t>
      </w:r>
      <w:r>
        <w:rPr>
          <w:rFonts w:hint="eastAsia"/>
          <w:color w:val="auto"/>
          <w:highlight w:val="none"/>
          <w:lang w:eastAsia="zh-CN"/>
        </w:rPr>
        <w:t>生产车间内平面布置</w:t>
      </w:r>
      <w:r>
        <w:rPr>
          <w:rFonts w:hint="eastAsia"/>
          <w:color w:val="auto"/>
          <w:highlight w:val="none"/>
        </w:rPr>
        <w:t>图</w:t>
      </w:r>
    </w:p>
    <w:p w14:paraId="2FDE4AB4">
      <w:pPr>
        <w:jc w:val="center"/>
        <w:rPr>
          <w:rFonts w:hint="eastAsia"/>
          <w:color w:val="auto"/>
        </w:rPr>
      </w:pPr>
      <w:r>
        <w:rPr>
          <w:color w:val="auto"/>
        </w:rPr>
        <w:drawing>
          <wp:inline distT="0" distB="0" distL="114300" distR="114300">
            <wp:extent cx="4762500" cy="7429500"/>
            <wp:effectExtent l="0" t="0" r="0" b="0"/>
            <wp:docPr id="18" name="图片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355"/>
                    <pic:cNvPicPr>
                      <a:picLocks noChangeAspect="1"/>
                    </pic:cNvPicPr>
                  </pic:nvPicPr>
                  <pic:blipFill>
                    <a:blip r:embed="rId51"/>
                    <a:stretch>
                      <a:fillRect/>
                    </a:stretch>
                  </pic:blipFill>
                  <pic:spPr>
                    <a:xfrm>
                      <a:off x="0" y="0"/>
                      <a:ext cx="4762500" cy="7429500"/>
                    </a:xfrm>
                    <a:prstGeom prst="rect">
                      <a:avLst/>
                    </a:prstGeom>
                    <a:noFill/>
                    <a:ln>
                      <a:noFill/>
                    </a:ln>
                  </pic:spPr>
                </pic:pic>
              </a:graphicData>
            </a:graphic>
          </wp:inline>
        </w:drawing>
      </w:r>
    </w:p>
    <w:p w14:paraId="1B8B75D2">
      <w:pPr>
        <w:pStyle w:val="4"/>
        <w:numPr>
          <w:ilvl w:val="2"/>
          <w:numId w:val="0"/>
        </w:numPr>
        <w:rPr>
          <w:rFonts w:hint="eastAsia"/>
          <w:color w:val="auto"/>
          <w:highlight w:val="none"/>
        </w:rPr>
        <w:sectPr>
          <w:pgSz w:w="11905" w:h="16838"/>
          <w:pgMar w:top="1361" w:right="1531" w:bottom="1361" w:left="1531" w:header="851" w:footer="992" w:gutter="0"/>
          <w:paperSrc/>
          <w:pgNumType w:fmt="decimal"/>
          <w:cols w:space="720" w:num="1"/>
          <w:rtlGutter w:val="0"/>
          <w:docGrid w:type="linesAndChars" w:linePitch="384" w:charSpace="112"/>
        </w:sectPr>
      </w:pPr>
    </w:p>
    <w:p w14:paraId="67464D49">
      <w:pPr>
        <w:pStyle w:val="4"/>
        <w:numPr>
          <w:ilvl w:val="2"/>
          <w:numId w:val="0"/>
        </w:numPr>
        <w:rPr>
          <w:rFonts w:hint="eastAsia"/>
          <w:color w:val="auto"/>
          <w:highlight w:val="none"/>
        </w:rPr>
      </w:pPr>
      <w:r>
        <w:rPr>
          <w:rFonts w:hint="eastAsia"/>
          <w:color w:val="auto"/>
          <w:highlight w:val="none"/>
        </w:rPr>
        <w:t>附图</w:t>
      </w:r>
      <w:r>
        <w:rPr>
          <w:rFonts w:hint="eastAsia" w:ascii="Times New Roman" w:hAnsi="Times New Roman" w:cs="Times New Roman"/>
          <w:color w:val="auto"/>
          <w:highlight w:val="none"/>
          <w:lang w:val="en-US" w:eastAsia="zh-CN"/>
        </w:rPr>
        <w:t>4</w:t>
      </w:r>
      <w:r>
        <w:rPr>
          <w:rFonts w:hint="eastAsia"/>
          <w:color w:val="auto"/>
          <w:highlight w:val="none"/>
        </w:rPr>
        <w:t xml:space="preserve"> </w:t>
      </w:r>
      <w:r>
        <w:rPr>
          <w:rFonts w:hint="eastAsia"/>
          <w:color w:val="auto"/>
          <w:highlight w:val="none"/>
          <w:lang w:eastAsia="zh-CN"/>
        </w:rPr>
        <w:t>四邻关系</w:t>
      </w:r>
      <w:r>
        <w:rPr>
          <w:rFonts w:hint="eastAsia"/>
          <w:color w:val="auto"/>
          <w:highlight w:val="none"/>
        </w:rPr>
        <w:t>图</w:t>
      </w:r>
    </w:p>
    <w:p w14:paraId="016E7CB8">
      <w:pPr>
        <w:jc w:val="center"/>
        <w:rPr>
          <w:rFonts w:hint="eastAsia"/>
          <w:color w:val="auto"/>
        </w:rPr>
        <w:sectPr>
          <w:pgSz w:w="16838" w:h="11905" w:orient="landscape"/>
          <w:pgMar w:top="1531" w:right="1361" w:bottom="1531" w:left="1361" w:header="851" w:footer="992" w:gutter="0"/>
          <w:pgNumType w:fmt="decimal"/>
          <w:cols w:space="720" w:num="1"/>
          <w:docGrid w:type="linesAndChars" w:linePitch="384" w:charSpace="112"/>
        </w:sectPr>
      </w:pPr>
      <w:r>
        <w:rPr>
          <w:color w:val="auto"/>
        </w:rPr>
        <w:drawing>
          <wp:inline distT="0" distB="0" distL="114300" distR="114300">
            <wp:extent cx="6340475" cy="5089525"/>
            <wp:effectExtent l="0" t="0" r="3175" b="15875"/>
            <wp:docPr id="19" name="图片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400"/>
                    <pic:cNvPicPr>
                      <a:picLocks noChangeAspect="1"/>
                    </pic:cNvPicPr>
                  </pic:nvPicPr>
                  <pic:blipFill>
                    <a:blip r:embed="rId52"/>
                    <a:stretch>
                      <a:fillRect/>
                    </a:stretch>
                  </pic:blipFill>
                  <pic:spPr>
                    <a:xfrm>
                      <a:off x="0" y="0"/>
                      <a:ext cx="6340475" cy="5089525"/>
                    </a:xfrm>
                    <a:prstGeom prst="rect">
                      <a:avLst/>
                    </a:prstGeom>
                    <a:noFill/>
                    <a:ln>
                      <a:noFill/>
                    </a:ln>
                  </pic:spPr>
                </pic:pic>
              </a:graphicData>
            </a:graphic>
          </wp:inline>
        </w:drawing>
      </w:r>
    </w:p>
    <w:p w14:paraId="3195274D">
      <w:pPr>
        <w:pStyle w:val="4"/>
        <w:numPr>
          <w:ilvl w:val="2"/>
          <w:numId w:val="0"/>
        </w:numPr>
        <w:rPr>
          <w:rFonts w:hint="eastAsia"/>
          <w:color w:val="auto"/>
          <w:highlight w:val="none"/>
        </w:rPr>
      </w:pPr>
      <w:r>
        <w:rPr>
          <w:rFonts w:hint="eastAsia"/>
          <w:color w:val="auto"/>
          <w:highlight w:val="none"/>
        </w:rPr>
        <w:t>附图</w:t>
      </w:r>
      <w:r>
        <w:rPr>
          <w:rFonts w:hint="eastAsia" w:ascii="Times New Roman" w:hAnsi="Times New Roman" w:cs="Times New Roman"/>
          <w:color w:val="auto"/>
          <w:highlight w:val="none"/>
          <w:lang w:val="en-US" w:eastAsia="zh-CN"/>
        </w:rPr>
        <w:t>5</w:t>
      </w:r>
      <w:r>
        <w:rPr>
          <w:rFonts w:hint="eastAsia"/>
          <w:color w:val="auto"/>
          <w:highlight w:val="none"/>
        </w:rPr>
        <w:t xml:space="preserve"> 环境保护目标图</w:t>
      </w:r>
    </w:p>
    <w:p w14:paraId="61AA0C2B">
      <w:pPr>
        <w:jc w:val="center"/>
        <w:rPr>
          <w:rFonts w:hint="eastAsia"/>
          <w:b/>
          <w:bCs/>
          <w:color w:val="auto"/>
          <w:sz w:val="24"/>
          <w:highlight w:val="none"/>
        </w:rPr>
      </w:pPr>
      <w:r>
        <w:rPr>
          <w:color w:val="auto"/>
        </w:rPr>
        <w:drawing>
          <wp:inline distT="0" distB="0" distL="114300" distR="114300">
            <wp:extent cx="7332345" cy="5044440"/>
            <wp:effectExtent l="0" t="0" r="1905" b="3810"/>
            <wp:docPr id="20" name="图片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419"/>
                    <pic:cNvPicPr>
                      <a:picLocks noChangeAspect="1"/>
                    </pic:cNvPicPr>
                  </pic:nvPicPr>
                  <pic:blipFill>
                    <a:blip r:embed="rId53"/>
                    <a:stretch>
                      <a:fillRect/>
                    </a:stretch>
                  </pic:blipFill>
                  <pic:spPr>
                    <a:xfrm>
                      <a:off x="0" y="0"/>
                      <a:ext cx="7332345" cy="5044440"/>
                    </a:xfrm>
                    <a:prstGeom prst="rect">
                      <a:avLst/>
                    </a:prstGeom>
                    <a:noFill/>
                    <a:ln>
                      <a:noFill/>
                    </a:ln>
                  </pic:spPr>
                </pic:pic>
              </a:graphicData>
            </a:graphic>
          </wp:inline>
        </w:drawing>
      </w:r>
    </w:p>
    <w:p w14:paraId="1D0606ED">
      <w:pPr>
        <w:rPr>
          <w:b/>
          <w:bCs/>
          <w:color w:val="auto"/>
          <w:sz w:val="24"/>
          <w:highlight w:val="none"/>
        </w:rPr>
        <w:sectPr>
          <w:pgSz w:w="16838" w:h="11905" w:orient="landscape"/>
          <w:pgMar w:top="1531" w:right="1361" w:bottom="1531" w:left="1361" w:header="851" w:footer="992" w:gutter="0"/>
          <w:pgNumType w:fmt="decimal"/>
          <w:cols w:space="720" w:num="1"/>
          <w:docGrid w:type="linesAndChars" w:linePitch="384" w:charSpace="112"/>
        </w:sectPr>
      </w:pPr>
    </w:p>
    <w:p w14:paraId="6C4805D7">
      <w:pPr>
        <w:pStyle w:val="4"/>
        <w:numPr>
          <w:ilvl w:val="2"/>
          <w:numId w:val="0"/>
        </w:numPr>
        <w:rPr>
          <w:rFonts w:hint="eastAsia"/>
          <w:color w:val="auto"/>
          <w:highlight w:val="none"/>
        </w:rPr>
      </w:pPr>
      <w:r>
        <w:rPr>
          <w:rFonts w:hint="eastAsia"/>
          <w:color w:val="auto"/>
          <w:highlight w:val="none"/>
        </w:rPr>
        <w:t>附图</w:t>
      </w:r>
      <w:r>
        <w:rPr>
          <w:rFonts w:hint="eastAsia" w:ascii="Times New Roman" w:hAnsi="Times New Roman" w:cs="Times New Roman"/>
          <w:color w:val="auto"/>
          <w:highlight w:val="none"/>
          <w:lang w:val="en-US" w:eastAsia="zh-CN"/>
        </w:rPr>
        <w:t>6</w:t>
      </w:r>
      <w:r>
        <w:rPr>
          <w:rFonts w:hint="eastAsia"/>
          <w:color w:val="auto"/>
          <w:highlight w:val="none"/>
        </w:rPr>
        <w:t xml:space="preserve"> </w:t>
      </w:r>
      <w:r>
        <w:rPr>
          <w:rFonts w:hint="eastAsia"/>
          <w:color w:val="auto"/>
          <w:highlight w:val="none"/>
          <w:lang w:eastAsia="zh-CN"/>
        </w:rPr>
        <w:t>监测点位</w:t>
      </w:r>
      <w:r>
        <w:rPr>
          <w:rFonts w:hint="eastAsia"/>
          <w:color w:val="auto"/>
          <w:highlight w:val="none"/>
        </w:rPr>
        <w:t>图</w:t>
      </w:r>
    </w:p>
    <w:p w14:paraId="573EE2E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rPr>
        <w:sectPr>
          <w:pgSz w:w="16838" w:h="11905" w:orient="landscape"/>
          <w:pgMar w:top="1531" w:right="1361" w:bottom="1531" w:left="1361" w:header="851" w:footer="992" w:gutter="0"/>
          <w:pgNumType w:fmt="decimal"/>
          <w:cols w:space="720" w:num="1"/>
          <w:docGrid w:type="linesAndChars" w:linePitch="384" w:charSpace="112"/>
        </w:sectPr>
      </w:pPr>
      <w:r>
        <w:rPr>
          <w:color w:val="auto"/>
        </w:rPr>
        <w:drawing>
          <wp:inline distT="0" distB="0" distL="114300" distR="114300">
            <wp:extent cx="7490460" cy="5127625"/>
            <wp:effectExtent l="0" t="0" r="15240" b="15875"/>
            <wp:docPr id="21" name="图片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403"/>
                    <pic:cNvPicPr>
                      <a:picLocks noChangeAspect="1"/>
                    </pic:cNvPicPr>
                  </pic:nvPicPr>
                  <pic:blipFill>
                    <a:blip r:embed="rId54"/>
                    <a:stretch>
                      <a:fillRect/>
                    </a:stretch>
                  </pic:blipFill>
                  <pic:spPr>
                    <a:xfrm>
                      <a:off x="0" y="0"/>
                      <a:ext cx="7490460" cy="5127625"/>
                    </a:xfrm>
                    <a:prstGeom prst="rect">
                      <a:avLst/>
                    </a:prstGeom>
                    <a:noFill/>
                    <a:ln>
                      <a:noFill/>
                    </a:ln>
                  </pic:spPr>
                </pic:pic>
              </a:graphicData>
            </a:graphic>
          </wp:inline>
        </w:drawing>
      </w:r>
    </w:p>
    <w:p w14:paraId="5E3547D8">
      <w:pPr>
        <w:pStyle w:val="4"/>
        <w:numPr>
          <w:ilvl w:val="2"/>
          <w:numId w:val="0"/>
        </w:numPr>
        <w:rPr>
          <w:color w:val="auto"/>
          <w:highlight w:val="none"/>
        </w:rPr>
      </w:pPr>
      <w:r>
        <w:rPr>
          <w:color w:val="auto"/>
          <w:highlight w:val="none"/>
        </w:rPr>
        <w:t>附图</w:t>
      </w:r>
      <w:r>
        <w:rPr>
          <w:rFonts w:hint="eastAsia" w:ascii="Times New Roman" w:hAnsi="Times New Roman" w:cs="Times New Roman"/>
          <w:color w:val="auto"/>
          <w:highlight w:val="none"/>
          <w:lang w:val="en-US" w:eastAsia="zh-CN"/>
        </w:rPr>
        <w:t>7</w:t>
      </w:r>
      <w:r>
        <w:rPr>
          <w:color w:val="auto"/>
          <w:highlight w:val="none"/>
        </w:rPr>
        <w:t xml:space="preserve"> </w:t>
      </w:r>
      <w:r>
        <w:rPr>
          <w:rFonts w:hint="eastAsia"/>
          <w:color w:val="auto"/>
          <w:highlight w:val="none"/>
        </w:rPr>
        <w:t>分区防渗</w:t>
      </w:r>
      <w:r>
        <w:rPr>
          <w:color w:val="auto"/>
          <w:highlight w:val="none"/>
        </w:rPr>
        <w:t>图</w:t>
      </w:r>
    </w:p>
    <w:p w14:paraId="562264E2">
      <w:pPr>
        <w:jc w:val="center"/>
        <w:rPr>
          <w:rFonts w:hint="eastAsia"/>
          <w:color w:val="auto"/>
        </w:rPr>
      </w:pPr>
      <w:r>
        <w:rPr>
          <w:color w:val="auto"/>
        </w:rPr>
        <w:drawing>
          <wp:inline distT="0" distB="0" distL="114300" distR="114300">
            <wp:extent cx="6968490" cy="5103495"/>
            <wp:effectExtent l="0" t="0" r="3810" b="1905"/>
            <wp:docPr id="22" name="图片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408"/>
                    <pic:cNvPicPr>
                      <a:picLocks noChangeAspect="1"/>
                    </pic:cNvPicPr>
                  </pic:nvPicPr>
                  <pic:blipFill>
                    <a:blip r:embed="rId55"/>
                    <a:stretch>
                      <a:fillRect/>
                    </a:stretch>
                  </pic:blipFill>
                  <pic:spPr>
                    <a:xfrm>
                      <a:off x="0" y="0"/>
                      <a:ext cx="6968490" cy="5103495"/>
                    </a:xfrm>
                    <a:prstGeom prst="rect">
                      <a:avLst/>
                    </a:prstGeom>
                    <a:noFill/>
                    <a:ln>
                      <a:noFill/>
                    </a:ln>
                  </pic:spPr>
                </pic:pic>
              </a:graphicData>
            </a:graphic>
          </wp:inline>
        </w:drawing>
      </w:r>
    </w:p>
    <w:p w14:paraId="51B2BA49">
      <w:pPr>
        <w:pStyle w:val="4"/>
        <w:numPr>
          <w:ilvl w:val="2"/>
          <w:numId w:val="0"/>
        </w:numPr>
        <w:jc w:val="center"/>
        <w:rPr>
          <w:rFonts w:hint="eastAsia"/>
          <w:color w:val="auto"/>
          <w:highlight w:val="none"/>
        </w:rPr>
        <w:sectPr>
          <w:pgSz w:w="16838" w:h="11905" w:orient="landscape"/>
          <w:pgMar w:top="1531" w:right="1361" w:bottom="1531" w:left="1361" w:header="851" w:footer="992" w:gutter="0"/>
          <w:pgNumType w:fmt="decimal"/>
          <w:cols w:space="720" w:num="1"/>
          <w:docGrid w:type="linesAndChars" w:linePitch="384" w:charSpace="112"/>
        </w:sectPr>
      </w:pPr>
    </w:p>
    <w:p w14:paraId="59FD6304">
      <w:pPr>
        <w:pStyle w:val="4"/>
        <w:numPr>
          <w:ilvl w:val="2"/>
          <w:numId w:val="0"/>
        </w:numPr>
        <w:rPr>
          <w:rFonts w:hint="eastAsia"/>
          <w:color w:val="auto"/>
          <w:highlight w:val="none"/>
        </w:rPr>
      </w:pPr>
      <w:r>
        <w:rPr>
          <w:rFonts w:hint="eastAsia"/>
          <w:color w:val="auto"/>
          <w:highlight w:val="none"/>
        </w:rPr>
        <w:t>附图</w:t>
      </w:r>
      <w:r>
        <w:rPr>
          <w:rFonts w:hint="eastAsia" w:ascii="Times New Roman" w:hAnsi="Times New Roman" w:cs="Times New Roman"/>
          <w:color w:val="auto"/>
          <w:highlight w:val="none"/>
          <w:lang w:val="en-US" w:eastAsia="zh-CN"/>
        </w:rPr>
        <w:t>8</w:t>
      </w:r>
      <w:r>
        <w:rPr>
          <w:rFonts w:hint="eastAsia"/>
          <w:color w:val="auto"/>
          <w:highlight w:val="none"/>
        </w:rPr>
        <w:t xml:space="preserve"> 管控单元图</w:t>
      </w:r>
    </w:p>
    <w:p w14:paraId="6A99878B">
      <w:pPr>
        <w:jc w:val="center"/>
        <w:rPr>
          <w:rFonts w:hint="eastAsia"/>
          <w:color w:val="auto"/>
        </w:rPr>
      </w:pPr>
      <w:r>
        <w:rPr>
          <w:color w:val="auto"/>
        </w:rPr>
        <w:drawing>
          <wp:inline distT="0" distB="0" distL="114300" distR="114300">
            <wp:extent cx="7303135" cy="5095240"/>
            <wp:effectExtent l="0" t="0" r="12065" b="10160"/>
            <wp:docPr id="23"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49"/>
                    <pic:cNvPicPr>
                      <a:picLocks noChangeAspect="1"/>
                    </pic:cNvPicPr>
                  </pic:nvPicPr>
                  <pic:blipFill>
                    <a:blip r:embed="rId56"/>
                    <a:stretch>
                      <a:fillRect/>
                    </a:stretch>
                  </pic:blipFill>
                  <pic:spPr>
                    <a:xfrm>
                      <a:off x="0" y="0"/>
                      <a:ext cx="7303135" cy="5095240"/>
                    </a:xfrm>
                    <a:prstGeom prst="rect">
                      <a:avLst/>
                    </a:prstGeom>
                    <a:noFill/>
                    <a:ln>
                      <a:noFill/>
                    </a:ln>
                  </pic:spPr>
                </pic:pic>
              </a:graphicData>
            </a:graphic>
          </wp:inline>
        </w:drawing>
      </w:r>
    </w:p>
    <w:p w14:paraId="21873CB9">
      <w:pPr>
        <w:pStyle w:val="4"/>
        <w:numPr>
          <w:ilvl w:val="2"/>
          <w:numId w:val="0"/>
        </w:numPr>
        <w:rPr>
          <w:rFonts w:hint="eastAsia"/>
          <w:color w:val="auto"/>
          <w:highlight w:val="none"/>
        </w:rPr>
        <w:sectPr>
          <w:pgSz w:w="16838" w:h="11905" w:orient="landscape"/>
          <w:pgMar w:top="1531" w:right="1361" w:bottom="1531" w:left="1361" w:header="851" w:footer="992" w:gutter="0"/>
          <w:pgNumType w:fmt="decimal"/>
          <w:cols w:space="720" w:num="1"/>
          <w:docGrid w:type="linesAndChars" w:linePitch="384" w:charSpace="112"/>
        </w:sectPr>
      </w:pPr>
    </w:p>
    <w:p w14:paraId="5780CF45">
      <w:pPr>
        <w:pStyle w:val="4"/>
        <w:numPr>
          <w:ilvl w:val="2"/>
          <w:numId w:val="0"/>
        </w:numPr>
        <w:rPr>
          <w:b/>
          <w:bCs/>
          <w:color w:val="auto"/>
          <w:sz w:val="24"/>
          <w:highlight w:val="none"/>
        </w:rPr>
      </w:pPr>
      <w:r>
        <w:rPr>
          <w:rFonts w:hint="eastAsia"/>
          <w:color w:val="auto"/>
          <w:highlight w:val="none"/>
        </w:rPr>
        <w:t>附图</w:t>
      </w:r>
      <w:r>
        <w:rPr>
          <w:rFonts w:hint="eastAsia" w:ascii="Times New Roman" w:hAnsi="Times New Roman" w:cs="Times New Roman"/>
          <w:color w:val="auto"/>
          <w:highlight w:val="none"/>
          <w:lang w:val="en-US" w:eastAsia="zh-CN"/>
        </w:rPr>
        <w:t>9</w:t>
      </w:r>
      <w:r>
        <w:rPr>
          <w:rFonts w:hint="eastAsia"/>
          <w:color w:val="auto"/>
          <w:highlight w:val="none"/>
        </w:rPr>
        <w:t xml:space="preserve"> </w:t>
      </w:r>
      <w:r>
        <w:rPr>
          <w:rFonts w:hint="eastAsia"/>
          <w:color w:val="auto"/>
          <w:highlight w:val="none"/>
          <w:lang w:eastAsia="zh-CN"/>
        </w:rPr>
        <w:t>“三线一单”查询</w:t>
      </w:r>
      <w:r>
        <w:rPr>
          <w:rFonts w:hint="eastAsia"/>
          <w:color w:val="auto"/>
          <w:highlight w:val="none"/>
        </w:rPr>
        <w:t>图</w:t>
      </w:r>
    </w:p>
    <w:p w14:paraId="4F86F94B">
      <w:pPr>
        <w:jc w:val="both"/>
        <w:rPr>
          <w:rFonts w:hint="eastAsia" w:eastAsia="宋体"/>
          <w:b/>
          <w:bCs/>
          <w:color w:val="auto"/>
          <w:sz w:val="24"/>
          <w:highlight w:val="none"/>
          <w:lang w:eastAsia="zh-CN"/>
        </w:rPr>
      </w:pPr>
      <w:r>
        <w:rPr>
          <w:rFonts w:hint="eastAsia" w:eastAsia="宋体"/>
          <w:b/>
          <w:bCs/>
          <w:color w:val="auto"/>
          <w:sz w:val="24"/>
          <w:highlight w:val="none"/>
          <w:lang w:eastAsia="zh-CN"/>
        </w:rPr>
        <w:drawing>
          <wp:inline distT="0" distB="0" distL="114300" distR="114300">
            <wp:extent cx="8961120" cy="4594860"/>
            <wp:effectExtent l="0" t="0" r="11430" b="15240"/>
            <wp:docPr id="24" name="图片 250" descr="b00cad10b8d6e5782cdf7697665787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50" descr="b00cad10b8d6e5782cdf7697665787ef"/>
                    <pic:cNvPicPr>
                      <a:picLocks noChangeAspect="1"/>
                    </pic:cNvPicPr>
                  </pic:nvPicPr>
                  <pic:blipFill>
                    <a:blip r:embed="rId57"/>
                    <a:stretch>
                      <a:fillRect/>
                    </a:stretch>
                  </pic:blipFill>
                  <pic:spPr>
                    <a:xfrm>
                      <a:off x="0" y="0"/>
                      <a:ext cx="8961120" cy="4594860"/>
                    </a:xfrm>
                    <a:prstGeom prst="rect">
                      <a:avLst/>
                    </a:prstGeom>
                    <a:noFill/>
                    <a:ln>
                      <a:noFill/>
                    </a:ln>
                  </pic:spPr>
                </pic:pic>
              </a:graphicData>
            </a:graphic>
          </wp:inline>
        </w:drawing>
      </w:r>
    </w:p>
    <w:p w14:paraId="187A1D65">
      <w:pPr>
        <w:jc w:val="both"/>
        <w:rPr>
          <w:b/>
          <w:bCs/>
          <w:color w:val="auto"/>
          <w:sz w:val="24"/>
          <w:highlight w:val="none"/>
        </w:rPr>
        <w:sectPr>
          <w:pgSz w:w="16838" w:h="11905" w:orient="landscape"/>
          <w:pgMar w:top="1531" w:right="1361" w:bottom="1531" w:left="1361" w:header="851" w:footer="992" w:gutter="0"/>
          <w:pgNumType w:fmt="decimal"/>
          <w:cols w:space="720" w:num="1"/>
          <w:docGrid w:type="linesAndChars" w:linePitch="384" w:charSpace="112"/>
        </w:sectPr>
      </w:pPr>
    </w:p>
    <w:p w14:paraId="5DFC7B46">
      <w:pPr>
        <w:pStyle w:val="4"/>
        <w:numPr>
          <w:ilvl w:val="2"/>
          <w:numId w:val="0"/>
        </w:numPr>
        <w:rPr>
          <w:b/>
          <w:bCs/>
          <w:color w:val="auto"/>
          <w:sz w:val="24"/>
          <w:highlight w:val="none"/>
        </w:rPr>
      </w:pPr>
      <w:r>
        <w:rPr>
          <w:rFonts w:hint="eastAsia"/>
          <w:color w:val="auto"/>
          <w:highlight w:val="none"/>
        </w:rPr>
        <w:t>附图</w:t>
      </w:r>
      <w:r>
        <w:rPr>
          <w:rFonts w:hint="eastAsia" w:ascii="Times New Roman" w:hAnsi="Times New Roman" w:cs="Times New Roman"/>
          <w:color w:val="auto"/>
          <w:highlight w:val="none"/>
          <w:lang w:val="en-US" w:eastAsia="zh-CN"/>
        </w:rPr>
        <w:t>10</w:t>
      </w:r>
      <w:r>
        <w:rPr>
          <w:rFonts w:hint="eastAsia"/>
          <w:color w:val="auto"/>
          <w:highlight w:val="none"/>
        </w:rPr>
        <w:t xml:space="preserve"> </w:t>
      </w:r>
      <w:r>
        <w:rPr>
          <w:rFonts w:hint="eastAsia" w:cs="Times New Roman"/>
          <w:b/>
          <w:bCs/>
          <w:color w:val="auto"/>
          <w:szCs w:val="32"/>
          <w:lang w:val="en-US" w:eastAsia="zh-CN"/>
        </w:rPr>
        <w:t>抚顺市地下水污染防治重点区划定图</w:t>
      </w:r>
    </w:p>
    <w:p w14:paraId="2FF656A6">
      <w:pPr>
        <w:pStyle w:val="4"/>
        <w:numPr>
          <w:ilvl w:val="2"/>
          <w:numId w:val="0"/>
        </w:numPr>
        <w:rPr>
          <w:rFonts w:hint="eastAsia"/>
          <w:color w:val="auto"/>
          <w:highlight w:val="none"/>
        </w:rPr>
        <w:sectPr>
          <w:pgSz w:w="16838" w:h="11905" w:orient="landscape"/>
          <w:pgMar w:top="1531" w:right="1361" w:bottom="1531" w:left="1361" w:header="851" w:footer="992" w:gutter="0"/>
          <w:pgNumType w:fmt="decimal"/>
          <w:cols w:space="720" w:num="1"/>
          <w:docGrid w:type="linesAndChars" w:linePitch="384" w:charSpace="112"/>
        </w:sectPr>
      </w:pPr>
      <w:r>
        <w:rPr>
          <w:color w:val="auto"/>
        </w:rPr>
        <w:drawing>
          <wp:inline distT="0" distB="0" distL="114300" distR="114300">
            <wp:extent cx="8958580" cy="4286250"/>
            <wp:effectExtent l="0" t="0" r="13970" b="0"/>
            <wp:docPr id="25" name="图片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1"/>
                    <pic:cNvPicPr>
                      <a:picLocks noChangeAspect="1"/>
                    </pic:cNvPicPr>
                  </pic:nvPicPr>
                  <pic:blipFill>
                    <a:blip r:embed="rId58"/>
                    <a:stretch>
                      <a:fillRect/>
                    </a:stretch>
                  </pic:blipFill>
                  <pic:spPr>
                    <a:xfrm>
                      <a:off x="0" y="0"/>
                      <a:ext cx="8958580" cy="4286250"/>
                    </a:xfrm>
                    <a:prstGeom prst="rect">
                      <a:avLst/>
                    </a:prstGeom>
                    <a:noFill/>
                    <a:ln>
                      <a:noFill/>
                    </a:ln>
                  </pic:spPr>
                </pic:pic>
              </a:graphicData>
            </a:graphic>
          </wp:inline>
        </w:drawing>
      </w:r>
    </w:p>
    <w:p w14:paraId="7216F900">
      <w:pPr>
        <w:pStyle w:val="4"/>
        <w:numPr>
          <w:ilvl w:val="2"/>
          <w:numId w:val="0"/>
        </w:numPr>
        <w:rPr>
          <w:rFonts w:hint="eastAsia"/>
          <w:color w:val="auto"/>
          <w:highlight w:val="none"/>
        </w:rPr>
      </w:pPr>
      <w:r>
        <w:rPr>
          <w:rFonts w:hint="eastAsia"/>
          <w:color w:val="auto"/>
          <w:highlight w:val="none"/>
        </w:rPr>
        <w:t>附图</w:t>
      </w:r>
      <w:r>
        <w:rPr>
          <w:rFonts w:hint="eastAsia" w:ascii="Times New Roman" w:hAnsi="Times New Roman" w:cs="Times New Roman"/>
          <w:color w:val="auto"/>
          <w:highlight w:val="none"/>
          <w:lang w:val="en-US" w:eastAsia="zh-CN"/>
        </w:rPr>
        <w:t>11</w:t>
      </w:r>
      <w:r>
        <w:rPr>
          <w:rFonts w:hint="eastAsia"/>
          <w:color w:val="auto"/>
          <w:highlight w:val="none"/>
        </w:rPr>
        <w:t xml:space="preserve"> </w:t>
      </w:r>
      <w:r>
        <w:rPr>
          <w:rFonts w:hint="eastAsia"/>
          <w:color w:val="auto"/>
          <w:highlight w:val="none"/>
          <w:lang w:eastAsia="zh-CN"/>
        </w:rPr>
        <w:t>本项目在抚顺县产业园区总体规划中位置</w:t>
      </w:r>
      <w:r>
        <w:rPr>
          <w:rFonts w:hint="eastAsia"/>
          <w:color w:val="auto"/>
          <w:highlight w:val="none"/>
        </w:rPr>
        <w:t>图</w:t>
      </w:r>
    </w:p>
    <w:p w14:paraId="114EF213">
      <w:pPr>
        <w:jc w:val="center"/>
        <w:rPr>
          <w:rFonts w:hint="eastAsia"/>
          <w:color w:val="auto"/>
        </w:rPr>
        <w:sectPr>
          <w:pgSz w:w="16838" w:h="11905" w:orient="landscape"/>
          <w:pgMar w:top="1531" w:right="1361" w:bottom="1531" w:left="1361" w:header="851" w:footer="992" w:gutter="0"/>
          <w:pgNumType w:fmt="decimal"/>
          <w:cols w:space="720" w:num="1"/>
          <w:docGrid w:type="linesAndChars" w:linePitch="384" w:charSpace="112"/>
        </w:sectPr>
      </w:pPr>
      <w:r>
        <w:rPr>
          <w:color w:val="auto"/>
        </w:rPr>
        <w:drawing>
          <wp:inline distT="0" distB="0" distL="114300" distR="114300">
            <wp:extent cx="5516245" cy="5120640"/>
            <wp:effectExtent l="0" t="0" r="8255" b="3810"/>
            <wp:docPr id="26" name="图片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44"/>
                    <pic:cNvPicPr>
                      <a:picLocks noChangeAspect="1"/>
                    </pic:cNvPicPr>
                  </pic:nvPicPr>
                  <pic:blipFill>
                    <a:blip r:embed="rId59"/>
                    <a:stretch>
                      <a:fillRect/>
                    </a:stretch>
                  </pic:blipFill>
                  <pic:spPr>
                    <a:xfrm>
                      <a:off x="0" y="0"/>
                      <a:ext cx="5516245" cy="5120640"/>
                    </a:xfrm>
                    <a:prstGeom prst="rect">
                      <a:avLst/>
                    </a:prstGeom>
                    <a:noFill/>
                    <a:ln>
                      <a:noFill/>
                    </a:ln>
                  </pic:spPr>
                </pic:pic>
              </a:graphicData>
            </a:graphic>
          </wp:inline>
        </w:drawing>
      </w:r>
    </w:p>
    <w:p w14:paraId="46AE4877">
      <w:pPr>
        <w:pStyle w:val="4"/>
        <w:numPr>
          <w:ilvl w:val="2"/>
          <w:numId w:val="0"/>
        </w:numPr>
        <w:rPr>
          <w:rFonts w:hint="eastAsia"/>
          <w:color w:val="auto"/>
          <w:highlight w:val="none"/>
        </w:rPr>
      </w:pPr>
      <w:r>
        <w:rPr>
          <w:rFonts w:hint="eastAsia"/>
          <w:color w:val="auto"/>
          <w:highlight w:val="none"/>
        </w:rPr>
        <w:t>附图</w:t>
      </w:r>
      <w:r>
        <w:rPr>
          <w:rFonts w:hint="eastAsia" w:ascii="Times New Roman" w:hAnsi="Times New Roman" w:cs="Times New Roman"/>
          <w:color w:val="auto"/>
          <w:highlight w:val="none"/>
          <w:lang w:val="en-US" w:eastAsia="zh-CN"/>
        </w:rPr>
        <w:t>12</w:t>
      </w:r>
      <w:r>
        <w:rPr>
          <w:rFonts w:hint="eastAsia"/>
          <w:color w:val="auto"/>
          <w:highlight w:val="none"/>
        </w:rPr>
        <w:t xml:space="preserve"> </w:t>
      </w:r>
      <w:r>
        <w:rPr>
          <w:rFonts w:hint="eastAsia"/>
          <w:color w:val="auto"/>
          <w:highlight w:val="none"/>
          <w:lang w:eastAsia="zh-CN"/>
        </w:rPr>
        <w:t>本项目在抚顺县救兵镇总体规划中位置</w:t>
      </w:r>
      <w:r>
        <w:rPr>
          <w:rFonts w:hint="eastAsia"/>
          <w:color w:val="auto"/>
          <w:highlight w:val="none"/>
        </w:rPr>
        <w:t>图</w:t>
      </w:r>
    </w:p>
    <w:p w14:paraId="6A4A0183">
      <w:pPr>
        <w:jc w:val="center"/>
        <w:rPr>
          <w:rFonts w:hint="eastAsia"/>
          <w:color w:val="auto"/>
        </w:rPr>
      </w:pPr>
      <w:r>
        <w:rPr>
          <w:color w:val="auto"/>
        </w:rPr>
        <w:drawing>
          <wp:inline distT="0" distB="0" distL="114300" distR="114300">
            <wp:extent cx="7393940" cy="5105400"/>
            <wp:effectExtent l="0" t="0" r="16510" b="0"/>
            <wp:docPr id="27"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47"/>
                    <pic:cNvPicPr>
                      <a:picLocks noChangeAspect="1"/>
                    </pic:cNvPicPr>
                  </pic:nvPicPr>
                  <pic:blipFill>
                    <a:blip r:embed="rId60"/>
                    <a:stretch>
                      <a:fillRect/>
                    </a:stretch>
                  </pic:blipFill>
                  <pic:spPr>
                    <a:xfrm>
                      <a:off x="0" y="0"/>
                      <a:ext cx="7393940" cy="5105400"/>
                    </a:xfrm>
                    <a:prstGeom prst="rect">
                      <a:avLst/>
                    </a:prstGeom>
                    <a:noFill/>
                    <a:ln>
                      <a:noFill/>
                    </a:ln>
                  </pic:spPr>
                </pic:pic>
              </a:graphicData>
            </a:graphic>
          </wp:inline>
        </w:drawing>
      </w:r>
    </w:p>
    <w:p w14:paraId="1CC94328">
      <w:pPr>
        <w:pStyle w:val="4"/>
        <w:numPr>
          <w:ilvl w:val="2"/>
          <w:numId w:val="0"/>
        </w:numPr>
        <w:rPr>
          <w:rFonts w:hint="eastAsia"/>
          <w:color w:val="auto"/>
          <w:highlight w:val="none"/>
        </w:rPr>
        <w:sectPr>
          <w:pgSz w:w="16838" w:h="11905" w:orient="landscape"/>
          <w:pgMar w:top="1531" w:right="1361" w:bottom="1531" w:left="1361" w:header="851" w:footer="992" w:gutter="0"/>
          <w:pgNumType w:fmt="decimal"/>
          <w:cols w:space="720" w:num="1"/>
          <w:docGrid w:type="linesAndChars" w:linePitch="384" w:charSpace="112"/>
        </w:sectPr>
      </w:pPr>
    </w:p>
    <w:p w14:paraId="50B33623">
      <w:pPr>
        <w:pStyle w:val="4"/>
        <w:numPr>
          <w:ilvl w:val="2"/>
          <w:numId w:val="0"/>
        </w:numPr>
        <w:rPr>
          <w:color w:val="auto"/>
          <w:highlight w:val="none"/>
        </w:rPr>
      </w:pPr>
      <w:r>
        <w:rPr>
          <w:rFonts w:hint="eastAsia"/>
          <w:color w:val="auto"/>
          <w:highlight w:val="none"/>
        </w:rPr>
        <w:t>附图</w:t>
      </w:r>
      <w:r>
        <w:rPr>
          <w:rFonts w:hint="eastAsia" w:ascii="Times New Roman" w:hAnsi="Times New Roman" w:cs="Times New Roman"/>
          <w:color w:val="auto"/>
          <w:highlight w:val="none"/>
          <w:lang w:val="en-US" w:eastAsia="zh-CN"/>
        </w:rPr>
        <w:t>13</w:t>
      </w:r>
      <w:r>
        <w:rPr>
          <w:rFonts w:hint="eastAsia"/>
          <w:color w:val="auto"/>
          <w:highlight w:val="none"/>
        </w:rPr>
        <w:t xml:space="preserve"> </w:t>
      </w:r>
      <w:r>
        <w:rPr>
          <w:rFonts w:hint="eastAsia"/>
          <w:color w:val="auto"/>
          <w:highlight w:val="none"/>
          <w:lang w:eastAsia="zh-CN"/>
        </w:rPr>
        <w:t>本项目</w:t>
      </w:r>
      <w:r>
        <w:rPr>
          <w:rFonts w:hint="eastAsia" w:eastAsia="宋体" w:cs="Times New Roman"/>
          <w:color w:val="auto"/>
          <w:highlight w:val="none"/>
          <w:lang w:eastAsia="zh-CN"/>
        </w:rPr>
        <w:t>在抚顺县救兵木业和新材料产业园区中位置</w:t>
      </w:r>
      <w:r>
        <w:rPr>
          <w:rFonts w:hint="eastAsia"/>
          <w:color w:val="auto"/>
          <w:highlight w:val="none"/>
        </w:rPr>
        <w:t>图</w:t>
      </w:r>
    </w:p>
    <w:p w14:paraId="23B6762E">
      <w:pPr>
        <w:rPr>
          <w:color w:val="auto"/>
        </w:rPr>
        <w:sectPr>
          <w:pgSz w:w="11905" w:h="16838"/>
          <w:pgMar w:top="1361" w:right="1531" w:bottom="1361" w:left="1531" w:header="851" w:footer="992" w:gutter="0"/>
          <w:pgNumType w:fmt="decimal"/>
          <w:cols w:space="720" w:num="1"/>
          <w:docGrid w:type="linesAndChars" w:linePitch="382" w:charSpace="112"/>
        </w:sectPr>
      </w:pPr>
      <w:r>
        <w:rPr>
          <w:color w:val="auto"/>
        </w:rPr>
        <w:drawing>
          <wp:inline distT="0" distB="0" distL="114300" distR="114300">
            <wp:extent cx="5613400" cy="7152640"/>
            <wp:effectExtent l="0" t="0" r="6350" b="10160"/>
            <wp:docPr id="28" name="图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48"/>
                    <pic:cNvPicPr>
                      <a:picLocks noChangeAspect="1"/>
                    </pic:cNvPicPr>
                  </pic:nvPicPr>
                  <pic:blipFill>
                    <a:blip r:embed="rId61"/>
                    <a:stretch>
                      <a:fillRect/>
                    </a:stretch>
                  </pic:blipFill>
                  <pic:spPr>
                    <a:xfrm>
                      <a:off x="0" y="0"/>
                      <a:ext cx="5613400" cy="7152640"/>
                    </a:xfrm>
                    <a:prstGeom prst="rect">
                      <a:avLst/>
                    </a:prstGeom>
                    <a:noFill/>
                    <a:ln>
                      <a:noFill/>
                    </a:ln>
                  </pic:spPr>
                </pic:pic>
              </a:graphicData>
            </a:graphic>
          </wp:inline>
        </w:drawing>
      </w:r>
    </w:p>
    <w:p w14:paraId="11CD0C69">
      <w:pPr>
        <w:pStyle w:val="4"/>
        <w:numPr>
          <w:ilvl w:val="2"/>
          <w:numId w:val="0"/>
        </w:numPr>
        <w:rPr>
          <w:color w:val="auto"/>
          <w:highlight w:val="none"/>
        </w:rPr>
      </w:pPr>
      <w:r>
        <w:rPr>
          <w:color w:val="auto"/>
          <w:highlight w:val="none"/>
        </w:rPr>
        <w:t>附件1 委托书</w:t>
      </w:r>
    </w:p>
    <w:p w14:paraId="399B8725">
      <w:pPr>
        <w:spacing w:line="20" w:lineRule="atLeast"/>
        <w:rPr>
          <w:color w:val="auto"/>
          <w:highlight w:val="none"/>
        </w:rPr>
      </w:pPr>
    </w:p>
    <w:p w14:paraId="686DC7B8">
      <w:pPr>
        <w:jc w:val="center"/>
        <w:rPr>
          <w:color w:val="auto"/>
          <w:sz w:val="48"/>
          <w:szCs w:val="48"/>
          <w:highlight w:val="none"/>
        </w:rPr>
      </w:pPr>
    </w:p>
    <w:p w14:paraId="1F8D652C">
      <w:pPr>
        <w:jc w:val="center"/>
        <w:rPr>
          <w:color w:val="auto"/>
          <w:sz w:val="48"/>
          <w:szCs w:val="48"/>
          <w:highlight w:val="none"/>
        </w:rPr>
      </w:pPr>
      <w:r>
        <w:rPr>
          <w:color w:val="auto"/>
          <w:sz w:val="48"/>
          <w:szCs w:val="48"/>
          <w:highlight w:val="none"/>
        </w:rPr>
        <w:t>委  托  书</w:t>
      </w:r>
    </w:p>
    <w:p w14:paraId="370A5AEF">
      <w:pPr>
        <w:jc w:val="center"/>
        <w:rPr>
          <w:color w:val="auto"/>
          <w:sz w:val="32"/>
          <w:szCs w:val="32"/>
          <w:highlight w:val="none"/>
        </w:rPr>
      </w:pPr>
    </w:p>
    <w:p w14:paraId="36C0C176">
      <w:pPr>
        <w:spacing w:before="191" w:beforeLines="50" w:line="480" w:lineRule="exact"/>
        <w:rPr>
          <w:color w:val="auto"/>
          <w:sz w:val="30"/>
          <w:szCs w:val="30"/>
          <w:highlight w:val="none"/>
        </w:rPr>
      </w:pPr>
      <w:r>
        <w:rPr>
          <w:color w:val="auto"/>
          <w:sz w:val="30"/>
          <w:szCs w:val="30"/>
          <w:highlight w:val="none"/>
        </w:rPr>
        <w:t>辽宁</w:t>
      </w:r>
      <w:r>
        <w:rPr>
          <w:rFonts w:hint="eastAsia"/>
          <w:color w:val="auto"/>
          <w:sz w:val="30"/>
          <w:szCs w:val="30"/>
          <w:highlight w:val="none"/>
          <w:lang w:eastAsia="zh-CN"/>
        </w:rPr>
        <w:t>环一科技术咨询</w:t>
      </w:r>
      <w:r>
        <w:rPr>
          <w:color w:val="auto"/>
          <w:sz w:val="30"/>
          <w:szCs w:val="30"/>
          <w:highlight w:val="none"/>
        </w:rPr>
        <w:t>有限公司：</w:t>
      </w:r>
    </w:p>
    <w:p w14:paraId="05B08257">
      <w:pPr>
        <w:spacing w:before="191" w:beforeLines="50" w:line="360" w:lineRule="auto"/>
        <w:ind w:firstLine="600" w:firstLineChars="200"/>
        <w:rPr>
          <w:color w:val="auto"/>
          <w:sz w:val="30"/>
          <w:szCs w:val="30"/>
          <w:highlight w:val="none"/>
        </w:rPr>
      </w:pPr>
      <w:r>
        <w:rPr>
          <w:color w:val="auto"/>
          <w:sz w:val="30"/>
          <w:szCs w:val="30"/>
          <w:highlight w:val="none"/>
        </w:rPr>
        <w:t>根据《中华人民共和国环境影响评价法》和中华人民共和国国务院令第682号《建设项目环境保护管理条例》的规定，特委托你单位开展</w:t>
      </w:r>
      <w:r>
        <w:rPr>
          <w:rFonts w:ascii="Times New Roman" w:hAnsi="Times New Roman" w:eastAsia="宋体" w:cs="Times New Roman"/>
          <w:color w:val="auto"/>
          <w:sz w:val="30"/>
          <w:szCs w:val="30"/>
          <w:highlight w:val="none"/>
        </w:rPr>
        <w:t>《</w:t>
      </w:r>
      <w:r>
        <w:rPr>
          <w:rFonts w:hint="eastAsia" w:ascii="Times New Roman" w:hAnsi="Times New Roman" w:eastAsia="宋体" w:cs="Times New Roman"/>
          <w:color w:val="auto"/>
          <w:sz w:val="30"/>
          <w:szCs w:val="30"/>
          <w:highlight w:val="none"/>
        </w:rPr>
        <w:t>抚顺市连升体育运动地板厂项目</w:t>
      </w:r>
      <w:r>
        <w:rPr>
          <w:rFonts w:ascii="Times New Roman" w:hAnsi="Times New Roman" w:eastAsia="宋体" w:cs="Times New Roman"/>
          <w:color w:val="auto"/>
          <w:sz w:val="30"/>
          <w:szCs w:val="30"/>
          <w:highlight w:val="none"/>
        </w:rPr>
        <w:t>》建设项</w:t>
      </w:r>
      <w:r>
        <w:rPr>
          <w:color w:val="auto"/>
          <w:sz w:val="30"/>
          <w:szCs w:val="30"/>
          <w:highlight w:val="none"/>
        </w:rPr>
        <w:t>目的环境影响评价工作。</w:t>
      </w:r>
    </w:p>
    <w:p w14:paraId="28B9942E">
      <w:pPr>
        <w:spacing w:before="191" w:beforeLines="50" w:line="480" w:lineRule="exact"/>
        <w:ind w:firstLine="600" w:firstLineChars="200"/>
        <w:rPr>
          <w:color w:val="auto"/>
          <w:sz w:val="30"/>
          <w:szCs w:val="30"/>
          <w:highlight w:val="none"/>
        </w:rPr>
      </w:pPr>
      <w:r>
        <w:rPr>
          <w:color w:val="auto"/>
          <w:sz w:val="30"/>
          <w:szCs w:val="30"/>
          <w:highlight w:val="none"/>
        </w:rPr>
        <w:t>望尽快开展工作。</w:t>
      </w:r>
    </w:p>
    <w:p w14:paraId="6B7B8006">
      <w:pPr>
        <w:spacing w:before="191" w:beforeLines="50" w:line="480" w:lineRule="exact"/>
        <w:rPr>
          <w:color w:val="auto"/>
          <w:sz w:val="30"/>
          <w:szCs w:val="30"/>
          <w:highlight w:val="none"/>
        </w:rPr>
      </w:pPr>
    </w:p>
    <w:p w14:paraId="67508EF1">
      <w:pPr>
        <w:spacing w:before="191" w:beforeLines="50" w:line="480" w:lineRule="exact"/>
        <w:rPr>
          <w:color w:val="auto"/>
          <w:sz w:val="30"/>
          <w:szCs w:val="30"/>
          <w:highlight w:val="none"/>
        </w:rPr>
      </w:pPr>
    </w:p>
    <w:p w14:paraId="23F69B05">
      <w:pPr>
        <w:spacing w:before="191" w:beforeLines="50" w:line="480" w:lineRule="exact"/>
        <w:rPr>
          <w:color w:val="auto"/>
          <w:sz w:val="30"/>
          <w:szCs w:val="30"/>
          <w:highlight w:val="none"/>
        </w:rPr>
      </w:pPr>
    </w:p>
    <w:p w14:paraId="57BFDC7B">
      <w:pPr>
        <w:spacing w:before="191" w:beforeLines="50" w:line="480" w:lineRule="exact"/>
        <w:rPr>
          <w:color w:val="auto"/>
          <w:sz w:val="30"/>
          <w:szCs w:val="30"/>
          <w:highlight w:val="none"/>
        </w:rPr>
      </w:pPr>
    </w:p>
    <w:p w14:paraId="4CB3DC60">
      <w:pPr>
        <w:spacing w:before="191" w:beforeLines="50" w:line="480" w:lineRule="exact"/>
        <w:rPr>
          <w:color w:val="auto"/>
          <w:sz w:val="30"/>
          <w:szCs w:val="30"/>
          <w:highlight w:val="none"/>
        </w:rPr>
      </w:pPr>
    </w:p>
    <w:p w14:paraId="051525AF">
      <w:pPr>
        <w:spacing w:before="191" w:beforeLines="50" w:line="480" w:lineRule="exact"/>
        <w:rPr>
          <w:color w:val="auto"/>
          <w:sz w:val="30"/>
          <w:szCs w:val="30"/>
          <w:highlight w:val="none"/>
        </w:rPr>
      </w:pPr>
    </w:p>
    <w:p w14:paraId="1044931F">
      <w:pPr>
        <w:spacing w:before="120"/>
        <w:jc w:val="right"/>
        <w:rPr>
          <w:color w:val="auto"/>
          <w:sz w:val="30"/>
          <w:szCs w:val="30"/>
          <w:highlight w:val="none"/>
        </w:rPr>
      </w:pPr>
      <w:r>
        <w:rPr>
          <w:color w:val="auto"/>
          <w:sz w:val="30"/>
          <w:szCs w:val="30"/>
          <w:highlight w:val="none"/>
        </w:rPr>
        <w:t>委托单位：</w:t>
      </w:r>
      <w:r>
        <w:rPr>
          <w:rFonts w:hint="eastAsia" w:ascii="Times New Roman" w:hAnsi="Times New Roman" w:eastAsia="宋体" w:cs="Times New Roman"/>
          <w:color w:val="auto"/>
          <w:sz w:val="30"/>
          <w:szCs w:val="30"/>
          <w:highlight w:val="none"/>
        </w:rPr>
        <w:t>抚顺市连升体育运动地板厂</w:t>
      </w:r>
    </w:p>
    <w:p w14:paraId="68BB1E39">
      <w:pPr>
        <w:tabs>
          <w:tab w:val="right" w:pos="8845"/>
        </w:tabs>
        <w:spacing w:before="191" w:beforeLines="50" w:line="480" w:lineRule="exact"/>
        <w:ind w:left="5533" w:leftChars="992" w:hanging="3450" w:hangingChars="1150"/>
        <w:rPr>
          <w:color w:val="auto"/>
          <w:sz w:val="30"/>
          <w:szCs w:val="30"/>
          <w:highlight w:val="none"/>
        </w:rPr>
        <w:sectPr>
          <w:pgSz w:w="11905" w:h="16838"/>
          <w:pgMar w:top="1361" w:right="1531" w:bottom="1361" w:left="1531" w:header="851" w:footer="992" w:gutter="0"/>
          <w:pgNumType w:fmt="decimal"/>
          <w:cols w:space="720" w:num="1"/>
          <w:docGrid w:type="linesAndChars" w:linePitch="382" w:charSpace="112"/>
        </w:sectPr>
      </w:pPr>
      <w:r>
        <w:rPr>
          <w:color w:val="auto"/>
          <w:sz w:val="30"/>
          <w:szCs w:val="30"/>
          <w:highlight w:val="none"/>
        </w:rPr>
        <w:t xml:space="preserve">                        202</w:t>
      </w:r>
      <w:r>
        <w:rPr>
          <w:rFonts w:hint="eastAsia"/>
          <w:color w:val="auto"/>
          <w:sz w:val="30"/>
          <w:szCs w:val="30"/>
          <w:highlight w:val="none"/>
          <w:lang w:val="en-US" w:eastAsia="zh-CN"/>
        </w:rPr>
        <w:t>5</w:t>
      </w:r>
      <w:r>
        <w:rPr>
          <w:color w:val="auto"/>
          <w:sz w:val="30"/>
          <w:szCs w:val="30"/>
          <w:highlight w:val="none"/>
        </w:rPr>
        <w:t>年</w:t>
      </w:r>
      <w:r>
        <w:rPr>
          <w:rFonts w:hint="eastAsia"/>
          <w:color w:val="auto"/>
          <w:sz w:val="30"/>
          <w:szCs w:val="30"/>
          <w:highlight w:val="none"/>
          <w:lang w:val="en-US" w:eastAsia="zh-CN"/>
        </w:rPr>
        <w:t>12</w:t>
      </w:r>
      <w:r>
        <w:rPr>
          <w:color w:val="auto"/>
          <w:sz w:val="30"/>
          <w:szCs w:val="30"/>
          <w:highlight w:val="none"/>
        </w:rPr>
        <w:t>月</w:t>
      </w:r>
    </w:p>
    <w:p w14:paraId="053DB0C0">
      <w:pPr>
        <w:pStyle w:val="4"/>
        <w:numPr>
          <w:ilvl w:val="2"/>
          <w:numId w:val="0"/>
        </w:numPr>
        <w:spacing w:line="240" w:lineRule="auto"/>
        <w:rPr>
          <w:rFonts w:hint="eastAsia"/>
          <w:color w:val="auto"/>
          <w:highlight w:val="none"/>
        </w:rPr>
      </w:pPr>
      <w:r>
        <w:rPr>
          <w:color w:val="auto"/>
          <w:highlight w:val="none"/>
        </w:rPr>
        <w:t>附件</w:t>
      </w:r>
      <w:r>
        <w:rPr>
          <w:rFonts w:hint="eastAsia"/>
          <w:color w:val="auto"/>
          <w:highlight w:val="none"/>
        </w:rPr>
        <w:t>2</w:t>
      </w:r>
      <w:r>
        <w:rPr>
          <w:color w:val="auto"/>
          <w:highlight w:val="none"/>
        </w:rPr>
        <w:t xml:space="preserve"> </w:t>
      </w:r>
      <w:r>
        <w:rPr>
          <w:rFonts w:hint="eastAsia"/>
          <w:color w:val="auto"/>
          <w:highlight w:val="none"/>
        </w:rPr>
        <w:t>立项文件</w:t>
      </w:r>
    </w:p>
    <w:p w14:paraId="3E98006F">
      <w:pPr>
        <w:rPr>
          <w:rFonts w:hint="eastAsia"/>
          <w:color w:val="auto"/>
        </w:rPr>
        <w:sectPr>
          <w:pgSz w:w="11905" w:h="16838"/>
          <w:pgMar w:top="1361" w:right="1531" w:bottom="1361" w:left="1531" w:header="851" w:footer="992" w:gutter="0"/>
          <w:pgNumType w:fmt="decimal"/>
          <w:cols w:space="720" w:num="1"/>
          <w:docGrid w:type="linesAndChars" w:linePitch="382" w:charSpace="112"/>
        </w:sectPr>
      </w:pPr>
      <w:r>
        <w:rPr>
          <w:color w:val="auto"/>
        </w:rPr>
        <w:drawing>
          <wp:inline distT="0" distB="0" distL="114300" distR="114300">
            <wp:extent cx="5614035" cy="7042150"/>
            <wp:effectExtent l="0" t="0" r="5715" b="6350"/>
            <wp:docPr id="29" name="图片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421"/>
                    <pic:cNvPicPr>
                      <a:picLocks noChangeAspect="1"/>
                    </pic:cNvPicPr>
                  </pic:nvPicPr>
                  <pic:blipFill>
                    <a:blip r:embed="rId62"/>
                    <a:stretch>
                      <a:fillRect/>
                    </a:stretch>
                  </pic:blipFill>
                  <pic:spPr>
                    <a:xfrm>
                      <a:off x="0" y="0"/>
                      <a:ext cx="5614035" cy="7042150"/>
                    </a:xfrm>
                    <a:prstGeom prst="rect">
                      <a:avLst/>
                    </a:prstGeom>
                    <a:noFill/>
                    <a:ln>
                      <a:noFill/>
                    </a:ln>
                  </pic:spPr>
                </pic:pic>
              </a:graphicData>
            </a:graphic>
          </wp:inline>
        </w:drawing>
      </w:r>
    </w:p>
    <w:p w14:paraId="62657698">
      <w:pPr>
        <w:pStyle w:val="4"/>
        <w:numPr>
          <w:ilvl w:val="2"/>
          <w:numId w:val="0"/>
        </w:numPr>
        <w:rPr>
          <w:rFonts w:hint="eastAsia"/>
          <w:color w:val="auto"/>
          <w:highlight w:val="none"/>
        </w:rPr>
      </w:pPr>
      <w:r>
        <w:rPr>
          <w:rFonts w:hint="eastAsia"/>
          <w:color w:val="auto"/>
          <w:highlight w:val="none"/>
        </w:rPr>
        <w:t>附件</w:t>
      </w:r>
      <w:r>
        <w:rPr>
          <w:rFonts w:hint="eastAsia"/>
          <w:color w:val="auto"/>
          <w:highlight w:val="none"/>
          <w:lang w:val="en-US" w:eastAsia="zh-CN"/>
        </w:rPr>
        <w:t>3</w:t>
      </w:r>
      <w:r>
        <w:rPr>
          <w:rFonts w:hint="eastAsia"/>
          <w:color w:val="auto"/>
          <w:highlight w:val="none"/>
        </w:rPr>
        <w:t xml:space="preserve"> </w:t>
      </w:r>
      <w:r>
        <w:rPr>
          <w:rFonts w:hint="eastAsia"/>
          <w:color w:val="auto"/>
          <w:highlight w:val="none"/>
          <w:lang w:eastAsia="zh-CN"/>
        </w:rPr>
        <w:t>检</w:t>
      </w:r>
      <w:r>
        <w:rPr>
          <w:rFonts w:hint="eastAsia"/>
          <w:color w:val="auto"/>
          <w:highlight w:val="none"/>
        </w:rPr>
        <w:t>测报告</w:t>
      </w:r>
    </w:p>
    <w:p w14:paraId="616053A1">
      <w:pPr>
        <w:rPr>
          <w:rFonts w:hint="eastAsia"/>
          <w:color w:val="auto"/>
        </w:rPr>
      </w:pPr>
      <w:r>
        <w:rPr>
          <w:color w:val="auto"/>
          <w:bdr w:val="single" w:color="000000" w:sz="4" w:space="0"/>
        </w:rPr>
        <w:drawing>
          <wp:inline distT="0" distB="0" distL="114300" distR="114300">
            <wp:extent cx="5558790" cy="7874000"/>
            <wp:effectExtent l="0" t="0" r="3810" b="12700"/>
            <wp:docPr id="30" name="图片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98"/>
                    <pic:cNvPicPr>
                      <a:picLocks noChangeAspect="1"/>
                    </pic:cNvPicPr>
                  </pic:nvPicPr>
                  <pic:blipFill>
                    <a:blip r:embed="rId63"/>
                    <a:stretch>
                      <a:fillRect/>
                    </a:stretch>
                  </pic:blipFill>
                  <pic:spPr>
                    <a:xfrm>
                      <a:off x="0" y="0"/>
                      <a:ext cx="5558790" cy="7874000"/>
                    </a:xfrm>
                    <a:prstGeom prst="rect">
                      <a:avLst/>
                    </a:prstGeom>
                    <a:noFill/>
                    <a:ln>
                      <a:noFill/>
                    </a:ln>
                  </pic:spPr>
                </pic:pic>
              </a:graphicData>
            </a:graphic>
          </wp:inline>
        </w:drawing>
      </w:r>
    </w:p>
    <w:p w14:paraId="22BDB9AD">
      <w:pPr>
        <w:spacing w:line="240" w:lineRule="auto"/>
        <w:rPr>
          <w:rFonts w:hint="eastAsia"/>
          <w:b/>
          <w:bCs/>
          <w:color w:val="auto"/>
          <w:sz w:val="24"/>
          <w:highlight w:val="none"/>
        </w:rPr>
        <w:sectPr>
          <w:pgSz w:w="11905" w:h="16838"/>
          <w:pgMar w:top="1361" w:right="1531" w:bottom="1361" w:left="1531" w:header="851" w:footer="992" w:gutter="0"/>
          <w:pgNumType w:fmt="decimal"/>
          <w:cols w:space="720" w:num="1"/>
          <w:docGrid w:type="linesAndChars" w:linePitch="382" w:charSpace="112"/>
        </w:sectPr>
      </w:pPr>
      <w:r>
        <w:rPr>
          <w:color w:val="auto"/>
          <w:bdr w:val="single" w:color="000000" w:sz="4" w:space="0"/>
        </w:rPr>
        <w:drawing>
          <wp:inline distT="0" distB="0" distL="114300" distR="114300">
            <wp:extent cx="5572125" cy="7740650"/>
            <wp:effectExtent l="0" t="0" r="9525" b="12700"/>
            <wp:docPr id="31" name="图片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99"/>
                    <pic:cNvPicPr>
                      <a:picLocks noChangeAspect="1"/>
                    </pic:cNvPicPr>
                  </pic:nvPicPr>
                  <pic:blipFill>
                    <a:blip r:embed="rId64"/>
                    <a:stretch>
                      <a:fillRect/>
                    </a:stretch>
                  </pic:blipFill>
                  <pic:spPr>
                    <a:xfrm>
                      <a:off x="0" y="0"/>
                      <a:ext cx="5572125" cy="7740650"/>
                    </a:xfrm>
                    <a:prstGeom prst="rect">
                      <a:avLst/>
                    </a:prstGeom>
                    <a:noFill/>
                    <a:ln>
                      <a:noFill/>
                    </a:ln>
                  </pic:spPr>
                </pic:pic>
              </a:graphicData>
            </a:graphic>
          </wp:inline>
        </w:drawing>
      </w:r>
      <w:r>
        <w:rPr>
          <w:color w:val="auto"/>
          <w:bdr w:val="single" w:color="000000" w:sz="4" w:space="0"/>
        </w:rPr>
        <w:drawing>
          <wp:inline distT="0" distB="0" distL="114300" distR="114300">
            <wp:extent cx="5570855" cy="7844790"/>
            <wp:effectExtent l="0" t="0" r="10795" b="3810"/>
            <wp:docPr id="32" name="图片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00"/>
                    <pic:cNvPicPr>
                      <a:picLocks noChangeAspect="1"/>
                    </pic:cNvPicPr>
                  </pic:nvPicPr>
                  <pic:blipFill>
                    <a:blip r:embed="rId65"/>
                    <a:stretch>
                      <a:fillRect/>
                    </a:stretch>
                  </pic:blipFill>
                  <pic:spPr>
                    <a:xfrm>
                      <a:off x="0" y="0"/>
                      <a:ext cx="5570855" cy="7844790"/>
                    </a:xfrm>
                    <a:prstGeom prst="rect">
                      <a:avLst/>
                    </a:prstGeom>
                    <a:noFill/>
                    <a:ln>
                      <a:noFill/>
                    </a:ln>
                  </pic:spPr>
                </pic:pic>
              </a:graphicData>
            </a:graphic>
          </wp:inline>
        </w:drawing>
      </w:r>
      <w:r>
        <w:rPr>
          <w:color w:val="auto"/>
          <w:bdr w:val="single" w:color="000000" w:sz="4" w:space="0"/>
        </w:rPr>
        <w:drawing>
          <wp:inline distT="0" distB="0" distL="114300" distR="114300">
            <wp:extent cx="5629275" cy="7652385"/>
            <wp:effectExtent l="0" t="0" r="9525" b="5715"/>
            <wp:docPr id="33" name="图片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08"/>
                    <pic:cNvPicPr>
                      <a:picLocks noChangeAspect="1"/>
                    </pic:cNvPicPr>
                  </pic:nvPicPr>
                  <pic:blipFill>
                    <a:blip r:embed="rId66"/>
                    <a:stretch>
                      <a:fillRect/>
                    </a:stretch>
                  </pic:blipFill>
                  <pic:spPr>
                    <a:xfrm>
                      <a:off x="0" y="0"/>
                      <a:ext cx="5629275" cy="7652385"/>
                    </a:xfrm>
                    <a:prstGeom prst="rect">
                      <a:avLst/>
                    </a:prstGeom>
                    <a:noFill/>
                    <a:ln>
                      <a:noFill/>
                    </a:ln>
                  </pic:spPr>
                </pic:pic>
              </a:graphicData>
            </a:graphic>
          </wp:inline>
        </w:drawing>
      </w:r>
      <w:r>
        <w:rPr>
          <w:color w:val="auto"/>
          <w:bdr w:val="single" w:color="000000" w:sz="4" w:space="0"/>
        </w:rPr>
        <w:drawing>
          <wp:inline distT="0" distB="0" distL="114300" distR="114300">
            <wp:extent cx="5597525" cy="7887335"/>
            <wp:effectExtent l="0" t="0" r="3175" b="18415"/>
            <wp:docPr id="34" name="图片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02"/>
                    <pic:cNvPicPr>
                      <a:picLocks noChangeAspect="1"/>
                    </pic:cNvPicPr>
                  </pic:nvPicPr>
                  <pic:blipFill>
                    <a:blip r:embed="rId67"/>
                    <a:stretch>
                      <a:fillRect/>
                    </a:stretch>
                  </pic:blipFill>
                  <pic:spPr>
                    <a:xfrm>
                      <a:off x="0" y="0"/>
                      <a:ext cx="5597525" cy="7887335"/>
                    </a:xfrm>
                    <a:prstGeom prst="rect">
                      <a:avLst/>
                    </a:prstGeom>
                    <a:noFill/>
                    <a:ln>
                      <a:noFill/>
                    </a:ln>
                  </pic:spPr>
                </pic:pic>
              </a:graphicData>
            </a:graphic>
          </wp:inline>
        </w:drawing>
      </w:r>
      <w:r>
        <w:rPr>
          <w:color w:val="auto"/>
          <w:bdr w:val="single" w:color="000000" w:sz="4" w:space="0"/>
        </w:rPr>
        <w:drawing>
          <wp:inline distT="0" distB="0" distL="114300" distR="114300">
            <wp:extent cx="5587365" cy="7822565"/>
            <wp:effectExtent l="0" t="0" r="13335" b="6985"/>
            <wp:docPr id="35" name="图片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03"/>
                    <pic:cNvPicPr>
                      <a:picLocks noChangeAspect="1"/>
                    </pic:cNvPicPr>
                  </pic:nvPicPr>
                  <pic:blipFill>
                    <a:blip r:embed="rId68"/>
                    <a:stretch>
                      <a:fillRect/>
                    </a:stretch>
                  </pic:blipFill>
                  <pic:spPr>
                    <a:xfrm>
                      <a:off x="0" y="0"/>
                      <a:ext cx="5587365" cy="7822565"/>
                    </a:xfrm>
                    <a:prstGeom prst="rect">
                      <a:avLst/>
                    </a:prstGeom>
                    <a:noFill/>
                    <a:ln>
                      <a:noFill/>
                    </a:ln>
                  </pic:spPr>
                </pic:pic>
              </a:graphicData>
            </a:graphic>
          </wp:inline>
        </w:drawing>
      </w:r>
      <w:r>
        <w:rPr>
          <w:color w:val="auto"/>
          <w:bdr w:val="single" w:color="000000" w:sz="4" w:space="0"/>
        </w:rPr>
        <w:drawing>
          <wp:inline distT="0" distB="0" distL="114300" distR="114300">
            <wp:extent cx="5617845" cy="7738745"/>
            <wp:effectExtent l="0" t="0" r="1905" b="14605"/>
            <wp:docPr id="36" name="图片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05"/>
                    <pic:cNvPicPr>
                      <a:picLocks noChangeAspect="1"/>
                    </pic:cNvPicPr>
                  </pic:nvPicPr>
                  <pic:blipFill>
                    <a:blip r:embed="rId69"/>
                    <a:stretch>
                      <a:fillRect/>
                    </a:stretch>
                  </pic:blipFill>
                  <pic:spPr>
                    <a:xfrm>
                      <a:off x="0" y="0"/>
                      <a:ext cx="5617845" cy="7738745"/>
                    </a:xfrm>
                    <a:prstGeom prst="rect">
                      <a:avLst/>
                    </a:prstGeom>
                    <a:noFill/>
                    <a:ln>
                      <a:noFill/>
                    </a:ln>
                  </pic:spPr>
                </pic:pic>
              </a:graphicData>
            </a:graphic>
          </wp:inline>
        </w:drawing>
      </w:r>
      <w:r>
        <w:rPr>
          <w:color w:val="auto"/>
          <w:bdr w:val="single" w:color="000000" w:sz="4" w:space="0"/>
        </w:rPr>
        <w:drawing>
          <wp:inline distT="0" distB="0" distL="114300" distR="114300">
            <wp:extent cx="5613400" cy="7862570"/>
            <wp:effectExtent l="0" t="0" r="6350" b="5080"/>
            <wp:docPr id="37" name="图片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09"/>
                    <pic:cNvPicPr>
                      <a:picLocks noChangeAspect="1"/>
                    </pic:cNvPicPr>
                  </pic:nvPicPr>
                  <pic:blipFill>
                    <a:blip r:embed="rId70"/>
                    <a:stretch>
                      <a:fillRect/>
                    </a:stretch>
                  </pic:blipFill>
                  <pic:spPr>
                    <a:xfrm>
                      <a:off x="0" y="0"/>
                      <a:ext cx="5613400" cy="7862570"/>
                    </a:xfrm>
                    <a:prstGeom prst="rect">
                      <a:avLst/>
                    </a:prstGeom>
                    <a:noFill/>
                    <a:ln>
                      <a:noFill/>
                    </a:ln>
                  </pic:spPr>
                </pic:pic>
              </a:graphicData>
            </a:graphic>
          </wp:inline>
        </w:drawing>
      </w:r>
      <w:r>
        <w:rPr>
          <w:color w:val="auto"/>
          <w:bdr w:val="single" w:color="000000" w:sz="4" w:space="0"/>
        </w:rPr>
        <w:drawing>
          <wp:inline distT="0" distB="0" distL="114300" distR="114300">
            <wp:extent cx="5624195" cy="7600315"/>
            <wp:effectExtent l="0" t="0" r="14605" b="635"/>
            <wp:docPr id="38" name="图片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07"/>
                    <pic:cNvPicPr>
                      <a:picLocks noChangeAspect="1"/>
                    </pic:cNvPicPr>
                  </pic:nvPicPr>
                  <pic:blipFill>
                    <a:blip r:embed="rId71"/>
                    <a:stretch>
                      <a:fillRect/>
                    </a:stretch>
                  </pic:blipFill>
                  <pic:spPr>
                    <a:xfrm>
                      <a:off x="0" y="0"/>
                      <a:ext cx="5624195" cy="7600315"/>
                    </a:xfrm>
                    <a:prstGeom prst="rect">
                      <a:avLst/>
                    </a:prstGeom>
                    <a:noFill/>
                    <a:ln>
                      <a:noFill/>
                    </a:ln>
                  </pic:spPr>
                </pic:pic>
              </a:graphicData>
            </a:graphic>
          </wp:inline>
        </w:drawing>
      </w:r>
    </w:p>
    <w:p w14:paraId="4DF57F71">
      <w:pPr>
        <w:pStyle w:val="4"/>
        <w:numPr>
          <w:ilvl w:val="2"/>
          <w:numId w:val="0"/>
        </w:numPr>
        <w:ind w:firstLine="250" w:firstLineChars="100"/>
        <w:rPr>
          <w:rFonts w:hint="eastAsia"/>
          <w:color w:val="auto"/>
          <w:highlight w:val="none"/>
          <w:lang w:eastAsia="zh-CN"/>
        </w:rPr>
      </w:pPr>
      <w:r>
        <w:rPr>
          <w:rFonts w:hint="eastAsia"/>
          <w:color w:val="auto"/>
          <w:highlight w:val="none"/>
        </w:rPr>
        <w:t>附件</w:t>
      </w:r>
      <w:r>
        <w:rPr>
          <w:rFonts w:hint="eastAsia" w:ascii="Times New Roman" w:hAnsi="Times New Roman" w:cs="Times New Roman"/>
          <w:color w:val="auto"/>
          <w:highlight w:val="none"/>
          <w:lang w:val="en-US" w:eastAsia="zh-CN"/>
        </w:rPr>
        <w:t>4</w:t>
      </w:r>
      <w:r>
        <w:rPr>
          <w:rFonts w:hint="eastAsia"/>
          <w:color w:val="auto"/>
          <w:highlight w:val="none"/>
        </w:rPr>
        <w:t xml:space="preserve"> </w:t>
      </w:r>
      <w:r>
        <w:rPr>
          <w:rFonts w:hint="eastAsia"/>
          <w:color w:val="auto"/>
          <w:highlight w:val="none"/>
          <w:lang w:eastAsia="zh-CN"/>
        </w:rPr>
        <w:t>用地租赁合同</w:t>
      </w:r>
    </w:p>
    <w:p w14:paraId="33C910EE">
      <w:pPr>
        <w:jc w:val="both"/>
        <w:rPr>
          <w:color w:val="auto"/>
        </w:rPr>
        <w:sectPr>
          <w:pgSz w:w="11905" w:h="16838"/>
          <w:pgMar w:top="1361" w:right="1531" w:bottom="1361" w:left="1531" w:header="851" w:footer="992" w:gutter="0"/>
          <w:pgNumType w:fmt="decimal"/>
          <w:cols w:space="720" w:num="1"/>
          <w:docGrid w:type="linesAndChars" w:linePitch="382" w:charSpace="112"/>
        </w:sectPr>
      </w:pPr>
      <w:r>
        <w:rPr>
          <w:color w:val="auto"/>
        </w:rPr>
        <w:drawing>
          <wp:inline distT="0" distB="0" distL="114300" distR="114300">
            <wp:extent cx="5567680" cy="7880350"/>
            <wp:effectExtent l="0" t="0" r="13970" b="6350"/>
            <wp:docPr id="39" name="图片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1"/>
                    <pic:cNvPicPr>
                      <a:picLocks noChangeAspect="1"/>
                    </pic:cNvPicPr>
                  </pic:nvPicPr>
                  <pic:blipFill>
                    <a:blip r:embed="rId72"/>
                    <a:stretch>
                      <a:fillRect/>
                    </a:stretch>
                  </pic:blipFill>
                  <pic:spPr>
                    <a:xfrm>
                      <a:off x="0" y="0"/>
                      <a:ext cx="5567680" cy="7880350"/>
                    </a:xfrm>
                    <a:prstGeom prst="rect">
                      <a:avLst/>
                    </a:prstGeom>
                    <a:noFill/>
                    <a:ln>
                      <a:noFill/>
                    </a:ln>
                  </pic:spPr>
                </pic:pic>
              </a:graphicData>
            </a:graphic>
          </wp:inline>
        </w:drawing>
      </w:r>
      <w:r>
        <w:rPr>
          <w:color w:val="auto"/>
        </w:rPr>
        <w:drawing>
          <wp:inline distT="0" distB="0" distL="114300" distR="114300">
            <wp:extent cx="5617845" cy="7981315"/>
            <wp:effectExtent l="0" t="0" r="1905" b="635"/>
            <wp:docPr id="40" name="图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70"/>
                    <pic:cNvPicPr>
                      <a:picLocks noChangeAspect="1"/>
                    </pic:cNvPicPr>
                  </pic:nvPicPr>
                  <pic:blipFill>
                    <a:blip r:embed="rId73"/>
                    <a:stretch>
                      <a:fillRect/>
                    </a:stretch>
                  </pic:blipFill>
                  <pic:spPr>
                    <a:xfrm>
                      <a:off x="0" y="0"/>
                      <a:ext cx="5617845" cy="7981315"/>
                    </a:xfrm>
                    <a:prstGeom prst="rect">
                      <a:avLst/>
                    </a:prstGeom>
                    <a:noFill/>
                    <a:ln>
                      <a:noFill/>
                    </a:ln>
                  </pic:spPr>
                </pic:pic>
              </a:graphicData>
            </a:graphic>
          </wp:inline>
        </w:drawing>
      </w:r>
      <w:r>
        <w:rPr>
          <w:color w:val="auto"/>
        </w:rPr>
        <w:drawing>
          <wp:inline distT="0" distB="0" distL="114300" distR="114300">
            <wp:extent cx="5612765" cy="8173720"/>
            <wp:effectExtent l="0" t="0" r="6985" b="17780"/>
            <wp:docPr id="41"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64"/>
                    <pic:cNvPicPr>
                      <a:picLocks noChangeAspect="1"/>
                    </pic:cNvPicPr>
                  </pic:nvPicPr>
                  <pic:blipFill>
                    <a:blip r:embed="rId74"/>
                    <a:stretch>
                      <a:fillRect/>
                    </a:stretch>
                  </pic:blipFill>
                  <pic:spPr>
                    <a:xfrm>
                      <a:off x="0" y="0"/>
                      <a:ext cx="5612765" cy="8173720"/>
                    </a:xfrm>
                    <a:prstGeom prst="rect">
                      <a:avLst/>
                    </a:prstGeom>
                    <a:noFill/>
                    <a:ln>
                      <a:noFill/>
                    </a:ln>
                  </pic:spPr>
                </pic:pic>
              </a:graphicData>
            </a:graphic>
          </wp:inline>
        </w:drawing>
      </w:r>
      <w:r>
        <w:rPr>
          <w:color w:val="auto"/>
        </w:rPr>
        <w:drawing>
          <wp:inline distT="0" distB="0" distL="114300" distR="114300">
            <wp:extent cx="5607050" cy="8602980"/>
            <wp:effectExtent l="0" t="0" r="12700" b="7620"/>
            <wp:docPr id="42"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65"/>
                    <pic:cNvPicPr>
                      <a:picLocks noChangeAspect="1"/>
                    </pic:cNvPicPr>
                  </pic:nvPicPr>
                  <pic:blipFill>
                    <a:blip r:embed="rId75"/>
                    <a:stretch>
                      <a:fillRect/>
                    </a:stretch>
                  </pic:blipFill>
                  <pic:spPr>
                    <a:xfrm>
                      <a:off x="0" y="0"/>
                      <a:ext cx="5607050" cy="8602980"/>
                    </a:xfrm>
                    <a:prstGeom prst="rect">
                      <a:avLst/>
                    </a:prstGeom>
                    <a:noFill/>
                    <a:ln>
                      <a:noFill/>
                    </a:ln>
                  </pic:spPr>
                </pic:pic>
              </a:graphicData>
            </a:graphic>
          </wp:inline>
        </w:drawing>
      </w:r>
      <w:r>
        <w:rPr>
          <w:color w:val="auto"/>
        </w:rPr>
        <w:drawing>
          <wp:inline distT="0" distB="0" distL="114300" distR="114300">
            <wp:extent cx="5623560" cy="8397240"/>
            <wp:effectExtent l="0" t="0" r="15240" b="3810"/>
            <wp:docPr id="43"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66"/>
                    <pic:cNvPicPr>
                      <a:picLocks noChangeAspect="1"/>
                    </pic:cNvPicPr>
                  </pic:nvPicPr>
                  <pic:blipFill>
                    <a:blip r:embed="rId76"/>
                    <a:stretch>
                      <a:fillRect/>
                    </a:stretch>
                  </pic:blipFill>
                  <pic:spPr>
                    <a:xfrm>
                      <a:off x="0" y="0"/>
                      <a:ext cx="5623560" cy="8397240"/>
                    </a:xfrm>
                    <a:prstGeom prst="rect">
                      <a:avLst/>
                    </a:prstGeom>
                    <a:noFill/>
                    <a:ln>
                      <a:noFill/>
                    </a:ln>
                  </pic:spPr>
                </pic:pic>
              </a:graphicData>
            </a:graphic>
          </wp:inline>
        </w:drawing>
      </w:r>
      <w:r>
        <w:rPr>
          <w:color w:val="auto"/>
        </w:rPr>
        <w:drawing>
          <wp:inline distT="0" distB="0" distL="114300" distR="114300">
            <wp:extent cx="5627370" cy="8270240"/>
            <wp:effectExtent l="0" t="0" r="11430" b="16510"/>
            <wp:docPr id="44" name="图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71"/>
                    <pic:cNvPicPr>
                      <a:picLocks noChangeAspect="1"/>
                    </pic:cNvPicPr>
                  </pic:nvPicPr>
                  <pic:blipFill>
                    <a:blip r:embed="rId77"/>
                    <a:stretch>
                      <a:fillRect/>
                    </a:stretch>
                  </pic:blipFill>
                  <pic:spPr>
                    <a:xfrm>
                      <a:off x="0" y="0"/>
                      <a:ext cx="5627370" cy="8270240"/>
                    </a:xfrm>
                    <a:prstGeom prst="rect">
                      <a:avLst/>
                    </a:prstGeom>
                    <a:noFill/>
                    <a:ln>
                      <a:noFill/>
                    </a:ln>
                  </pic:spPr>
                </pic:pic>
              </a:graphicData>
            </a:graphic>
          </wp:inline>
        </w:drawing>
      </w:r>
      <w:r>
        <w:rPr>
          <w:color w:val="auto"/>
        </w:rPr>
        <w:drawing>
          <wp:inline distT="0" distB="0" distL="114300" distR="114300">
            <wp:extent cx="5628640" cy="8371205"/>
            <wp:effectExtent l="0" t="0" r="10160" b="10795"/>
            <wp:docPr id="45"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68"/>
                    <pic:cNvPicPr>
                      <a:picLocks noChangeAspect="1"/>
                    </pic:cNvPicPr>
                  </pic:nvPicPr>
                  <pic:blipFill>
                    <a:blip r:embed="rId78"/>
                    <a:stretch>
                      <a:fillRect/>
                    </a:stretch>
                  </pic:blipFill>
                  <pic:spPr>
                    <a:xfrm>
                      <a:off x="0" y="0"/>
                      <a:ext cx="5628640" cy="8371205"/>
                    </a:xfrm>
                    <a:prstGeom prst="rect">
                      <a:avLst/>
                    </a:prstGeom>
                    <a:noFill/>
                    <a:ln>
                      <a:noFill/>
                    </a:ln>
                  </pic:spPr>
                </pic:pic>
              </a:graphicData>
            </a:graphic>
          </wp:inline>
        </w:drawing>
      </w:r>
      <w:r>
        <w:rPr>
          <w:color w:val="auto"/>
        </w:rPr>
        <w:drawing>
          <wp:inline distT="0" distB="0" distL="114300" distR="114300">
            <wp:extent cx="5617845" cy="8475980"/>
            <wp:effectExtent l="0" t="0" r="1905" b="1270"/>
            <wp:docPr id="46" name="图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272"/>
                    <pic:cNvPicPr>
                      <a:picLocks noChangeAspect="1"/>
                    </pic:cNvPicPr>
                  </pic:nvPicPr>
                  <pic:blipFill>
                    <a:blip r:embed="rId79"/>
                    <a:stretch>
                      <a:fillRect/>
                    </a:stretch>
                  </pic:blipFill>
                  <pic:spPr>
                    <a:xfrm>
                      <a:off x="0" y="0"/>
                      <a:ext cx="5617845" cy="8475980"/>
                    </a:xfrm>
                    <a:prstGeom prst="rect">
                      <a:avLst/>
                    </a:prstGeom>
                    <a:noFill/>
                    <a:ln>
                      <a:noFill/>
                    </a:ln>
                  </pic:spPr>
                </pic:pic>
              </a:graphicData>
            </a:graphic>
          </wp:inline>
        </w:drawing>
      </w:r>
    </w:p>
    <w:p w14:paraId="76157961">
      <w:pPr>
        <w:pStyle w:val="4"/>
        <w:numPr>
          <w:ilvl w:val="2"/>
          <w:numId w:val="0"/>
        </w:numPr>
        <w:rPr>
          <w:rFonts w:hint="eastAsia"/>
          <w:color w:val="auto"/>
          <w:lang w:eastAsia="zh-CN"/>
        </w:rPr>
      </w:pPr>
      <w:r>
        <w:rPr>
          <w:rFonts w:hint="eastAsia"/>
          <w:color w:val="auto"/>
          <w:highlight w:val="none"/>
        </w:rPr>
        <w:t>附件</w:t>
      </w:r>
      <w:r>
        <w:rPr>
          <w:rFonts w:hint="default" w:ascii="Times New Roman" w:hAnsi="Times New Roman" w:cs="Times New Roman"/>
          <w:color w:val="auto"/>
          <w:highlight w:val="none"/>
          <w:lang w:val="en-US" w:eastAsia="zh-CN"/>
        </w:rPr>
        <w:t>5</w:t>
      </w:r>
      <w:r>
        <w:rPr>
          <w:rFonts w:hint="eastAsia"/>
          <w:color w:val="auto"/>
          <w:highlight w:val="none"/>
        </w:rPr>
        <w:t xml:space="preserve"> </w:t>
      </w:r>
      <w:r>
        <w:rPr>
          <w:rFonts w:hint="eastAsia"/>
          <w:color w:val="auto"/>
          <w:highlight w:val="none"/>
          <w:lang w:eastAsia="zh-CN"/>
        </w:rPr>
        <w:t>土地证</w:t>
      </w:r>
    </w:p>
    <w:p w14:paraId="07EE7950">
      <w:pPr>
        <w:jc w:val="both"/>
        <w:rPr>
          <w:rFonts w:hint="eastAsia" w:eastAsia="宋体"/>
          <w:color w:val="auto"/>
          <w:lang w:eastAsia="zh-CN"/>
        </w:rPr>
      </w:pPr>
      <w:r>
        <w:rPr>
          <w:rFonts w:hint="eastAsia" w:eastAsia="宋体"/>
          <w:color w:val="auto"/>
          <w:lang w:eastAsia="zh-CN"/>
        </w:rPr>
        <w:drawing>
          <wp:inline distT="0" distB="0" distL="114300" distR="114300">
            <wp:extent cx="5606415" cy="4203700"/>
            <wp:effectExtent l="0" t="0" r="13335" b="6350"/>
            <wp:docPr id="47" name="图片 392" descr="0a508a6333b1451f28318c3317e0a78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392" descr="0a508a6333b1451f28318c3317e0a78d"/>
                    <pic:cNvPicPr>
                      <a:picLocks noChangeAspect="1"/>
                    </pic:cNvPicPr>
                  </pic:nvPicPr>
                  <pic:blipFill>
                    <a:blip r:embed="rId80"/>
                    <a:stretch>
                      <a:fillRect/>
                    </a:stretch>
                  </pic:blipFill>
                  <pic:spPr>
                    <a:xfrm>
                      <a:off x="0" y="0"/>
                      <a:ext cx="5606415" cy="4203700"/>
                    </a:xfrm>
                    <a:prstGeom prst="rect">
                      <a:avLst/>
                    </a:prstGeom>
                    <a:noFill/>
                    <a:ln>
                      <a:noFill/>
                    </a:ln>
                  </pic:spPr>
                </pic:pic>
              </a:graphicData>
            </a:graphic>
          </wp:inline>
        </w:drawing>
      </w:r>
      <w:r>
        <w:rPr>
          <w:rFonts w:hint="eastAsia" w:eastAsia="宋体"/>
          <w:color w:val="auto"/>
          <w:lang w:eastAsia="zh-CN"/>
        </w:rPr>
        <w:drawing>
          <wp:inline distT="0" distB="0" distL="114300" distR="114300">
            <wp:extent cx="5606415" cy="4203700"/>
            <wp:effectExtent l="0" t="0" r="13335" b="6350"/>
            <wp:docPr id="48" name="图片 393" descr="8df531595536cb408a58ab0f96b0e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393" descr="8df531595536cb408a58ab0f96b0e505"/>
                    <pic:cNvPicPr>
                      <a:picLocks noChangeAspect="1"/>
                    </pic:cNvPicPr>
                  </pic:nvPicPr>
                  <pic:blipFill>
                    <a:blip r:embed="rId81"/>
                    <a:stretch>
                      <a:fillRect/>
                    </a:stretch>
                  </pic:blipFill>
                  <pic:spPr>
                    <a:xfrm>
                      <a:off x="0" y="0"/>
                      <a:ext cx="5606415" cy="4203700"/>
                    </a:xfrm>
                    <a:prstGeom prst="rect">
                      <a:avLst/>
                    </a:prstGeom>
                    <a:noFill/>
                    <a:ln>
                      <a:noFill/>
                    </a:ln>
                  </pic:spPr>
                </pic:pic>
              </a:graphicData>
            </a:graphic>
          </wp:inline>
        </w:drawing>
      </w:r>
      <w:r>
        <w:rPr>
          <w:rFonts w:hint="eastAsia" w:eastAsia="宋体"/>
          <w:color w:val="auto"/>
          <w:lang w:eastAsia="zh-CN"/>
        </w:rPr>
        <w:drawing>
          <wp:inline distT="0" distB="0" distL="114300" distR="114300">
            <wp:extent cx="5606415" cy="4203700"/>
            <wp:effectExtent l="0" t="0" r="13335" b="6350"/>
            <wp:docPr id="49" name="图片 394" descr="abbff454cf8df4cc5113568346fa0f9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394" descr="abbff454cf8df4cc5113568346fa0f9d"/>
                    <pic:cNvPicPr>
                      <a:picLocks noChangeAspect="1"/>
                    </pic:cNvPicPr>
                  </pic:nvPicPr>
                  <pic:blipFill>
                    <a:blip r:embed="rId82"/>
                    <a:stretch>
                      <a:fillRect/>
                    </a:stretch>
                  </pic:blipFill>
                  <pic:spPr>
                    <a:xfrm>
                      <a:off x="0" y="0"/>
                      <a:ext cx="5606415" cy="4203700"/>
                    </a:xfrm>
                    <a:prstGeom prst="rect">
                      <a:avLst/>
                    </a:prstGeom>
                    <a:noFill/>
                    <a:ln>
                      <a:noFill/>
                    </a:ln>
                  </pic:spPr>
                </pic:pic>
              </a:graphicData>
            </a:graphic>
          </wp:inline>
        </w:drawing>
      </w:r>
      <w:r>
        <w:rPr>
          <w:rFonts w:hint="eastAsia" w:eastAsia="宋体"/>
          <w:color w:val="auto"/>
          <w:lang w:eastAsia="zh-CN"/>
        </w:rPr>
        <w:drawing>
          <wp:inline distT="0" distB="0" distL="114300" distR="114300">
            <wp:extent cx="5606415" cy="4203700"/>
            <wp:effectExtent l="0" t="0" r="13335" b="6350"/>
            <wp:docPr id="50" name="图片 395" descr="fd0b1937a5825cf22168a136eb4e2b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395" descr="fd0b1937a5825cf22168a136eb4e2b63"/>
                    <pic:cNvPicPr>
                      <a:picLocks noChangeAspect="1"/>
                    </pic:cNvPicPr>
                  </pic:nvPicPr>
                  <pic:blipFill>
                    <a:blip r:embed="rId83"/>
                    <a:stretch>
                      <a:fillRect/>
                    </a:stretch>
                  </pic:blipFill>
                  <pic:spPr>
                    <a:xfrm>
                      <a:off x="0" y="0"/>
                      <a:ext cx="5606415" cy="4203700"/>
                    </a:xfrm>
                    <a:prstGeom prst="rect">
                      <a:avLst/>
                    </a:prstGeom>
                    <a:noFill/>
                    <a:ln>
                      <a:noFill/>
                    </a:ln>
                  </pic:spPr>
                </pic:pic>
              </a:graphicData>
            </a:graphic>
          </wp:inline>
        </w:drawing>
      </w:r>
    </w:p>
    <w:p w14:paraId="32C59F48">
      <w:pPr>
        <w:jc w:val="both"/>
        <w:rPr>
          <w:color w:val="auto"/>
        </w:rPr>
      </w:pPr>
    </w:p>
    <w:p w14:paraId="030509AC">
      <w:pPr>
        <w:pStyle w:val="4"/>
        <w:numPr>
          <w:ilvl w:val="2"/>
          <w:numId w:val="0"/>
        </w:numPr>
        <w:rPr>
          <w:rFonts w:hint="eastAsia"/>
          <w:color w:val="auto"/>
          <w:highlight w:val="none"/>
        </w:rPr>
        <w:sectPr>
          <w:pgSz w:w="11905" w:h="16838"/>
          <w:pgMar w:top="1361" w:right="1531" w:bottom="1361" w:left="1531" w:header="851" w:footer="992" w:gutter="0"/>
          <w:pgNumType w:fmt="decimal"/>
          <w:cols w:space="720" w:num="1"/>
          <w:docGrid w:type="linesAndChars" w:linePitch="382" w:charSpace="112"/>
        </w:sectPr>
      </w:pPr>
    </w:p>
    <w:p w14:paraId="62651FF0">
      <w:pPr>
        <w:pStyle w:val="4"/>
        <w:numPr>
          <w:ilvl w:val="2"/>
          <w:numId w:val="0"/>
        </w:numPr>
        <w:rPr>
          <w:rFonts w:hint="eastAsia"/>
          <w:color w:val="auto"/>
          <w:highlight w:val="none"/>
          <w:lang w:eastAsia="zh-CN"/>
        </w:rPr>
      </w:pPr>
      <w:r>
        <w:rPr>
          <w:rFonts w:hint="eastAsia"/>
          <w:color w:val="auto"/>
          <w:highlight w:val="none"/>
        </w:rPr>
        <w:t>附件</w:t>
      </w:r>
      <w:r>
        <w:rPr>
          <w:rFonts w:hint="eastAsia" w:ascii="Times New Roman" w:hAnsi="Times New Roman" w:cs="Times New Roman"/>
          <w:color w:val="auto"/>
          <w:highlight w:val="none"/>
          <w:lang w:val="en-US" w:eastAsia="zh-CN"/>
        </w:rPr>
        <w:t>6</w:t>
      </w:r>
      <w:r>
        <w:rPr>
          <w:rFonts w:hint="eastAsia"/>
          <w:color w:val="auto"/>
          <w:highlight w:val="none"/>
        </w:rPr>
        <w:t xml:space="preserve"> </w:t>
      </w:r>
      <w:r>
        <w:rPr>
          <w:rFonts w:hint="eastAsia"/>
          <w:color w:val="auto"/>
          <w:highlight w:val="none"/>
          <w:lang w:eastAsia="zh-CN"/>
        </w:rPr>
        <w:t>营业执照</w:t>
      </w:r>
    </w:p>
    <w:p w14:paraId="2A230882">
      <w:pPr>
        <w:jc w:val="both"/>
        <w:rPr>
          <w:rFonts w:hint="eastAsia" w:eastAsia="宋体"/>
          <w:color w:val="auto"/>
          <w:highlight w:val="none"/>
          <w:lang w:eastAsia="zh-CN"/>
        </w:rPr>
      </w:pPr>
      <w:r>
        <w:rPr>
          <w:rFonts w:hint="eastAsia" w:eastAsia="宋体"/>
          <w:color w:val="auto"/>
          <w:highlight w:val="none"/>
          <w:lang w:eastAsia="zh-CN"/>
        </w:rPr>
        <w:drawing>
          <wp:inline distT="0" distB="0" distL="114300" distR="114300">
            <wp:extent cx="5613400" cy="3968750"/>
            <wp:effectExtent l="0" t="0" r="6350" b="12700"/>
            <wp:docPr id="51" name="图片 417" descr="45af48d6108c36328724277871008b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417" descr="45af48d6108c36328724277871008bdb"/>
                    <pic:cNvPicPr>
                      <a:picLocks noChangeAspect="1"/>
                    </pic:cNvPicPr>
                  </pic:nvPicPr>
                  <pic:blipFill>
                    <a:blip r:embed="rId84"/>
                    <a:stretch>
                      <a:fillRect/>
                    </a:stretch>
                  </pic:blipFill>
                  <pic:spPr>
                    <a:xfrm>
                      <a:off x="0" y="0"/>
                      <a:ext cx="5613400" cy="3968750"/>
                    </a:xfrm>
                    <a:prstGeom prst="rect">
                      <a:avLst/>
                    </a:prstGeom>
                    <a:noFill/>
                    <a:ln>
                      <a:noFill/>
                    </a:ln>
                  </pic:spPr>
                </pic:pic>
              </a:graphicData>
            </a:graphic>
          </wp:inline>
        </w:drawing>
      </w:r>
    </w:p>
    <w:p w14:paraId="29C54546">
      <w:pPr>
        <w:jc w:val="both"/>
        <w:rPr>
          <w:rFonts w:hint="eastAsia" w:eastAsia="宋体"/>
          <w:color w:val="auto"/>
          <w:highlight w:val="none"/>
          <w:lang w:eastAsia="zh-CN"/>
        </w:rPr>
      </w:pPr>
    </w:p>
    <w:p w14:paraId="7D88A602">
      <w:pPr>
        <w:jc w:val="both"/>
        <w:rPr>
          <w:rFonts w:hint="eastAsia" w:eastAsia="宋体"/>
          <w:color w:val="auto"/>
          <w:highlight w:val="none"/>
          <w:lang w:eastAsia="zh-CN"/>
        </w:rPr>
        <w:sectPr>
          <w:pgSz w:w="11905" w:h="16838"/>
          <w:pgMar w:top="1361" w:right="1531" w:bottom="1361" w:left="1531" w:header="851" w:footer="992" w:gutter="0"/>
          <w:pgNumType w:fmt="decimal"/>
          <w:cols w:space="720" w:num="1"/>
          <w:docGrid w:type="linesAndChars" w:linePitch="382" w:charSpace="112"/>
        </w:sectPr>
      </w:pPr>
      <w:r>
        <w:drawing>
          <wp:inline distT="0" distB="0" distL="114300" distR="114300">
            <wp:extent cx="5614670" cy="3923665"/>
            <wp:effectExtent l="0" t="0" r="5080" b="635"/>
            <wp:docPr id="52" name="图片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427"/>
                    <pic:cNvPicPr>
                      <a:picLocks noChangeAspect="1"/>
                    </pic:cNvPicPr>
                  </pic:nvPicPr>
                  <pic:blipFill>
                    <a:blip r:embed="rId85"/>
                    <a:stretch>
                      <a:fillRect/>
                    </a:stretch>
                  </pic:blipFill>
                  <pic:spPr>
                    <a:xfrm>
                      <a:off x="0" y="0"/>
                      <a:ext cx="5614670" cy="3923665"/>
                    </a:xfrm>
                    <a:prstGeom prst="rect">
                      <a:avLst/>
                    </a:prstGeom>
                    <a:noFill/>
                    <a:ln>
                      <a:noFill/>
                    </a:ln>
                  </pic:spPr>
                </pic:pic>
              </a:graphicData>
            </a:graphic>
          </wp:inline>
        </w:drawing>
      </w:r>
    </w:p>
    <w:p w14:paraId="7510520B">
      <w:pPr>
        <w:pStyle w:val="4"/>
        <w:numPr>
          <w:ilvl w:val="2"/>
          <w:numId w:val="0"/>
        </w:numPr>
        <w:rPr>
          <w:rFonts w:hint="eastAsia"/>
          <w:color w:val="auto"/>
          <w:highlight w:val="none"/>
          <w:lang w:eastAsia="zh-CN"/>
        </w:rPr>
      </w:pPr>
      <w:r>
        <w:rPr>
          <w:rFonts w:hint="eastAsia"/>
          <w:color w:val="auto"/>
          <w:highlight w:val="none"/>
        </w:rPr>
        <w:t>附件</w:t>
      </w:r>
      <w:r>
        <w:rPr>
          <w:rFonts w:hint="default" w:ascii="Times New Roman" w:hAnsi="Times New Roman" w:cs="Times New Roman"/>
          <w:color w:val="auto"/>
          <w:highlight w:val="none"/>
          <w:lang w:val="en-US" w:eastAsia="zh-CN"/>
        </w:rPr>
        <w:t>7</w:t>
      </w:r>
      <w:r>
        <w:rPr>
          <w:rFonts w:hint="eastAsia"/>
          <w:color w:val="auto"/>
          <w:highlight w:val="none"/>
        </w:rPr>
        <w:t xml:space="preserve"> </w:t>
      </w:r>
      <w:r>
        <w:rPr>
          <w:rFonts w:hint="eastAsia"/>
          <w:color w:val="auto"/>
          <w:highlight w:val="none"/>
          <w:lang w:eastAsia="zh-CN"/>
        </w:rPr>
        <w:t>规划环评审查意见</w:t>
      </w:r>
    </w:p>
    <w:p w14:paraId="4A278C39">
      <w:pPr>
        <w:jc w:val="both"/>
        <w:rPr>
          <w:rFonts w:hint="eastAsia"/>
          <w:color w:val="auto"/>
          <w:lang w:eastAsia="zh-CN"/>
        </w:rPr>
        <w:sectPr>
          <w:pgSz w:w="11905" w:h="16838"/>
          <w:pgMar w:top="1361" w:right="1531" w:bottom="1361" w:left="1531" w:header="851" w:footer="992" w:gutter="0"/>
          <w:pgNumType w:fmt="decimal"/>
          <w:cols w:space="720" w:num="1"/>
          <w:docGrid w:type="linesAndChars" w:linePitch="382" w:charSpace="112"/>
        </w:sectPr>
      </w:pPr>
      <w:r>
        <w:rPr>
          <w:rFonts w:hint="eastAsia"/>
          <w:color w:val="auto"/>
          <w:lang w:eastAsia="zh-CN"/>
        </w:rPr>
        <w:drawing>
          <wp:inline distT="0" distB="0" distL="114300" distR="114300">
            <wp:extent cx="5473700" cy="7712075"/>
            <wp:effectExtent l="9525" t="9525" r="22225" b="12700"/>
            <wp:docPr id="53" name="图片 2" descr="第1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 descr="第1页"/>
                    <pic:cNvPicPr>
                      <a:picLocks noChangeAspect="1"/>
                    </pic:cNvPicPr>
                  </pic:nvPicPr>
                  <pic:blipFill>
                    <a:blip r:embed="rId86"/>
                    <a:stretch>
                      <a:fillRect/>
                    </a:stretch>
                  </pic:blipFill>
                  <pic:spPr>
                    <a:xfrm>
                      <a:off x="0" y="0"/>
                      <a:ext cx="5473700" cy="7712075"/>
                    </a:xfrm>
                    <a:prstGeom prst="rect">
                      <a:avLst/>
                    </a:prstGeom>
                    <a:noFill/>
                    <a:ln w="9525" cap="flat" cmpd="sng">
                      <a:solidFill>
                        <a:srgbClr val="000000"/>
                      </a:solidFill>
                      <a:prstDash val="solid"/>
                      <a:round/>
                      <a:headEnd type="none" w="med" len="med"/>
                      <a:tailEnd type="none" w="med" len="med"/>
                    </a:ln>
                  </pic:spPr>
                </pic:pic>
              </a:graphicData>
            </a:graphic>
          </wp:inline>
        </w:drawing>
      </w:r>
      <w:r>
        <w:rPr>
          <w:rFonts w:hint="eastAsia"/>
          <w:color w:val="auto"/>
          <w:lang w:eastAsia="zh-CN"/>
        </w:rPr>
        <w:drawing>
          <wp:inline distT="0" distB="0" distL="114300" distR="114300">
            <wp:extent cx="5584190" cy="7875905"/>
            <wp:effectExtent l="9525" t="9525" r="26035" b="20320"/>
            <wp:docPr id="54" name="图片 276" descr="第2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76" descr="第2页"/>
                    <pic:cNvPicPr>
                      <a:picLocks noChangeAspect="1"/>
                    </pic:cNvPicPr>
                  </pic:nvPicPr>
                  <pic:blipFill>
                    <a:blip r:embed="rId87"/>
                    <a:stretch>
                      <a:fillRect/>
                    </a:stretch>
                  </pic:blipFill>
                  <pic:spPr>
                    <a:xfrm>
                      <a:off x="0" y="0"/>
                      <a:ext cx="5584190" cy="7875905"/>
                    </a:xfrm>
                    <a:prstGeom prst="rect">
                      <a:avLst/>
                    </a:prstGeom>
                    <a:noFill/>
                    <a:ln w="9525" cap="flat" cmpd="sng">
                      <a:solidFill>
                        <a:srgbClr val="000000"/>
                      </a:solidFill>
                      <a:prstDash val="solid"/>
                      <a:round/>
                      <a:headEnd type="none" w="med" len="med"/>
                      <a:tailEnd type="none" w="med" len="med"/>
                    </a:ln>
                  </pic:spPr>
                </pic:pic>
              </a:graphicData>
            </a:graphic>
          </wp:inline>
        </w:drawing>
      </w:r>
      <w:r>
        <w:rPr>
          <w:rFonts w:hint="eastAsia"/>
          <w:color w:val="auto"/>
          <w:lang w:eastAsia="zh-CN"/>
        </w:rPr>
        <w:drawing>
          <wp:inline distT="0" distB="0" distL="114300" distR="114300">
            <wp:extent cx="5600065" cy="7898765"/>
            <wp:effectExtent l="9525" t="9525" r="10160" b="16510"/>
            <wp:docPr id="55" name="图片 4" descr="第3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4" descr="第3页"/>
                    <pic:cNvPicPr>
                      <a:picLocks noChangeAspect="1"/>
                    </pic:cNvPicPr>
                  </pic:nvPicPr>
                  <pic:blipFill>
                    <a:blip r:embed="rId88"/>
                    <a:stretch>
                      <a:fillRect/>
                    </a:stretch>
                  </pic:blipFill>
                  <pic:spPr>
                    <a:xfrm>
                      <a:off x="0" y="0"/>
                      <a:ext cx="5600065" cy="7898765"/>
                    </a:xfrm>
                    <a:prstGeom prst="rect">
                      <a:avLst/>
                    </a:prstGeom>
                    <a:noFill/>
                    <a:ln w="9525" cap="flat" cmpd="sng">
                      <a:solidFill>
                        <a:srgbClr val="000000"/>
                      </a:solidFill>
                      <a:prstDash val="solid"/>
                      <a:round/>
                      <a:headEnd type="none" w="med" len="med"/>
                      <a:tailEnd type="none" w="med" len="med"/>
                    </a:ln>
                  </pic:spPr>
                </pic:pic>
              </a:graphicData>
            </a:graphic>
          </wp:inline>
        </w:drawing>
      </w:r>
      <w:r>
        <w:rPr>
          <w:rFonts w:hint="eastAsia"/>
          <w:color w:val="auto"/>
          <w:lang w:eastAsia="zh-CN"/>
        </w:rPr>
        <w:drawing>
          <wp:inline distT="0" distB="0" distL="114300" distR="114300">
            <wp:extent cx="5597525" cy="7894955"/>
            <wp:effectExtent l="9525" t="9525" r="12700" b="20320"/>
            <wp:docPr id="56" name="图片 5" descr="第4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 descr="第4页"/>
                    <pic:cNvPicPr>
                      <a:picLocks noChangeAspect="1"/>
                    </pic:cNvPicPr>
                  </pic:nvPicPr>
                  <pic:blipFill>
                    <a:blip r:embed="rId89"/>
                    <a:stretch>
                      <a:fillRect/>
                    </a:stretch>
                  </pic:blipFill>
                  <pic:spPr>
                    <a:xfrm>
                      <a:off x="0" y="0"/>
                      <a:ext cx="5597525" cy="7894955"/>
                    </a:xfrm>
                    <a:prstGeom prst="rect">
                      <a:avLst/>
                    </a:prstGeom>
                    <a:noFill/>
                    <a:ln w="9525" cap="flat" cmpd="sng">
                      <a:solidFill>
                        <a:srgbClr val="000000"/>
                      </a:solidFill>
                      <a:prstDash val="solid"/>
                      <a:round/>
                      <a:headEnd type="none" w="med" len="med"/>
                      <a:tailEnd type="none" w="med" len="med"/>
                    </a:ln>
                  </pic:spPr>
                </pic:pic>
              </a:graphicData>
            </a:graphic>
          </wp:inline>
        </w:drawing>
      </w:r>
      <w:r>
        <w:rPr>
          <w:rFonts w:hint="eastAsia"/>
          <w:color w:val="auto"/>
          <w:lang w:eastAsia="zh-CN"/>
        </w:rPr>
        <w:drawing>
          <wp:inline distT="0" distB="0" distL="114300" distR="114300">
            <wp:extent cx="5579745" cy="7870190"/>
            <wp:effectExtent l="9525" t="9525" r="11430" b="26035"/>
            <wp:docPr id="57" name="图片 6" descr="第5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6" descr="第5页"/>
                    <pic:cNvPicPr>
                      <a:picLocks noChangeAspect="1"/>
                    </pic:cNvPicPr>
                  </pic:nvPicPr>
                  <pic:blipFill>
                    <a:blip r:embed="rId90"/>
                    <a:stretch>
                      <a:fillRect/>
                    </a:stretch>
                  </pic:blipFill>
                  <pic:spPr>
                    <a:xfrm>
                      <a:off x="0" y="0"/>
                      <a:ext cx="5579745" cy="7870190"/>
                    </a:xfrm>
                    <a:prstGeom prst="rect">
                      <a:avLst/>
                    </a:prstGeom>
                    <a:noFill/>
                    <a:ln w="9525" cap="flat" cmpd="sng">
                      <a:solidFill>
                        <a:srgbClr val="000000"/>
                      </a:solidFill>
                      <a:prstDash val="solid"/>
                      <a:round/>
                      <a:headEnd type="none" w="med" len="med"/>
                      <a:tailEnd type="none" w="med" len="med"/>
                    </a:ln>
                  </pic:spPr>
                </pic:pic>
              </a:graphicData>
            </a:graphic>
          </wp:inline>
        </w:drawing>
      </w:r>
      <w:r>
        <w:rPr>
          <w:rFonts w:hint="eastAsia"/>
          <w:color w:val="auto"/>
          <w:lang w:eastAsia="zh-CN"/>
        </w:rPr>
        <w:drawing>
          <wp:inline distT="0" distB="0" distL="114300" distR="114300">
            <wp:extent cx="5589905" cy="7884160"/>
            <wp:effectExtent l="9525" t="9525" r="20320" b="12065"/>
            <wp:docPr id="58" name="图片 7" descr="第6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7" descr="第6页"/>
                    <pic:cNvPicPr>
                      <a:picLocks noChangeAspect="1"/>
                    </pic:cNvPicPr>
                  </pic:nvPicPr>
                  <pic:blipFill>
                    <a:blip r:embed="rId91"/>
                    <a:stretch>
                      <a:fillRect/>
                    </a:stretch>
                  </pic:blipFill>
                  <pic:spPr>
                    <a:xfrm>
                      <a:off x="0" y="0"/>
                      <a:ext cx="5589905" cy="7884160"/>
                    </a:xfrm>
                    <a:prstGeom prst="rect">
                      <a:avLst/>
                    </a:prstGeom>
                    <a:noFill/>
                    <a:ln w="9525" cap="flat" cmpd="sng">
                      <a:solidFill>
                        <a:srgbClr val="000000"/>
                      </a:solidFill>
                      <a:prstDash val="solid"/>
                      <a:round/>
                      <a:headEnd type="none" w="med" len="med"/>
                      <a:tailEnd type="none" w="med" len="med"/>
                    </a:ln>
                  </pic:spPr>
                </pic:pic>
              </a:graphicData>
            </a:graphic>
          </wp:inline>
        </w:drawing>
      </w:r>
      <w:r>
        <w:rPr>
          <w:rFonts w:hint="eastAsia"/>
          <w:color w:val="auto"/>
          <w:lang w:eastAsia="zh-CN"/>
        </w:rPr>
        <w:drawing>
          <wp:inline distT="0" distB="0" distL="114300" distR="114300">
            <wp:extent cx="5608320" cy="7909560"/>
            <wp:effectExtent l="9525" t="9525" r="20955" b="24765"/>
            <wp:docPr id="59" name="图片 282" descr="第7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282" descr="第7页"/>
                    <pic:cNvPicPr>
                      <a:picLocks noChangeAspect="1"/>
                    </pic:cNvPicPr>
                  </pic:nvPicPr>
                  <pic:blipFill>
                    <a:blip r:embed="rId92"/>
                    <a:stretch>
                      <a:fillRect/>
                    </a:stretch>
                  </pic:blipFill>
                  <pic:spPr>
                    <a:xfrm>
                      <a:off x="0" y="0"/>
                      <a:ext cx="5608320" cy="7909560"/>
                    </a:xfrm>
                    <a:prstGeom prst="rect">
                      <a:avLst/>
                    </a:prstGeom>
                    <a:noFill/>
                    <a:ln w="9525" cap="flat" cmpd="sng">
                      <a:solidFill>
                        <a:srgbClr val="000000"/>
                      </a:solidFill>
                      <a:prstDash val="solid"/>
                      <a:round/>
                      <a:headEnd type="none" w="med" len="med"/>
                      <a:tailEnd type="none" w="med" len="med"/>
                    </a:ln>
                  </pic:spPr>
                </pic:pic>
              </a:graphicData>
            </a:graphic>
          </wp:inline>
        </w:drawing>
      </w:r>
    </w:p>
    <w:p w14:paraId="4FF6E3C5">
      <w:pPr>
        <w:pStyle w:val="4"/>
        <w:numPr>
          <w:ilvl w:val="2"/>
          <w:numId w:val="0"/>
        </w:numPr>
        <w:rPr>
          <w:rFonts w:hint="eastAsia"/>
          <w:color w:val="auto"/>
          <w:highlight w:val="none"/>
          <w:lang w:eastAsia="zh-CN"/>
        </w:rPr>
      </w:pPr>
      <w:r>
        <w:rPr>
          <w:rFonts w:hint="eastAsia"/>
          <w:color w:val="auto"/>
          <w:highlight w:val="none"/>
        </w:rPr>
        <w:t>附件</w:t>
      </w:r>
      <w:r>
        <w:rPr>
          <w:rFonts w:hint="eastAsia" w:ascii="Times New Roman" w:hAnsi="Times New Roman" w:cs="Times New Roman"/>
          <w:color w:val="auto"/>
          <w:highlight w:val="none"/>
          <w:lang w:val="en-US" w:eastAsia="zh-CN"/>
        </w:rPr>
        <w:t xml:space="preserve">8 </w:t>
      </w:r>
      <w:r>
        <w:rPr>
          <w:rFonts w:hint="eastAsia" w:eastAsia="宋体" w:cs="Times New Roman"/>
          <w:color w:val="auto"/>
          <w:highlight w:val="none"/>
          <w:lang w:eastAsia="zh-CN"/>
        </w:rPr>
        <w:t>关于同意抚顺县产业园区总体规划的批复</w:t>
      </w:r>
    </w:p>
    <w:p w14:paraId="6DE5D995">
      <w:pPr>
        <w:jc w:val="both"/>
        <w:rPr>
          <w:color w:val="auto"/>
        </w:rPr>
        <w:sectPr>
          <w:pgSz w:w="11905" w:h="16838"/>
          <w:pgMar w:top="1361" w:right="1531" w:bottom="1361" w:left="1531" w:header="851" w:footer="992" w:gutter="0"/>
          <w:pgNumType w:fmt="decimal"/>
          <w:cols w:space="720" w:num="1"/>
          <w:docGrid w:type="linesAndChars" w:linePitch="382" w:charSpace="112"/>
        </w:sectPr>
      </w:pPr>
      <w:r>
        <w:rPr>
          <w:color w:val="auto"/>
        </w:rPr>
        <w:drawing>
          <wp:inline distT="0" distB="0" distL="114300" distR="114300">
            <wp:extent cx="5583555" cy="7498715"/>
            <wp:effectExtent l="9525" t="9525" r="26670" b="16510"/>
            <wp:docPr id="60" name="图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284"/>
                    <pic:cNvPicPr>
                      <a:picLocks noChangeAspect="1"/>
                    </pic:cNvPicPr>
                  </pic:nvPicPr>
                  <pic:blipFill>
                    <a:blip r:embed="rId93"/>
                    <a:stretch>
                      <a:fillRect/>
                    </a:stretch>
                  </pic:blipFill>
                  <pic:spPr>
                    <a:xfrm>
                      <a:off x="0" y="0"/>
                      <a:ext cx="5583555" cy="7498715"/>
                    </a:xfrm>
                    <a:prstGeom prst="rect">
                      <a:avLst/>
                    </a:prstGeom>
                    <a:noFill/>
                    <a:ln w="9525" cap="flat" cmpd="sng">
                      <a:solidFill>
                        <a:srgbClr val="000000"/>
                      </a:solidFill>
                      <a:prstDash val="solid"/>
                      <a:round/>
                      <a:headEnd type="none" w="med" len="med"/>
                      <a:tailEnd type="none" w="med" len="med"/>
                    </a:ln>
                  </pic:spPr>
                </pic:pic>
              </a:graphicData>
            </a:graphic>
          </wp:inline>
        </w:drawing>
      </w:r>
      <w:r>
        <w:rPr>
          <w:color w:val="auto"/>
        </w:rPr>
        <w:drawing>
          <wp:inline distT="0" distB="0" distL="114300" distR="114300">
            <wp:extent cx="5605145" cy="7914640"/>
            <wp:effectExtent l="9525" t="9525" r="24130" b="19685"/>
            <wp:docPr id="6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4"/>
                    <pic:cNvPicPr>
                      <a:picLocks noChangeAspect="1"/>
                    </pic:cNvPicPr>
                  </pic:nvPicPr>
                  <pic:blipFill>
                    <a:blip r:embed="rId94"/>
                    <a:stretch>
                      <a:fillRect/>
                    </a:stretch>
                  </pic:blipFill>
                  <pic:spPr>
                    <a:xfrm>
                      <a:off x="0" y="0"/>
                      <a:ext cx="5605145" cy="7914640"/>
                    </a:xfrm>
                    <a:prstGeom prst="rect">
                      <a:avLst/>
                    </a:prstGeom>
                    <a:noFill/>
                    <a:ln w="9525" cap="flat" cmpd="sng">
                      <a:solidFill>
                        <a:srgbClr val="000000"/>
                      </a:solidFill>
                      <a:prstDash val="solid"/>
                      <a:round/>
                      <a:headEnd type="none" w="med" len="med"/>
                      <a:tailEnd type="none" w="med" len="med"/>
                    </a:ln>
                  </pic:spPr>
                </pic:pic>
              </a:graphicData>
            </a:graphic>
          </wp:inline>
        </w:drawing>
      </w:r>
    </w:p>
    <w:p w14:paraId="7F7BEE64">
      <w:pPr>
        <w:pStyle w:val="4"/>
        <w:numPr>
          <w:ilvl w:val="2"/>
          <w:numId w:val="0"/>
        </w:numPr>
        <w:rPr>
          <w:rFonts w:hint="eastAsia" w:eastAsia="宋体" w:cs="Times New Roman"/>
          <w:color w:val="auto"/>
          <w:highlight w:val="none"/>
          <w:lang w:eastAsia="zh-CN"/>
        </w:rPr>
      </w:pPr>
      <w:r>
        <w:rPr>
          <w:rFonts w:hint="eastAsia"/>
          <w:color w:val="auto"/>
          <w:highlight w:val="none"/>
        </w:rPr>
        <w:t>附件</w:t>
      </w:r>
      <w:r>
        <w:rPr>
          <w:rFonts w:hint="eastAsia" w:ascii="Times New Roman" w:hAnsi="Times New Roman" w:cs="Times New Roman"/>
          <w:color w:val="auto"/>
          <w:highlight w:val="none"/>
          <w:lang w:val="en-US" w:eastAsia="zh-CN"/>
        </w:rPr>
        <w:t>9 木工胶、</w:t>
      </w:r>
      <w:r>
        <w:rPr>
          <w:rFonts w:hint="eastAsia" w:eastAsia="宋体" w:cs="Times New Roman"/>
          <w:color w:val="auto"/>
          <w:highlight w:val="none"/>
          <w:lang w:eastAsia="zh-CN"/>
        </w:rPr>
        <w:t>底漆及面漆检测报告</w:t>
      </w:r>
    </w:p>
    <w:p w14:paraId="0D846FAC">
      <w:pPr>
        <w:rPr>
          <w:rFonts w:hint="eastAsia"/>
          <w:color w:val="auto"/>
          <w:lang w:eastAsia="zh-CN"/>
        </w:rPr>
      </w:pPr>
      <w:r>
        <w:rPr>
          <w:color w:val="auto"/>
          <w:bdr w:val="single" w:color="000000" w:sz="4" w:space="0"/>
        </w:rPr>
        <w:drawing>
          <wp:inline distT="0" distB="0" distL="114300" distR="114300">
            <wp:extent cx="5634990" cy="8268970"/>
            <wp:effectExtent l="0" t="0" r="3810" b="17780"/>
            <wp:docPr id="62" name="图片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359"/>
                    <pic:cNvPicPr>
                      <a:picLocks noChangeAspect="1"/>
                    </pic:cNvPicPr>
                  </pic:nvPicPr>
                  <pic:blipFill>
                    <a:blip r:embed="rId95"/>
                    <a:stretch>
                      <a:fillRect/>
                    </a:stretch>
                  </pic:blipFill>
                  <pic:spPr>
                    <a:xfrm>
                      <a:off x="0" y="0"/>
                      <a:ext cx="5634990" cy="8268970"/>
                    </a:xfrm>
                    <a:prstGeom prst="rect">
                      <a:avLst/>
                    </a:prstGeom>
                    <a:noFill/>
                    <a:ln>
                      <a:noFill/>
                    </a:ln>
                  </pic:spPr>
                </pic:pic>
              </a:graphicData>
            </a:graphic>
          </wp:inline>
        </w:drawing>
      </w:r>
      <w:r>
        <w:rPr>
          <w:color w:val="auto"/>
          <w:bdr w:val="single" w:color="000000" w:sz="4" w:space="0"/>
        </w:rPr>
        <w:drawing>
          <wp:inline distT="0" distB="0" distL="114300" distR="114300">
            <wp:extent cx="5615940" cy="8113395"/>
            <wp:effectExtent l="0" t="0" r="3810" b="1905"/>
            <wp:docPr id="63" name="图片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360"/>
                    <pic:cNvPicPr>
                      <a:picLocks noChangeAspect="1"/>
                    </pic:cNvPicPr>
                  </pic:nvPicPr>
                  <pic:blipFill>
                    <a:blip r:embed="rId96"/>
                    <a:stretch>
                      <a:fillRect/>
                    </a:stretch>
                  </pic:blipFill>
                  <pic:spPr>
                    <a:xfrm>
                      <a:off x="0" y="0"/>
                      <a:ext cx="5615940" cy="8113395"/>
                    </a:xfrm>
                    <a:prstGeom prst="rect">
                      <a:avLst/>
                    </a:prstGeom>
                    <a:noFill/>
                    <a:ln>
                      <a:noFill/>
                    </a:ln>
                  </pic:spPr>
                </pic:pic>
              </a:graphicData>
            </a:graphic>
          </wp:inline>
        </w:drawing>
      </w:r>
      <w:r>
        <w:rPr>
          <w:color w:val="auto"/>
          <w:bdr w:val="single" w:color="000000" w:sz="4" w:space="0"/>
        </w:rPr>
        <w:drawing>
          <wp:inline distT="0" distB="0" distL="114300" distR="114300">
            <wp:extent cx="5620385" cy="8180070"/>
            <wp:effectExtent l="0" t="0" r="18415" b="11430"/>
            <wp:docPr id="64" name="图片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358"/>
                    <pic:cNvPicPr>
                      <a:picLocks noChangeAspect="1"/>
                    </pic:cNvPicPr>
                  </pic:nvPicPr>
                  <pic:blipFill>
                    <a:blip r:embed="rId97"/>
                    <a:stretch>
                      <a:fillRect/>
                    </a:stretch>
                  </pic:blipFill>
                  <pic:spPr>
                    <a:xfrm>
                      <a:off x="0" y="0"/>
                      <a:ext cx="5620385" cy="8180070"/>
                    </a:xfrm>
                    <a:prstGeom prst="rect">
                      <a:avLst/>
                    </a:prstGeom>
                    <a:noFill/>
                    <a:ln>
                      <a:noFill/>
                    </a:ln>
                  </pic:spPr>
                </pic:pic>
              </a:graphicData>
            </a:graphic>
          </wp:inline>
        </w:drawing>
      </w:r>
    </w:p>
    <w:p w14:paraId="5FE75483">
      <w:pPr>
        <w:rPr>
          <w:rFonts w:hint="eastAsia"/>
          <w:color w:val="auto"/>
          <w:lang w:eastAsia="zh-CN"/>
        </w:rPr>
      </w:pPr>
      <w:r>
        <w:rPr>
          <w:color w:val="auto"/>
          <w:bdr w:val="single" w:color="000000" w:sz="4" w:space="0"/>
        </w:rPr>
        <w:drawing>
          <wp:inline distT="0" distB="0" distL="114300" distR="114300">
            <wp:extent cx="5608320" cy="7902575"/>
            <wp:effectExtent l="0" t="0" r="11430" b="3175"/>
            <wp:docPr id="65" name="图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287"/>
                    <pic:cNvPicPr>
                      <a:picLocks noChangeAspect="1"/>
                    </pic:cNvPicPr>
                  </pic:nvPicPr>
                  <pic:blipFill>
                    <a:blip r:embed="rId98"/>
                    <a:stretch>
                      <a:fillRect/>
                    </a:stretch>
                  </pic:blipFill>
                  <pic:spPr>
                    <a:xfrm>
                      <a:off x="0" y="0"/>
                      <a:ext cx="5608320" cy="7902575"/>
                    </a:xfrm>
                    <a:prstGeom prst="rect">
                      <a:avLst/>
                    </a:prstGeom>
                    <a:noFill/>
                    <a:ln>
                      <a:noFill/>
                    </a:ln>
                  </pic:spPr>
                </pic:pic>
              </a:graphicData>
            </a:graphic>
          </wp:inline>
        </w:drawing>
      </w:r>
      <w:r>
        <w:rPr>
          <w:color w:val="auto"/>
          <w:bdr w:val="single" w:color="000000" w:sz="4" w:space="0"/>
        </w:rPr>
        <w:drawing>
          <wp:inline distT="0" distB="0" distL="114300" distR="114300">
            <wp:extent cx="5586730" cy="7821295"/>
            <wp:effectExtent l="0" t="0" r="13970" b="8255"/>
            <wp:docPr id="66" name="图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288"/>
                    <pic:cNvPicPr>
                      <a:picLocks noChangeAspect="1"/>
                    </pic:cNvPicPr>
                  </pic:nvPicPr>
                  <pic:blipFill>
                    <a:blip r:embed="rId99"/>
                    <a:stretch>
                      <a:fillRect/>
                    </a:stretch>
                  </pic:blipFill>
                  <pic:spPr>
                    <a:xfrm>
                      <a:off x="0" y="0"/>
                      <a:ext cx="5586730" cy="7821295"/>
                    </a:xfrm>
                    <a:prstGeom prst="rect">
                      <a:avLst/>
                    </a:prstGeom>
                    <a:noFill/>
                    <a:ln>
                      <a:noFill/>
                    </a:ln>
                  </pic:spPr>
                </pic:pic>
              </a:graphicData>
            </a:graphic>
          </wp:inline>
        </w:drawing>
      </w:r>
      <w:r>
        <w:rPr>
          <w:color w:val="auto"/>
          <w:bdr w:val="single" w:color="000000" w:sz="4" w:space="0"/>
        </w:rPr>
        <w:drawing>
          <wp:inline distT="0" distB="0" distL="114300" distR="114300">
            <wp:extent cx="5612765" cy="7675880"/>
            <wp:effectExtent l="0" t="0" r="6985" b="1270"/>
            <wp:docPr id="67" name="图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290"/>
                    <pic:cNvPicPr>
                      <a:picLocks noChangeAspect="1"/>
                    </pic:cNvPicPr>
                  </pic:nvPicPr>
                  <pic:blipFill>
                    <a:blip r:embed="rId100"/>
                    <a:stretch>
                      <a:fillRect/>
                    </a:stretch>
                  </pic:blipFill>
                  <pic:spPr>
                    <a:xfrm>
                      <a:off x="0" y="0"/>
                      <a:ext cx="5612765" cy="7675880"/>
                    </a:xfrm>
                    <a:prstGeom prst="rect">
                      <a:avLst/>
                    </a:prstGeom>
                    <a:noFill/>
                    <a:ln>
                      <a:noFill/>
                    </a:ln>
                  </pic:spPr>
                </pic:pic>
              </a:graphicData>
            </a:graphic>
          </wp:inline>
        </w:drawing>
      </w:r>
      <w:r>
        <w:rPr>
          <w:color w:val="auto"/>
          <w:bdr w:val="single" w:color="000000" w:sz="4" w:space="0"/>
        </w:rPr>
        <w:drawing>
          <wp:inline distT="0" distB="0" distL="114300" distR="114300">
            <wp:extent cx="5624195" cy="7600315"/>
            <wp:effectExtent l="0" t="0" r="14605" b="635"/>
            <wp:docPr id="68" name="图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292"/>
                    <pic:cNvPicPr>
                      <a:picLocks noChangeAspect="1"/>
                    </pic:cNvPicPr>
                  </pic:nvPicPr>
                  <pic:blipFill>
                    <a:blip r:embed="rId101"/>
                    <a:stretch>
                      <a:fillRect/>
                    </a:stretch>
                  </pic:blipFill>
                  <pic:spPr>
                    <a:xfrm>
                      <a:off x="0" y="0"/>
                      <a:ext cx="5624195" cy="7600315"/>
                    </a:xfrm>
                    <a:prstGeom prst="rect">
                      <a:avLst/>
                    </a:prstGeom>
                    <a:noFill/>
                    <a:ln>
                      <a:noFill/>
                    </a:ln>
                  </pic:spPr>
                </pic:pic>
              </a:graphicData>
            </a:graphic>
          </wp:inline>
        </w:drawing>
      </w:r>
      <w:r>
        <w:rPr>
          <w:color w:val="auto"/>
          <w:bdr w:val="single" w:color="000000" w:sz="4" w:space="0"/>
        </w:rPr>
        <w:drawing>
          <wp:inline distT="0" distB="0" distL="114300" distR="114300">
            <wp:extent cx="5549900" cy="7922895"/>
            <wp:effectExtent l="0" t="0" r="12700" b="1905"/>
            <wp:docPr id="69" name="图片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293"/>
                    <pic:cNvPicPr>
                      <a:picLocks noChangeAspect="1"/>
                    </pic:cNvPicPr>
                  </pic:nvPicPr>
                  <pic:blipFill>
                    <a:blip r:embed="rId102"/>
                    <a:stretch>
                      <a:fillRect/>
                    </a:stretch>
                  </pic:blipFill>
                  <pic:spPr>
                    <a:xfrm>
                      <a:off x="0" y="0"/>
                      <a:ext cx="5549900" cy="7922895"/>
                    </a:xfrm>
                    <a:prstGeom prst="rect">
                      <a:avLst/>
                    </a:prstGeom>
                    <a:noFill/>
                    <a:ln>
                      <a:noFill/>
                    </a:ln>
                  </pic:spPr>
                </pic:pic>
              </a:graphicData>
            </a:graphic>
          </wp:inline>
        </w:drawing>
      </w:r>
      <w:r>
        <w:rPr>
          <w:color w:val="auto"/>
          <w:bdr w:val="single" w:color="000000" w:sz="4" w:space="0"/>
        </w:rPr>
        <w:drawing>
          <wp:inline distT="0" distB="0" distL="114300" distR="114300">
            <wp:extent cx="5624830" cy="7868920"/>
            <wp:effectExtent l="0" t="0" r="13970" b="17780"/>
            <wp:docPr id="70" name="图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295"/>
                    <pic:cNvPicPr>
                      <a:picLocks noChangeAspect="1"/>
                    </pic:cNvPicPr>
                  </pic:nvPicPr>
                  <pic:blipFill>
                    <a:blip r:embed="rId103"/>
                    <a:stretch>
                      <a:fillRect/>
                    </a:stretch>
                  </pic:blipFill>
                  <pic:spPr>
                    <a:xfrm>
                      <a:off x="0" y="0"/>
                      <a:ext cx="5624830" cy="7868920"/>
                    </a:xfrm>
                    <a:prstGeom prst="rect">
                      <a:avLst/>
                    </a:prstGeom>
                    <a:noFill/>
                    <a:ln>
                      <a:noFill/>
                    </a:ln>
                  </pic:spPr>
                </pic:pic>
              </a:graphicData>
            </a:graphic>
          </wp:inline>
        </w:drawing>
      </w:r>
      <w:r>
        <w:rPr>
          <w:color w:val="auto"/>
          <w:bdr w:val="single" w:color="000000" w:sz="4" w:space="0"/>
        </w:rPr>
        <w:drawing>
          <wp:inline distT="0" distB="0" distL="114300" distR="114300">
            <wp:extent cx="5585460" cy="7473950"/>
            <wp:effectExtent l="0" t="0" r="15240" b="12700"/>
            <wp:docPr id="71" name="图片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310"/>
                    <pic:cNvPicPr>
                      <a:picLocks noChangeAspect="1"/>
                    </pic:cNvPicPr>
                  </pic:nvPicPr>
                  <pic:blipFill>
                    <a:blip r:embed="rId104"/>
                    <a:stretch>
                      <a:fillRect/>
                    </a:stretch>
                  </pic:blipFill>
                  <pic:spPr>
                    <a:xfrm>
                      <a:off x="0" y="0"/>
                      <a:ext cx="5585460" cy="7473950"/>
                    </a:xfrm>
                    <a:prstGeom prst="rect">
                      <a:avLst/>
                    </a:prstGeom>
                    <a:noFill/>
                    <a:ln>
                      <a:noFill/>
                    </a:ln>
                  </pic:spPr>
                </pic:pic>
              </a:graphicData>
            </a:graphic>
          </wp:inline>
        </w:drawing>
      </w:r>
      <w:r>
        <w:rPr>
          <w:color w:val="auto"/>
          <w:bdr w:val="single" w:color="000000" w:sz="4" w:space="0"/>
        </w:rPr>
        <w:drawing>
          <wp:inline distT="0" distB="0" distL="114300" distR="114300">
            <wp:extent cx="5634355" cy="7746365"/>
            <wp:effectExtent l="0" t="0" r="4445" b="6985"/>
            <wp:docPr id="72" name="图片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297"/>
                    <pic:cNvPicPr>
                      <a:picLocks noChangeAspect="1"/>
                    </pic:cNvPicPr>
                  </pic:nvPicPr>
                  <pic:blipFill>
                    <a:blip r:embed="rId105"/>
                    <a:stretch>
                      <a:fillRect/>
                    </a:stretch>
                  </pic:blipFill>
                  <pic:spPr>
                    <a:xfrm>
                      <a:off x="0" y="0"/>
                      <a:ext cx="5634355" cy="7746365"/>
                    </a:xfrm>
                    <a:prstGeom prst="rect">
                      <a:avLst/>
                    </a:prstGeom>
                    <a:noFill/>
                    <a:ln>
                      <a:noFill/>
                    </a:ln>
                  </pic:spPr>
                </pic:pic>
              </a:graphicData>
            </a:graphic>
          </wp:inline>
        </w:drawing>
      </w:r>
    </w:p>
    <w:p w14:paraId="7EC4E5B4">
      <w:pPr>
        <w:jc w:val="both"/>
        <w:rPr>
          <w:rFonts w:hint="eastAsia"/>
          <w:color w:val="auto"/>
          <w:lang w:eastAsia="zh-CN"/>
        </w:rPr>
        <w:sectPr>
          <w:pgSz w:w="11905" w:h="16838"/>
          <w:pgMar w:top="1361" w:right="1531" w:bottom="1361" w:left="1531" w:header="851" w:footer="992" w:gutter="0"/>
          <w:pgNumType w:fmt="decimal"/>
          <w:cols w:space="720" w:num="1"/>
          <w:docGrid w:type="linesAndChars" w:linePitch="382" w:charSpace="112"/>
        </w:sectPr>
      </w:pPr>
    </w:p>
    <w:p w14:paraId="494952A9">
      <w:pPr>
        <w:pStyle w:val="4"/>
        <w:numPr>
          <w:ilvl w:val="2"/>
          <w:numId w:val="0"/>
        </w:numPr>
        <w:rPr>
          <w:rFonts w:hint="eastAsia" w:eastAsia="宋体" w:cs="Times New Roman"/>
          <w:color w:val="auto"/>
          <w:highlight w:val="none"/>
          <w:lang w:eastAsia="zh-CN"/>
        </w:rPr>
      </w:pPr>
      <w:r>
        <w:rPr>
          <w:rFonts w:hint="eastAsia"/>
          <w:color w:val="auto"/>
          <w:highlight w:val="none"/>
        </w:rPr>
        <w:t>附件</w:t>
      </w:r>
      <w:r>
        <w:rPr>
          <w:rFonts w:hint="eastAsia" w:ascii="Times New Roman" w:hAnsi="Times New Roman" w:cs="Times New Roman"/>
          <w:color w:val="auto"/>
          <w:highlight w:val="none"/>
          <w:lang w:val="en-US" w:eastAsia="zh-CN"/>
        </w:rPr>
        <w:t>10 项目“未批先建”</w:t>
      </w:r>
      <w:r>
        <w:rPr>
          <w:rFonts w:hint="eastAsia" w:eastAsia="宋体" w:cs="Times New Roman"/>
          <w:color w:val="auto"/>
          <w:highlight w:val="none"/>
          <w:lang w:eastAsia="zh-CN"/>
        </w:rPr>
        <w:t>立案审批表</w:t>
      </w:r>
      <w:r>
        <w:rPr>
          <w:color w:val="auto"/>
        </w:rPr>
        <w:drawing>
          <wp:inline distT="0" distB="0" distL="114300" distR="114300">
            <wp:extent cx="5615940" cy="8301990"/>
            <wp:effectExtent l="0" t="0" r="3810" b="3810"/>
            <wp:docPr id="73" name="图片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416"/>
                    <pic:cNvPicPr>
                      <a:picLocks noChangeAspect="1"/>
                    </pic:cNvPicPr>
                  </pic:nvPicPr>
                  <pic:blipFill>
                    <a:blip r:embed="rId106"/>
                    <a:stretch>
                      <a:fillRect/>
                    </a:stretch>
                  </pic:blipFill>
                  <pic:spPr>
                    <a:xfrm>
                      <a:off x="0" y="0"/>
                      <a:ext cx="5615940" cy="8301990"/>
                    </a:xfrm>
                    <a:prstGeom prst="rect">
                      <a:avLst/>
                    </a:prstGeom>
                    <a:noFill/>
                    <a:ln>
                      <a:noFill/>
                    </a:ln>
                  </pic:spPr>
                </pic:pic>
              </a:graphicData>
            </a:graphic>
          </wp:inline>
        </w:drawing>
      </w:r>
    </w:p>
    <w:p w14:paraId="3AB1E927">
      <w:pPr>
        <w:jc w:val="both"/>
        <w:rPr>
          <w:rFonts w:hint="eastAsia"/>
          <w:color w:val="auto"/>
          <w:lang w:eastAsia="zh-CN"/>
        </w:rPr>
      </w:pPr>
      <w:r>
        <w:rPr>
          <w:color w:val="auto"/>
        </w:rPr>
        <w:drawing>
          <wp:inline distT="0" distB="0" distL="114300" distR="114300">
            <wp:extent cx="5630545" cy="5960745"/>
            <wp:effectExtent l="0" t="0" r="8255" b="1905"/>
            <wp:docPr id="74" name="图片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415"/>
                    <pic:cNvPicPr>
                      <a:picLocks noChangeAspect="1"/>
                    </pic:cNvPicPr>
                  </pic:nvPicPr>
                  <pic:blipFill>
                    <a:blip r:embed="rId107"/>
                    <a:stretch>
                      <a:fillRect/>
                    </a:stretch>
                  </pic:blipFill>
                  <pic:spPr>
                    <a:xfrm>
                      <a:off x="0" y="0"/>
                      <a:ext cx="5630545" cy="5960745"/>
                    </a:xfrm>
                    <a:prstGeom prst="rect">
                      <a:avLst/>
                    </a:prstGeom>
                    <a:noFill/>
                    <a:ln>
                      <a:noFill/>
                    </a:ln>
                  </pic:spPr>
                </pic:pic>
              </a:graphicData>
            </a:graphic>
          </wp:inline>
        </w:drawing>
      </w:r>
    </w:p>
    <w:sectPr>
      <w:pgSz w:w="11905" w:h="16838"/>
      <w:pgMar w:top="1361" w:right="1531" w:bottom="1361" w:left="1531" w:header="851" w:footer="992" w:gutter="0"/>
      <w:pgNumType w:fmt="decimal"/>
      <w:cols w:space="720" w:num="1"/>
      <w:docGrid w:type="linesAndChars" w:linePitch="382" w:charSpace="1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AFF" w:usb1="C0007841" w:usb2="00000009" w:usb3="00000000" w:csb0="400001FF" w:csb1="FFFF0000"/>
  </w:font>
  <w:font w:name="宋体">
    <w:panose1 w:val="02010600030101010101"/>
    <w:charset w:val="88"/>
    <w:family w:val="moder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Arial">
    <w:panose1 w:val="020B0604020202020204"/>
    <w:charset w:val="00"/>
    <w:family w:val="swiss"/>
    <w:pitch w:val="default"/>
    <w:sig w:usb0="E0002AFF" w:usb1="C0007843" w:usb2="00000009" w:usb3="00000000" w:csb0="400001FF" w:csb1="FFFF0000"/>
  </w:font>
  <w:font w:name="Cambria">
    <w:panose1 w:val="02040503050406030204"/>
    <w:charset w:val="00"/>
    <w:family w:val="roman"/>
    <w:pitch w:val="default"/>
    <w:sig w:usb0="E00002FF" w:usb1="400004FF" w:usb2="00000000" w:usb3="00000000" w:csb0="2000019F" w:csb1="00000000"/>
  </w:font>
  <w:font w:name="Courier New">
    <w:panose1 w:val="02070309020205020404"/>
    <w:charset w:val="00"/>
    <w:family w:val="modern"/>
    <w:pitch w:val="default"/>
    <w:sig w:usb0="E0002AFF" w:usb1="C0007843" w:usb2="00000009" w:usb3="00000000" w:csb0="400001FF" w:csb1="FFFF0000"/>
  </w:font>
  <w:font w:name="Arial Unicode MS">
    <w:altName w:val="宋体"/>
    <w:panose1 w:val="020B0604020202020204"/>
    <w:charset w:val="86"/>
    <w:family w:val="roman"/>
    <w:pitch w:val="default"/>
    <w:sig w:usb0="FFFFFFFF" w:usb1="E9FFFFFF" w:usb2="0000003F" w:usb3="00000000" w:csb0="603F01FF" w:csb1="FFFF0000"/>
  </w:font>
  <w:font w:name="仿宋_GB2312">
    <w:panose1 w:val="02010609030101010101"/>
    <w:charset w:val="86"/>
    <w:family w:val="modern"/>
    <w:pitch w:val="default"/>
    <w:sig w:usb0="00000001" w:usb1="080E0000" w:usb2="00000000" w:usb3="00000000" w:csb0="00040000" w:csb1="00000000"/>
  </w:font>
  <w:font w:name="仿宋">
    <w:panose1 w:val="02010609060101010101"/>
    <w:charset w:val="86"/>
    <w:family w:val="modern"/>
    <w:pitch w:val="default"/>
    <w:sig w:usb0="800002BF" w:usb1="38CF7CFA" w:usb2="00000016" w:usb3="00000000" w:csb0="00040001" w:csb1="00000000"/>
  </w:font>
  <w:font w:name="Tms Rmn">
    <w:altName w:val="Segoe Print"/>
    <w:panose1 w:val="02020603040505020304"/>
    <w:charset w:val="00"/>
    <w:family w:val="roman"/>
    <w:pitch w:val="default"/>
    <w:sig w:usb0="00000003" w:usb1="00000000" w:usb2="00000000" w:usb3="00000000" w:csb0="00000001" w:csb1="00000000"/>
  </w:font>
  <w:font w:name="方正小标宋_GBK">
    <w:panose1 w:val="03000509000000000000"/>
    <w:charset w:val="86"/>
    <w:family w:val="script"/>
    <w:pitch w:val="default"/>
    <w:sig w:usb0="00000001" w:usb1="080E0000" w:usb2="00000000" w:usb3="00000000" w:csb0="00040000" w:csb1="00000000"/>
  </w:font>
  <w:font w:name="楷体_GB2312">
    <w:altName w:val="楷体"/>
    <w:panose1 w:val="02010609030101010101"/>
    <w:charset w:val="86"/>
    <w:family w:val="modern"/>
    <w:pitch w:val="default"/>
    <w:sig w:usb0="00000000" w:usb1="080E0000" w:usb2="00000010" w:usb3="00000000" w:csb0="00040000" w:csb1="00000000"/>
  </w:font>
  <w:font w:name="Wingdings 2">
    <w:altName w:val="Wingdings"/>
    <w:panose1 w:val="05020102010507070707"/>
    <w:charset w:val="02"/>
    <w:family w:val="roman"/>
    <w:pitch w:val="default"/>
    <w:sig w:usb0="00000000" w:usb1="00000000" w:usb2="00000000" w:usb3="00000000" w:csb0="80000000" w:csb1="00000000"/>
  </w:font>
  <w:font w:name="Wingdings 2">
    <w:altName w:val="Wingdings"/>
    <w:panose1 w:val="00000000000000000000"/>
    <w:charset w:val="00"/>
    <w:family w:val="auto"/>
    <w:pitch w:val="default"/>
    <w:sig w:usb0="00000000" w:usb1="00000000" w:usb2="00000000" w:usb3="00000000" w:csb0="00040001" w:csb1="00000000"/>
  </w:font>
  <w:font w:name="MS Gothic">
    <w:panose1 w:val="020B0609070205080204"/>
    <w:charset w:val="80"/>
    <w:family w:val="modern"/>
    <w:pitch w:val="default"/>
    <w:sig w:usb0="E00002FF" w:usb1="6AC7FDFB" w:usb2="00000012" w:usb3="00000000" w:csb0="4002009F" w:csb1="DFD70000"/>
  </w:font>
  <w:font w:name="time">
    <w:altName w:val="Times New Roman"/>
    <w:panose1 w:val="00000000000000000000"/>
    <w:charset w:val="00"/>
    <w:family w:val="roman"/>
    <w:pitch w:val="default"/>
    <w:sig w:usb0="00000000" w:usb1="00000000" w:usb2="00000000" w:usb3="00000000" w:csb0="00040001" w:csb1="00000000"/>
  </w:font>
  <w:font w:name="楷体">
    <w:panose1 w:val="02010609060101010101"/>
    <w:charset w:val="86"/>
    <w:family w:val="auto"/>
    <w:pitch w:val="default"/>
    <w:sig w:usb0="800002BF" w:usb1="38CF7CFA" w:usb2="00000016" w:usb3="00000000" w:csb0="00040001" w:csb1="00000000"/>
  </w:font>
  <w:font w:name="Kingsoft UE">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41BF05E">
    <w:pPr>
      <w:pStyle w:val="18"/>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B16D2C9">
    <w:pPr>
      <w:pStyle w:val="18"/>
      <w:framePr w:wrap="around" w:vAnchor="text" w:hAnchor="margin" w:xAlign="center" w:y="1"/>
      <w:rPr>
        <w:rStyle w:val="28"/>
      </w:rPr>
    </w:pPr>
    <w:r>
      <w:fldChar w:fldCharType="begin"/>
    </w:r>
    <w:r>
      <w:rPr>
        <w:rStyle w:val="28"/>
      </w:rPr>
      <w:instrText xml:space="preserve">PAGE  </w:instrText>
    </w:r>
    <w:r>
      <w:fldChar w:fldCharType="end"/>
    </w:r>
  </w:p>
  <w:p w14:paraId="4FE3EE2F">
    <w:pPr>
      <w:pStyle w:val="18"/>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085C1F0">
    <w:pPr>
      <w:pStyle w:val="18"/>
      <w:ind w:right="360" w:firstLine="360"/>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75"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11C5B8A8">
                          <w:pPr>
                            <w:pStyle w:val="18"/>
                          </w:pPr>
                          <w:r>
                            <w:fldChar w:fldCharType="begin"/>
                          </w:r>
                          <w:r>
                            <w:instrText xml:space="preserve"> PAGE  \* MERGEFORMAT </w:instrText>
                          </w:r>
                          <w:r>
                            <w:fldChar w:fldCharType="separate"/>
                          </w:r>
                          <w:r>
                            <w:t>3</w:t>
                          </w:r>
                          <w:r>
                            <w:fldChar w:fldCharType="end"/>
                          </w:r>
                        </w:p>
                      </w:txbxContent>
                    </wps:txbx>
                    <wps:bodyPr wrap="none" lIns="0" tIns="0" rIns="0" bIns="0" upright="0">
                      <a:spAutoFit/>
                    </wps:bodyPr>
                  </wps:wsp>
                </a:graphicData>
              </a:graphic>
            </wp:anchor>
          </w:drawing>
        </mc:Choice>
        <mc:Fallback>
          <w:pict>
            <v:shape id="文本框 9"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BtGC23yQEAAJoDAAAOAAAAAAAAAAEAIAAAAB4BAABkcnMvZTJvRG9j&#10;LnhtbFBLBQYAAAAABgAGAFkBAABZBQAAAAA=&#10;">
              <v:fill on="f" focussize="0,0"/>
              <v:stroke on="f"/>
              <v:imagedata o:title=""/>
              <o:lock v:ext="edit" aspectratio="f"/>
              <v:textbox inset="0mm,0mm,0mm,0mm" style="mso-fit-shape-to-text:t;">
                <w:txbxContent>
                  <w:p w14:paraId="11C5B8A8">
                    <w:pPr>
                      <w:pStyle w:val="18"/>
                    </w:pPr>
                    <w:r>
                      <w:fldChar w:fldCharType="begin"/>
                    </w:r>
                    <w:r>
                      <w:instrText xml:space="preserve"> PAGE  \* MERGEFORMAT </w:instrText>
                    </w:r>
                    <w:r>
                      <w:fldChar w:fldCharType="separate"/>
                    </w:r>
                    <w:r>
                      <w:t>3</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pPr>
      <w:r>
        <w:separator/>
      </w:r>
    </w:p>
  </w:footnote>
  <w:footnote w:type="continuationSeparator" w:id="1">
    <w:p>
      <w:pPr>
        <w:spacing w:line="36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487681D"/>
    <w:multiLevelType w:val="singleLevel"/>
    <w:tmpl w:val="8487681D"/>
    <w:lvl w:ilvl="0" w:tentative="0">
      <w:start w:val="3"/>
      <w:numFmt w:val="chineseCounting"/>
      <w:suff w:val="nothing"/>
      <w:lvlText w:val="%1、"/>
      <w:lvlJc w:val="left"/>
      <w:rPr>
        <w:rFonts w:hint="eastAsia"/>
      </w:rPr>
    </w:lvl>
  </w:abstractNum>
  <w:abstractNum w:abstractNumId="1">
    <w:nsid w:val="8FFD5ED8"/>
    <w:multiLevelType w:val="singleLevel"/>
    <w:tmpl w:val="8FFD5ED8"/>
    <w:lvl w:ilvl="0" w:tentative="0">
      <w:start w:val="1"/>
      <w:numFmt w:val="decimal"/>
      <w:suff w:val="nothing"/>
      <w:lvlText w:val="表4-%1"/>
      <w:lvlJc w:val="center"/>
      <w:pPr>
        <w:tabs>
          <w:tab w:val="left" w:pos="0"/>
        </w:tabs>
        <w:ind w:left="0" w:firstLine="0"/>
      </w:pPr>
      <w:rPr>
        <w:rFonts w:hint="default" w:ascii="Times New Roman" w:hAnsi="Times New Roman" w:eastAsia="宋体" w:cs="Times New Roman"/>
        <w:bCs/>
        <w:color w:val="000000"/>
        <w:sz w:val="21"/>
        <w:szCs w:val="21"/>
      </w:rPr>
    </w:lvl>
  </w:abstractNum>
  <w:abstractNum w:abstractNumId="2">
    <w:nsid w:val="95AC9777"/>
    <w:multiLevelType w:val="singleLevel"/>
    <w:tmpl w:val="95AC9777"/>
    <w:lvl w:ilvl="0" w:tentative="0">
      <w:start w:val="1"/>
      <w:numFmt w:val="decimal"/>
      <w:suff w:val="nothing"/>
      <w:lvlText w:val="表1-%1"/>
      <w:lvlJc w:val="left"/>
      <w:pPr>
        <w:tabs>
          <w:tab w:val="left" w:pos="0"/>
        </w:tabs>
        <w:ind w:left="0" w:firstLine="0"/>
      </w:pPr>
      <w:rPr>
        <w:rFonts w:hint="default" w:ascii="Times New Roman" w:hAnsi="Times New Roman" w:eastAsia="宋体" w:cs="Times New Roman"/>
        <w:bCs/>
        <w:sz w:val="21"/>
        <w:szCs w:val="21"/>
      </w:rPr>
    </w:lvl>
  </w:abstractNum>
  <w:abstractNum w:abstractNumId="3">
    <w:nsid w:val="A74E2071"/>
    <w:multiLevelType w:val="singleLevel"/>
    <w:tmpl w:val="A74E2071"/>
    <w:lvl w:ilvl="0" w:tentative="0">
      <w:start w:val="1"/>
      <w:numFmt w:val="bullet"/>
      <w:pStyle w:val="14"/>
      <w:lvlText w:val=""/>
      <w:lvlJc w:val="left"/>
      <w:pPr>
        <w:tabs>
          <w:tab w:val="left" w:pos="2040"/>
        </w:tabs>
        <w:ind w:left="2040" w:hanging="360"/>
      </w:pPr>
      <w:rPr>
        <w:rFonts w:hint="default" w:ascii="Wingdings" w:hAnsi="Wingdings"/>
      </w:rPr>
    </w:lvl>
  </w:abstractNum>
  <w:abstractNum w:abstractNumId="4">
    <w:nsid w:val="AD973057"/>
    <w:multiLevelType w:val="singleLevel"/>
    <w:tmpl w:val="AD973057"/>
    <w:lvl w:ilvl="0" w:tentative="0">
      <w:start w:val="1"/>
      <w:numFmt w:val="decimal"/>
      <w:suff w:val="nothing"/>
      <w:lvlText w:val="%1、"/>
      <w:lvlJc w:val="left"/>
    </w:lvl>
  </w:abstractNum>
  <w:abstractNum w:abstractNumId="5">
    <w:nsid w:val="D296538B"/>
    <w:multiLevelType w:val="singleLevel"/>
    <w:tmpl w:val="D296538B"/>
    <w:lvl w:ilvl="0" w:tentative="0">
      <w:start w:val="1"/>
      <w:numFmt w:val="decimal"/>
      <w:suff w:val="nothing"/>
      <w:lvlText w:val="图4-%1"/>
      <w:lvlJc w:val="center"/>
      <w:pPr>
        <w:tabs>
          <w:tab w:val="left" w:pos="0"/>
        </w:tabs>
        <w:ind w:left="0" w:firstLine="0"/>
      </w:pPr>
      <w:rPr>
        <w:rFonts w:hint="default" w:ascii="Times New Roman" w:hAnsi="Times New Roman" w:eastAsia="宋体" w:cs="Times New Roman"/>
        <w:b/>
        <w:bCs w:val="0"/>
        <w:color w:val="000000"/>
        <w:sz w:val="21"/>
        <w:szCs w:val="21"/>
      </w:rPr>
    </w:lvl>
  </w:abstractNum>
  <w:abstractNum w:abstractNumId="6">
    <w:nsid w:val="E098A944"/>
    <w:multiLevelType w:val="singleLevel"/>
    <w:tmpl w:val="E098A944"/>
    <w:lvl w:ilvl="0" w:tentative="0">
      <w:start w:val="1"/>
      <w:numFmt w:val="chineseCounting"/>
      <w:suff w:val="nothing"/>
      <w:lvlText w:val="（%1）"/>
      <w:lvlJc w:val="left"/>
      <w:rPr>
        <w:rFonts w:hint="eastAsia"/>
      </w:rPr>
    </w:lvl>
  </w:abstractNum>
  <w:abstractNum w:abstractNumId="7">
    <w:nsid w:val="F476B549"/>
    <w:multiLevelType w:val="singleLevel"/>
    <w:tmpl w:val="F476B549"/>
    <w:lvl w:ilvl="0" w:tentative="0">
      <w:start w:val="1"/>
      <w:numFmt w:val="decimal"/>
      <w:suff w:val="space"/>
      <w:lvlText w:val="图2-%1"/>
      <w:lvlJc w:val="left"/>
      <w:pPr>
        <w:tabs>
          <w:tab w:val="left" w:pos="0"/>
        </w:tabs>
      </w:pPr>
      <w:rPr>
        <w:rFonts w:hint="default" w:ascii="Times New Roman" w:hAnsi="Times New Roman" w:eastAsia="Times New Roman" w:cs="Times New Roman"/>
        <w:b/>
        <w:color w:val="auto"/>
        <w:sz w:val="21"/>
        <w:szCs w:val="21"/>
      </w:rPr>
    </w:lvl>
  </w:abstractNum>
  <w:abstractNum w:abstractNumId="8">
    <w:nsid w:val="F4772985"/>
    <w:multiLevelType w:val="singleLevel"/>
    <w:tmpl w:val="F4772985"/>
    <w:lvl w:ilvl="0" w:tentative="0">
      <w:start w:val="6"/>
      <w:numFmt w:val="decimal"/>
      <w:suff w:val="nothing"/>
      <w:lvlText w:val="%1、"/>
      <w:lvlJc w:val="left"/>
    </w:lvl>
  </w:abstractNum>
  <w:abstractNum w:abstractNumId="9">
    <w:nsid w:val="F6BF1695"/>
    <w:multiLevelType w:val="singleLevel"/>
    <w:tmpl w:val="F6BF1695"/>
    <w:lvl w:ilvl="0" w:tentative="0">
      <w:start w:val="1"/>
      <w:numFmt w:val="chineseCounting"/>
      <w:suff w:val="nothing"/>
      <w:lvlText w:val="%1、"/>
      <w:lvlJc w:val="left"/>
      <w:rPr>
        <w:rFonts w:hint="eastAsia"/>
      </w:rPr>
    </w:lvl>
  </w:abstractNum>
  <w:abstractNum w:abstractNumId="10">
    <w:nsid w:val="F70DF250"/>
    <w:multiLevelType w:val="singleLevel"/>
    <w:tmpl w:val="F70DF250"/>
    <w:lvl w:ilvl="0" w:tentative="0">
      <w:start w:val="1"/>
      <w:numFmt w:val="chineseCounting"/>
      <w:suff w:val="nothing"/>
      <w:lvlText w:val="（%1）"/>
      <w:lvlJc w:val="left"/>
      <w:rPr>
        <w:rFonts w:hint="eastAsia"/>
      </w:rPr>
    </w:lvl>
  </w:abstractNum>
  <w:abstractNum w:abstractNumId="11">
    <w:nsid w:val="FE9DD85B"/>
    <w:multiLevelType w:val="singleLevel"/>
    <w:tmpl w:val="FE9DD85B"/>
    <w:lvl w:ilvl="0" w:tentative="0">
      <w:start w:val="1"/>
      <w:numFmt w:val="decimal"/>
      <w:suff w:val="nothing"/>
      <w:lvlText w:val="%1"/>
      <w:lvlJc w:val="left"/>
      <w:pPr>
        <w:ind w:left="0" w:firstLine="0"/>
      </w:pPr>
      <w:rPr>
        <w:rFonts w:hint="default"/>
      </w:rPr>
    </w:lvl>
  </w:abstractNum>
  <w:abstractNum w:abstractNumId="12">
    <w:nsid w:val="08C40961"/>
    <w:multiLevelType w:val="singleLevel"/>
    <w:tmpl w:val="08C40961"/>
    <w:lvl w:ilvl="0" w:tentative="0">
      <w:start w:val="1"/>
      <w:numFmt w:val="decimal"/>
      <w:suff w:val="nothing"/>
      <w:lvlText w:val="%1、"/>
      <w:lvlJc w:val="left"/>
    </w:lvl>
  </w:abstractNum>
  <w:abstractNum w:abstractNumId="13">
    <w:nsid w:val="126A4B2E"/>
    <w:multiLevelType w:val="singleLevel"/>
    <w:tmpl w:val="126A4B2E"/>
    <w:lvl w:ilvl="0" w:tentative="0">
      <w:start w:val="1"/>
      <w:numFmt w:val="decimal"/>
      <w:suff w:val="nothing"/>
      <w:lvlText w:val="%1"/>
      <w:lvlJc w:val="left"/>
      <w:pPr>
        <w:ind w:left="0" w:firstLine="0"/>
      </w:pPr>
      <w:rPr>
        <w:rFonts w:hint="default"/>
        <w:color w:val="auto"/>
      </w:rPr>
    </w:lvl>
  </w:abstractNum>
  <w:abstractNum w:abstractNumId="14">
    <w:nsid w:val="18BDA063"/>
    <w:multiLevelType w:val="multilevel"/>
    <w:tmpl w:val="18BDA063"/>
    <w:lvl w:ilvl="0" w:tentative="0">
      <w:start w:val="1"/>
      <w:numFmt w:val="decimal"/>
      <w:lvlText w:val="%1"/>
      <w:lvlJc w:val="center"/>
      <w:pPr>
        <w:tabs>
          <w:tab w:val="left" w:pos="567"/>
        </w:tabs>
        <w:ind w:left="0" w:firstLine="0"/>
      </w:pPr>
      <w:rPr>
        <w:rFonts w:hint="default" w:ascii="Times New Roman" w:hAnsi="Times New Roman" w:eastAsia="黑体"/>
        <w:b/>
        <w:i w:val="0"/>
        <w:color w:val="auto"/>
        <w:sz w:val="32"/>
      </w:rPr>
    </w:lvl>
    <w:lvl w:ilvl="1" w:tentative="0">
      <w:start w:val="1"/>
      <w:numFmt w:val="decimal"/>
      <w:pStyle w:val="3"/>
      <w:lvlText w:val="%1.%2"/>
      <w:lvlJc w:val="left"/>
      <w:pPr>
        <w:tabs>
          <w:tab w:val="left" w:pos="576"/>
        </w:tabs>
        <w:ind w:left="576" w:hanging="576"/>
      </w:pPr>
      <w:rPr>
        <w:rFonts w:hint="default" w:ascii="Times New Roman" w:hAnsi="Times New Roman" w:eastAsia="宋体"/>
        <w:b/>
        <w:i w:val="0"/>
        <w:color w:val="000000"/>
        <w:sz w:val="30"/>
      </w:rPr>
    </w:lvl>
    <w:lvl w:ilvl="2" w:tentative="0">
      <w:start w:val="1"/>
      <w:numFmt w:val="decimal"/>
      <w:lvlText w:val="%1.%2.%3"/>
      <w:lvlJc w:val="left"/>
      <w:pPr>
        <w:tabs>
          <w:tab w:val="left" w:pos="2965"/>
        </w:tabs>
        <w:ind w:left="283" w:hanging="283"/>
      </w:pPr>
      <w:rPr>
        <w:rFonts w:hint="default" w:ascii="Times New Roman" w:hAnsi="Times New Roman" w:eastAsia="宋体"/>
        <w:b/>
        <w:i w:val="0"/>
        <w:color w:val="auto"/>
        <w:sz w:val="28"/>
      </w:rPr>
    </w:lvl>
    <w:lvl w:ilvl="3" w:tentative="0">
      <w:start w:val="1"/>
      <w:numFmt w:val="decimal"/>
      <w:lvlText w:val="%1.%2.%3.%4"/>
      <w:lvlJc w:val="left"/>
      <w:pPr>
        <w:tabs>
          <w:tab w:val="left" w:pos="864"/>
        </w:tabs>
        <w:ind w:left="864" w:hanging="240"/>
      </w:pPr>
      <w:rPr>
        <w:rFonts w:hint="default" w:ascii="Times New Roman" w:hAnsi="Times New Roman" w:eastAsia="宋体" w:cs="Times New Roman"/>
        <w:b/>
        <w:i w:val="0"/>
        <w:iCs w:val="0"/>
        <w:caps w:val="0"/>
        <w:strike w:val="0"/>
        <w:dstrike w:val="0"/>
        <w:outline w:val="0"/>
        <w:shadow w:val="0"/>
        <w:emboss w:val="0"/>
        <w:imprint w:val="0"/>
        <w:vanish w:val="0"/>
        <w:color w:val="auto"/>
        <w:spacing w:val="0"/>
        <w:position w:val="0"/>
        <w:sz w:val="24"/>
        <w:u w:val="none"/>
        <w:vertAlign w:val="baseline"/>
      </w:rPr>
    </w:lvl>
    <w:lvl w:ilvl="4" w:tentative="0">
      <w:start w:val="1"/>
      <w:numFmt w:val="decimal"/>
      <w:lvlText w:val="%1.%2.%3.%4.%5"/>
      <w:lvlJc w:val="left"/>
      <w:pPr>
        <w:tabs>
          <w:tab w:val="left" w:pos="1008"/>
        </w:tabs>
        <w:ind w:left="1008" w:hanging="1008"/>
      </w:pPr>
      <w:rPr>
        <w:rFonts w:hint="eastAsia"/>
      </w:rPr>
    </w:lvl>
    <w:lvl w:ilvl="5" w:tentative="0">
      <w:start w:val="1"/>
      <w:numFmt w:val="decimal"/>
      <w:lvlText w:val="%1.%2.%3.%4.%5.%6"/>
      <w:lvlJc w:val="left"/>
      <w:pPr>
        <w:tabs>
          <w:tab w:val="left" w:pos="1152"/>
        </w:tabs>
        <w:ind w:left="1152" w:hanging="1152"/>
      </w:pPr>
      <w:rPr>
        <w:rFonts w:hint="eastAsia"/>
      </w:rPr>
    </w:lvl>
    <w:lvl w:ilvl="6" w:tentative="0">
      <w:start w:val="1"/>
      <w:numFmt w:val="decimal"/>
      <w:lvlText w:val="%1.%2.%3.%4.%5.%6.%7"/>
      <w:lvlJc w:val="left"/>
      <w:pPr>
        <w:tabs>
          <w:tab w:val="left" w:pos="1296"/>
        </w:tabs>
        <w:ind w:left="1296" w:hanging="1296"/>
      </w:pPr>
      <w:rPr>
        <w:rFonts w:hint="eastAsia"/>
      </w:rPr>
    </w:lvl>
    <w:lvl w:ilvl="7" w:tentative="0">
      <w:start w:val="1"/>
      <w:numFmt w:val="decimal"/>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abstractNum w:abstractNumId="15">
    <w:nsid w:val="281C8CCC"/>
    <w:multiLevelType w:val="singleLevel"/>
    <w:tmpl w:val="281C8CCC"/>
    <w:lvl w:ilvl="0" w:tentative="0">
      <w:start w:val="1"/>
      <w:numFmt w:val="decimal"/>
      <w:suff w:val="nothing"/>
      <w:lvlText w:val="表3-%1"/>
      <w:lvlJc w:val="center"/>
      <w:pPr>
        <w:tabs>
          <w:tab w:val="left" w:pos="0"/>
        </w:tabs>
        <w:ind w:left="0" w:firstLine="0"/>
      </w:pPr>
      <w:rPr>
        <w:rFonts w:hint="default" w:ascii="Times New Roman" w:hAnsi="Times New Roman" w:eastAsia="宋体" w:cs="Times New Roman"/>
        <w:bCs/>
        <w:color w:val="000000"/>
        <w:sz w:val="21"/>
        <w:szCs w:val="21"/>
      </w:rPr>
    </w:lvl>
  </w:abstractNum>
  <w:abstractNum w:abstractNumId="16">
    <w:nsid w:val="367AD9C9"/>
    <w:multiLevelType w:val="singleLevel"/>
    <w:tmpl w:val="367AD9C9"/>
    <w:lvl w:ilvl="0" w:tentative="0">
      <w:start w:val="1"/>
      <w:numFmt w:val="decimal"/>
      <w:suff w:val="space"/>
      <w:lvlText w:val="表2-%1"/>
      <w:lvlJc w:val="left"/>
      <w:pPr>
        <w:tabs>
          <w:tab w:val="left" w:pos="0"/>
        </w:tabs>
      </w:pPr>
      <w:rPr>
        <w:rFonts w:hint="default" w:ascii="Times New Roman" w:hAnsi="Times New Roman" w:eastAsia="Times New Roman" w:cs="Times New Roman"/>
        <w:b/>
        <w:color w:val="auto"/>
        <w:sz w:val="21"/>
        <w:szCs w:val="21"/>
      </w:rPr>
    </w:lvl>
  </w:abstractNum>
  <w:abstractNum w:abstractNumId="17">
    <w:nsid w:val="4545E695"/>
    <w:multiLevelType w:val="singleLevel"/>
    <w:tmpl w:val="4545E695"/>
    <w:lvl w:ilvl="0" w:tentative="0">
      <w:start w:val="2"/>
      <w:numFmt w:val="decimal"/>
      <w:suff w:val="nothing"/>
      <w:lvlText w:val="（%1）"/>
      <w:lvlJc w:val="left"/>
    </w:lvl>
  </w:abstractNum>
  <w:abstractNum w:abstractNumId="18">
    <w:nsid w:val="52CA995E"/>
    <w:multiLevelType w:val="singleLevel"/>
    <w:tmpl w:val="52CA995E"/>
    <w:lvl w:ilvl="0" w:tentative="0">
      <w:start w:val="1"/>
      <w:numFmt w:val="decimal"/>
      <w:suff w:val="space"/>
      <w:lvlText w:val="图%1"/>
      <w:lvlJc w:val="left"/>
      <w:pPr>
        <w:tabs>
          <w:tab w:val="left" w:pos="0"/>
        </w:tabs>
      </w:pPr>
      <w:rPr>
        <w:rFonts w:hint="default" w:ascii="Times New Roman" w:hAnsi="Times New Roman" w:cs="MS Gothic"/>
        <w:b/>
        <w:bCs/>
        <w:sz w:val="21"/>
        <w:szCs w:val="21"/>
      </w:rPr>
    </w:lvl>
  </w:abstractNum>
  <w:abstractNum w:abstractNumId="19">
    <w:nsid w:val="5818D8D1"/>
    <w:multiLevelType w:val="singleLevel"/>
    <w:tmpl w:val="5818D8D1"/>
    <w:lvl w:ilvl="0" w:tentative="0">
      <w:start w:val="3"/>
      <w:numFmt w:val="chineseCounting"/>
      <w:suff w:val="nothing"/>
      <w:lvlText w:val="%1、"/>
      <w:lvlJc w:val="left"/>
      <w:rPr>
        <w:rFonts w:hint="eastAsia"/>
      </w:rPr>
    </w:lvl>
  </w:abstractNum>
  <w:abstractNum w:abstractNumId="20">
    <w:nsid w:val="70F3E159"/>
    <w:multiLevelType w:val="singleLevel"/>
    <w:tmpl w:val="70F3E159"/>
    <w:lvl w:ilvl="0" w:tentative="0">
      <w:start w:val="4"/>
      <w:numFmt w:val="chineseCounting"/>
      <w:suff w:val="nothing"/>
      <w:lvlText w:val="%1、"/>
      <w:lvlJc w:val="left"/>
      <w:rPr>
        <w:rFonts w:hint="eastAsia"/>
      </w:rPr>
    </w:lvl>
  </w:abstractNum>
  <w:abstractNum w:abstractNumId="21">
    <w:nsid w:val="79CC712F"/>
    <w:multiLevelType w:val="multilevel"/>
    <w:tmpl w:val="79CC712F"/>
    <w:lvl w:ilvl="0" w:tentative="0">
      <w:start w:val="1"/>
      <w:numFmt w:val="decimal"/>
      <w:lvlText w:val="%1"/>
      <w:lvlJc w:val="center"/>
      <w:pPr>
        <w:tabs>
          <w:tab w:val="left" w:pos="567"/>
        </w:tabs>
        <w:ind w:left="0" w:firstLine="0"/>
      </w:pPr>
      <w:rPr>
        <w:rFonts w:hint="default" w:ascii="Times New Roman" w:hAnsi="Times New Roman" w:eastAsia="黑体"/>
        <w:b/>
        <w:i w:val="0"/>
        <w:color w:val="auto"/>
        <w:sz w:val="32"/>
      </w:rPr>
    </w:lvl>
    <w:lvl w:ilvl="1" w:tentative="0">
      <w:start w:val="1"/>
      <w:numFmt w:val="decimal"/>
      <w:lvlText w:val="%1.%2"/>
      <w:lvlJc w:val="left"/>
      <w:pPr>
        <w:tabs>
          <w:tab w:val="left" w:pos="576"/>
        </w:tabs>
        <w:ind w:left="576" w:hanging="576"/>
      </w:pPr>
      <w:rPr>
        <w:rFonts w:hint="default" w:ascii="Times New Roman" w:hAnsi="Times New Roman" w:eastAsia="宋体"/>
        <w:b/>
        <w:i w:val="0"/>
        <w:color w:val="000000"/>
        <w:sz w:val="30"/>
      </w:rPr>
    </w:lvl>
    <w:lvl w:ilvl="2" w:tentative="0">
      <w:start w:val="1"/>
      <w:numFmt w:val="decimal"/>
      <w:pStyle w:val="4"/>
      <w:lvlText w:val="%1.%2.%3"/>
      <w:lvlJc w:val="left"/>
      <w:pPr>
        <w:tabs>
          <w:tab w:val="left" w:pos="2965"/>
        </w:tabs>
        <w:ind w:left="283" w:hanging="283"/>
      </w:pPr>
      <w:rPr>
        <w:rFonts w:hint="default" w:ascii="Times New Roman" w:hAnsi="Times New Roman" w:eastAsia="宋体"/>
        <w:b/>
        <w:i w:val="0"/>
        <w:color w:val="auto"/>
        <w:sz w:val="28"/>
      </w:rPr>
    </w:lvl>
    <w:lvl w:ilvl="3" w:tentative="0">
      <w:start w:val="1"/>
      <w:numFmt w:val="decimal"/>
      <w:lvlText w:val="%1.%2.%3.%4"/>
      <w:lvlJc w:val="left"/>
      <w:pPr>
        <w:tabs>
          <w:tab w:val="left" w:pos="864"/>
        </w:tabs>
        <w:ind w:left="864" w:hanging="240"/>
      </w:pPr>
      <w:rPr>
        <w:rFonts w:hint="default" w:ascii="Times New Roman" w:hAnsi="Times New Roman" w:eastAsia="宋体" w:cs="Times New Roman"/>
        <w:b/>
        <w:i w:val="0"/>
        <w:iCs w:val="0"/>
        <w:caps w:val="0"/>
        <w:strike w:val="0"/>
        <w:dstrike w:val="0"/>
        <w:outline w:val="0"/>
        <w:shadow w:val="0"/>
        <w:emboss w:val="0"/>
        <w:imprint w:val="0"/>
        <w:vanish w:val="0"/>
        <w:color w:val="auto"/>
        <w:spacing w:val="0"/>
        <w:position w:val="0"/>
        <w:sz w:val="24"/>
        <w:u w:val="none"/>
        <w:vertAlign w:val="baseline"/>
      </w:rPr>
    </w:lvl>
    <w:lvl w:ilvl="4" w:tentative="0">
      <w:start w:val="1"/>
      <w:numFmt w:val="decimal"/>
      <w:lvlText w:val="%1.%2.%3.%4.%5"/>
      <w:lvlJc w:val="left"/>
      <w:pPr>
        <w:tabs>
          <w:tab w:val="left" w:pos="1008"/>
        </w:tabs>
        <w:ind w:left="1008" w:hanging="1008"/>
      </w:pPr>
      <w:rPr>
        <w:rFonts w:hint="eastAsia"/>
      </w:rPr>
    </w:lvl>
    <w:lvl w:ilvl="5" w:tentative="0">
      <w:start w:val="1"/>
      <w:numFmt w:val="decimal"/>
      <w:lvlText w:val="%1.%2.%3.%4.%5.%6"/>
      <w:lvlJc w:val="left"/>
      <w:pPr>
        <w:tabs>
          <w:tab w:val="left" w:pos="1152"/>
        </w:tabs>
        <w:ind w:left="1152" w:hanging="1152"/>
      </w:pPr>
      <w:rPr>
        <w:rFonts w:hint="eastAsia"/>
      </w:rPr>
    </w:lvl>
    <w:lvl w:ilvl="6" w:tentative="0">
      <w:start w:val="1"/>
      <w:numFmt w:val="decimal"/>
      <w:lvlText w:val="%1.%2.%3.%4.%5.%6.%7"/>
      <w:lvlJc w:val="left"/>
      <w:pPr>
        <w:tabs>
          <w:tab w:val="left" w:pos="1296"/>
        </w:tabs>
        <w:ind w:left="1296" w:hanging="1296"/>
      </w:pPr>
      <w:rPr>
        <w:rFonts w:hint="eastAsia"/>
      </w:rPr>
    </w:lvl>
    <w:lvl w:ilvl="7" w:tentative="0">
      <w:start w:val="1"/>
      <w:numFmt w:val="decimal"/>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abstractNum w:abstractNumId="22">
    <w:nsid w:val="7D2A29CA"/>
    <w:multiLevelType w:val="singleLevel"/>
    <w:tmpl w:val="7D2A29CA"/>
    <w:lvl w:ilvl="0" w:tentative="0">
      <w:start w:val="2"/>
      <w:numFmt w:val="decimal"/>
      <w:suff w:val="nothing"/>
      <w:lvlText w:val="%1）"/>
      <w:lvlJc w:val="left"/>
    </w:lvl>
  </w:abstractNum>
  <w:num w:numId="1">
    <w:abstractNumId w:val="14"/>
  </w:num>
  <w:num w:numId="2">
    <w:abstractNumId w:val="21"/>
  </w:num>
  <w:num w:numId="3">
    <w:abstractNumId w:val="3"/>
  </w:num>
  <w:num w:numId="4">
    <w:abstractNumId w:val="2"/>
  </w:num>
  <w:num w:numId="5">
    <w:abstractNumId w:val="12"/>
  </w:num>
  <w:num w:numId="6">
    <w:abstractNumId w:val="4"/>
  </w:num>
  <w:num w:numId="7">
    <w:abstractNumId w:val="20"/>
  </w:num>
  <w:num w:numId="8">
    <w:abstractNumId w:val="0"/>
  </w:num>
  <w:num w:numId="9">
    <w:abstractNumId w:val="10"/>
  </w:num>
  <w:num w:numId="10">
    <w:abstractNumId w:val="9"/>
  </w:num>
  <w:num w:numId="11">
    <w:abstractNumId w:val="19"/>
  </w:num>
  <w:num w:numId="12">
    <w:abstractNumId w:val="6"/>
  </w:num>
  <w:num w:numId="13">
    <w:abstractNumId w:val="16"/>
  </w:num>
  <w:num w:numId="14">
    <w:abstractNumId w:val="8"/>
  </w:num>
  <w:num w:numId="15">
    <w:abstractNumId w:val="13"/>
  </w:num>
  <w:num w:numId="16">
    <w:abstractNumId w:val="7"/>
  </w:num>
  <w:num w:numId="17">
    <w:abstractNumId w:val="18"/>
  </w:num>
  <w:num w:numId="18">
    <w:abstractNumId w:val="15"/>
  </w:num>
  <w:num w:numId="19">
    <w:abstractNumId w:val="1"/>
  </w:num>
  <w:num w:numId="20">
    <w:abstractNumId w:val="17"/>
  </w:num>
  <w:num w:numId="21">
    <w:abstractNumId w:val="5"/>
  </w:num>
  <w:num w:numId="22">
    <w:abstractNumId w:val="22"/>
  </w:num>
  <w:num w:numId="23">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hyphenationZone w:val="360"/>
  <w:doNotHyphenateCaps/>
  <w:drawingGridHorizontalSpacing w:val="105"/>
  <w:drawingGridVerticalSpacing w:val="192"/>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hdrShapeDefaults>
    <o:shapelayout v:ext="edit">
      <o:idmap v:ext="edit" data="3"/>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jAwYWE0NTM2NzI0MDE1ODc2ZmNjODAzNWFlZjQ0OGEifQ=="/>
  </w:docVars>
  <w:rsids>
    <w:rsidRoot w:val="00172A27"/>
    <w:rsid w:val="00000E1F"/>
    <w:rsid w:val="000060B3"/>
    <w:rsid w:val="0004364B"/>
    <w:rsid w:val="00061B1F"/>
    <w:rsid w:val="000733C4"/>
    <w:rsid w:val="00074783"/>
    <w:rsid w:val="0008070B"/>
    <w:rsid w:val="000810AC"/>
    <w:rsid w:val="00081A02"/>
    <w:rsid w:val="00082231"/>
    <w:rsid w:val="0009075B"/>
    <w:rsid w:val="00092D38"/>
    <w:rsid w:val="000935FE"/>
    <w:rsid w:val="0009377B"/>
    <w:rsid w:val="000A20C9"/>
    <w:rsid w:val="000B058F"/>
    <w:rsid w:val="000B4467"/>
    <w:rsid w:val="000B4DB9"/>
    <w:rsid w:val="000C09AC"/>
    <w:rsid w:val="000C767F"/>
    <w:rsid w:val="000D5A44"/>
    <w:rsid w:val="000E3ED2"/>
    <w:rsid w:val="000E4769"/>
    <w:rsid w:val="00103897"/>
    <w:rsid w:val="001315D9"/>
    <w:rsid w:val="00131F42"/>
    <w:rsid w:val="001357F1"/>
    <w:rsid w:val="00140FA8"/>
    <w:rsid w:val="00142FEB"/>
    <w:rsid w:val="00143A2D"/>
    <w:rsid w:val="00145A41"/>
    <w:rsid w:val="00151675"/>
    <w:rsid w:val="00157435"/>
    <w:rsid w:val="00172E78"/>
    <w:rsid w:val="0017504D"/>
    <w:rsid w:val="0017671A"/>
    <w:rsid w:val="00177422"/>
    <w:rsid w:val="00184590"/>
    <w:rsid w:val="001870D1"/>
    <w:rsid w:val="0018781E"/>
    <w:rsid w:val="0019262D"/>
    <w:rsid w:val="001A1B35"/>
    <w:rsid w:val="001A48A2"/>
    <w:rsid w:val="001A6F61"/>
    <w:rsid w:val="001B72B8"/>
    <w:rsid w:val="001C69B3"/>
    <w:rsid w:val="001D5595"/>
    <w:rsid w:val="001D7874"/>
    <w:rsid w:val="001D7F22"/>
    <w:rsid w:val="001F0F17"/>
    <w:rsid w:val="001F3347"/>
    <w:rsid w:val="001F69E4"/>
    <w:rsid w:val="002125B4"/>
    <w:rsid w:val="002155B8"/>
    <w:rsid w:val="00224839"/>
    <w:rsid w:val="002249B2"/>
    <w:rsid w:val="00226574"/>
    <w:rsid w:val="002278EC"/>
    <w:rsid w:val="00230E72"/>
    <w:rsid w:val="0023280E"/>
    <w:rsid w:val="002377D1"/>
    <w:rsid w:val="00237E95"/>
    <w:rsid w:val="002506BC"/>
    <w:rsid w:val="00254345"/>
    <w:rsid w:val="00264557"/>
    <w:rsid w:val="002805AB"/>
    <w:rsid w:val="00284204"/>
    <w:rsid w:val="00291773"/>
    <w:rsid w:val="002A168C"/>
    <w:rsid w:val="002A3DC7"/>
    <w:rsid w:val="002B49E2"/>
    <w:rsid w:val="002B7B00"/>
    <w:rsid w:val="002B7C44"/>
    <w:rsid w:val="002C2B17"/>
    <w:rsid w:val="002D3DD0"/>
    <w:rsid w:val="002E1F3A"/>
    <w:rsid w:val="002E298A"/>
    <w:rsid w:val="00301978"/>
    <w:rsid w:val="0030332C"/>
    <w:rsid w:val="003051C2"/>
    <w:rsid w:val="00312296"/>
    <w:rsid w:val="00314F0E"/>
    <w:rsid w:val="00321D8E"/>
    <w:rsid w:val="00325928"/>
    <w:rsid w:val="00332863"/>
    <w:rsid w:val="0033684D"/>
    <w:rsid w:val="00337B42"/>
    <w:rsid w:val="00341B42"/>
    <w:rsid w:val="0034348F"/>
    <w:rsid w:val="00356653"/>
    <w:rsid w:val="0035743F"/>
    <w:rsid w:val="00357BE2"/>
    <w:rsid w:val="0036170C"/>
    <w:rsid w:val="00366E0F"/>
    <w:rsid w:val="00381A72"/>
    <w:rsid w:val="00384676"/>
    <w:rsid w:val="00390857"/>
    <w:rsid w:val="003A4BF3"/>
    <w:rsid w:val="003B420D"/>
    <w:rsid w:val="003C6C16"/>
    <w:rsid w:val="003D794D"/>
    <w:rsid w:val="003E3058"/>
    <w:rsid w:val="003E76A9"/>
    <w:rsid w:val="003F0809"/>
    <w:rsid w:val="003F6963"/>
    <w:rsid w:val="003F6A8C"/>
    <w:rsid w:val="003F755C"/>
    <w:rsid w:val="00406F01"/>
    <w:rsid w:val="00416D50"/>
    <w:rsid w:val="00416FD5"/>
    <w:rsid w:val="00417772"/>
    <w:rsid w:val="00420E6A"/>
    <w:rsid w:val="00425A9E"/>
    <w:rsid w:val="00426D6B"/>
    <w:rsid w:val="00431E6C"/>
    <w:rsid w:val="00433CE7"/>
    <w:rsid w:val="00452738"/>
    <w:rsid w:val="00453D61"/>
    <w:rsid w:val="00456091"/>
    <w:rsid w:val="00466321"/>
    <w:rsid w:val="00473031"/>
    <w:rsid w:val="00484B9B"/>
    <w:rsid w:val="004855F6"/>
    <w:rsid w:val="0048661E"/>
    <w:rsid w:val="00494670"/>
    <w:rsid w:val="004A3823"/>
    <w:rsid w:val="004B3800"/>
    <w:rsid w:val="004E6946"/>
    <w:rsid w:val="004F1AD8"/>
    <w:rsid w:val="005039CB"/>
    <w:rsid w:val="0050558F"/>
    <w:rsid w:val="00506286"/>
    <w:rsid w:val="00510813"/>
    <w:rsid w:val="00511990"/>
    <w:rsid w:val="00511DE0"/>
    <w:rsid w:val="00514870"/>
    <w:rsid w:val="00514B9B"/>
    <w:rsid w:val="00517F02"/>
    <w:rsid w:val="00524303"/>
    <w:rsid w:val="00525893"/>
    <w:rsid w:val="005258A2"/>
    <w:rsid w:val="005319D6"/>
    <w:rsid w:val="005401AE"/>
    <w:rsid w:val="00542E07"/>
    <w:rsid w:val="00545424"/>
    <w:rsid w:val="00554A7B"/>
    <w:rsid w:val="0055572C"/>
    <w:rsid w:val="0056106A"/>
    <w:rsid w:val="005720AE"/>
    <w:rsid w:val="00594D77"/>
    <w:rsid w:val="005969E4"/>
    <w:rsid w:val="005A06B7"/>
    <w:rsid w:val="005A1759"/>
    <w:rsid w:val="005A68A7"/>
    <w:rsid w:val="005D36AB"/>
    <w:rsid w:val="005F037B"/>
    <w:rsid w:val="00617CC3"/>
    <w:rsid w:val="006377A6"/>
    <w:rsid w:val="00637A3D"/>
    <w:rsid w:val="006411EF"/>
    <w:rsid w:val="0067419F"/>
    <w:rsid w:val="006748B8"/>
    <w:rsid w:val="00675481"/>
    <w:rsid w:val="006775C3"/>
    <w:rsid w:val="0069290A"/>
    <w:rsid w:val="0069775A"/>
    <w:rsid w:val="00697813"/>
    <w:rsid w:val="006A3EE8"/>
    <w:rsid w:val="006A72BF"/>
    <w:rsid w:val="006B03F2"/>
    <w:rsid w:val="006B37DC"/>
    <w:rsid w:val="006B4F68"/>
    <w:rsid w:val="006C0592"/>
    <w:rsid w:val="006C272E"/>
    <w:rsid w:val="006C5479"/>
    <w:rsid w:val="006D13B5"/>
    <w:rsid w:val="006E12FF"/>
    <w:rsid w:val="006E607E"/>
    <w:rsid w:val="00706C5D"/>
    <w:rsid w:val="00732922"/>
    <w:rsid w:val="0075162E"/>
    <w:rsid w:val="00754034"/>
    <w:rsid w:val="00756556"/>
    <w:rsid w:val="007618C4"/>
    <w:rsid w:val="00767980"/>
    <w:rsid w:val="00770B19"/>
    <w:rsid w:val="0077463F"/>
    <w:rsid w:val="007836EA"/>
    <w:rsid w:val="00784CDA"/>
    <w:rsid w:val="007906C4"/>
    <w:rsid w:val="007940EA"/>
    <w:rsid w:val="007967E8"/>
    <w:rsid w:val="007A2170"/>
    <w:rsid w:val="007A22BF"/>
    <w:rsid w:val="007A3323"/>
    <w:rsid w:val="007B72B8"/>
    <w:rsid w:val="007B7A58"/>
    <w:rsid w:val="007C21B5"/>
    <w:rsid w:val="007E4BD2"/>
    <w:rsid w:val="007F3CD0"/>
    <w:rsid w:val="00801393"/>
    <w:rsid w:val="00802F88"/>
    <w:rsid w:val="0081293E"/>
    <w:rsid w:val="00815465"/>
    <w:rsid w:val="00817E9A"/>
    <w:rsid w:val="008306BD"/>
    <w:rsid w:val="00831A80"/>
    <w:rsid w:val="00833743"/>
    <w:rsid w:val="008340A4"/>
    <w:rsid w:val="00846033"/>
    <w:rsid w:val="0087135F"/>
    <w:rsid w:val="00872D94"/>
    <w:rsid w:val="00880364"/>
    <w:rsid w:val="00891592"/>
    <w:rsid w:val="00891E9E"/>
    <w:rsid w:val="008A2F68"/>
    <w:rsid w:val="008B4FA6"/>
    <w:rsid w:val="008B5282"/>
    <w:rsid w:val="008B7C17"/>
    <w:rsid w:val="008C2D01"/>
    <w:rsid w:val="008C40E6"/>
    <w:rsid w:val="008D0F7A"/>
    <w:rsid w:val="008D68E4"/>
    <w:rsid w:val="008E0506"/>
    <w:rsid w:val="008E0CFF"/>
    <w:rsid w:val="008E5D6B"/>
    <w:rsid w:val="008E76F0"/>
    <w:rsid w:val="008F15FE"/>
    <w:rsid w:val="008F2D29"/>
    <w:rsid w:val="008F5187"/>
    <w:rsid w:val="008F60D8"/>
    <w:rsid w:val="00902727"/>
    <w:rsid w:val="0090312B"/>
    <w:rsid w:val="0091736D"/>
    <w:rsid w:val="0093037A"/>
    <w:rsid w:val="0094154D"/>
    <w:rsid w:val="0095155F"/>
    <w:rsid w:val="00954429"/>
    <w:rsid w:val="009563CE"/>
    <w:rsid w:val="00976328"/>
    <w:rsid w:val="0097680D"/>
    <w:rsid w:val="00982438"/>
    <w:rsid w:val="0098404C"/>
    <w:rsid w:val="00985283"/>
    <w:rsid w:val="00995992"/>
    <w:rsid w:val="009A03E5"/>
    <w:rsid w:val="009A0F3B"/>
    <w:rsid w:val="009A1BB4"/>
    <w:rsid w:val="009A2628"/>
    <w:rsid w:val="009A3200"/>
    <w:rsid w:val="009B0897"/>
    <w:rsid w:val="009B7BD9"/>
    <w:rsid w:val="009C7DD5"/>
    <w:rsid w:val="009E227D"/>
    <w:rsid w:val="009E5019"/>
    <w:rsid w:val="00A04F1B"/>
    <w:rsid w:val="00A0501B"/>
    <w:rsid w:val="00A14947"/>
    <w:rsid w:val="00A32A83"/>
    <w:rsid w:val="00A368DB"/>
    <w:rsid w:val="00A423AA"/>
    <w:rsid w:val="00A53EC6"/>
    <w:rsid w:val="00A55C0F"/>
    <w:rsid w:val="00A810DC"/>
    <w:rsid w:val="00A8713F"/>
    <w:rsid w:val="00A90BA1"/>
    <w:rsid w:val="00A97A9A"/>
    <w:rsid w:val="00AA0671"/>
    <w:rsid w:val="00AA2531"/>
    <w:rsid w:val="00AB1E09"/>
    <w:rsid w:val="00AB5330"/>
    <w:rsid w:val="00AB7747"/>
    <w:rsid w:val="00AC14CE"/>
    <w:rsid w:val="00AC2A56"/>
    <w:rsid w:val="00AD055E"/>
    <w:rsid w:val="00AD47A7"/>
    <w:rsid w:val="00AE36D0"/>
    <w:rsid w:val="00AF0CBF"/>
    <w:rsid w:val="00AF257F"/>
    <w:rsid w:val="00AF33CF"/>
    <w:rsid w:val="00AF4D50"/>
    <w:rsid w:val="00AF6179"/>
    <w:rsid w:val="00B1295A"/>
    <w:rsid w:val="00B20A45"/>
    <w:rsid w:val="00B22C5C"/>
    <w:rsid w:val="00B24F30"/>
    <w:rsid w:val="00B31ABF"/>
    <w:rsid w:val="00B33BE3"/>
    <w:rsid w:val="00B53B5D"/>
    <w:rsid w:val="00B6055E"/>
    <w:rsid w:val="00B6317D"/>
    <w:rsid w:val="00B7723F"/>
    <w:rsid w:val="00B80534"/>
    <w:rsid w:val="00B8433C"/>
    <w:rsid w:val="00B87491"/>
    <w:rsid w:val="00BA29E9"/>
    <w:rsid w:val="00BA7142"/>
    <w:rsid w:val="00BA7CA7"/>
    <w:rsid w:val="00BB237C"/>
    <w:rsid w:val="00BB41A3"/>
    <w:rsid w:val="00BC32DC"/>
    <w:rsid w:val="00BC35B6"/>
    <w:rsid w:val="00BD1B51"/>
    <w:rsid w:val="00BD4596"/>
    <w:rsid w:val="00BE1405"/>
    <w:rsid w:val="00BE2A6F"/>
    <w:rsid w:val="00BE312D"/>
    <w:rsid w:val="00BF1C20"/>
    <w:rsid w:val="00C10422"/>
    <w:rsid w:val="00C10578"/>
    <w:rsid w:val="00C135BC"/>
    <w:rsid w:val="00C15C95"/>
    <w:rsid w:val="00C2596A"/>
    <w:rsid w:val="00C27537"/>
    <w:rsid w:val="00C328FE"/>
    <w:rsid w:val="00C33507"/>
    <w:rsid w:val="00C4409D"/>
    <w:rsid w:val="00C44E72"/>
    <w:rsid w:val="00C45A06"/>
    <w:rsid w:val="00C47E5B"/>
    <w:rsid w:val="00C61E4B"/>
    <w:rsid w:val="00C64BFF"/>
    <w:rsid w:val="00C704E9"/>
    <w:rsid w:val="00C763C9"/>
    <w:rsid w:val="00C80057"/>
    <w:rsid w:val="00C82232"/>
    <w:rsid w:val="00C82913"/>
    <w:rsid w:val="00C90B7E"/>
    <w:rsid w:val="00C972B1"/>
    <w:rsid w:val="00CA2CCE"/>
    <w:rsid w:val="00CA43FD"/>
    <w:rsid w:val="00CA7EF8"/>
    <w:rsid w:val="00CC489B"/>
    <w:rsid w:val="00CD2BCD"/>
    <w:rsid w:val="00CD3A4C"/>
    <w:rsid w:val="00CE10E9"/>
    <w:rsid w:val="00CE2910"/>
    <w:rsid w:val="00CE5393"/>
    <w:rsid w:val="00CF36BE"/>
    <w:rsid w:val="00CF4CA2"/>
    <w:rsid w:val="00CF6000"/>
    <w:rsid w:val="00D003F3"/>
    <w:rsid w:val="00D0364F"/>
    <w:rsid w:val="00D06834"/>
    <w:rsid w:val="00D14AB7"/>
    <w:rsid w:val="00D308ED"/>
    <w:rsid w:val="00D36D86"/>
    <w:rsid w:val="00D428AA"/>
    <w:rsid w:val="00D50A34"/>
    <w:rsid w:val="00D53EFA"/>
    <w:rsid w:val="00D70F39"/>
    <w:rsid w:val="00D94A7C"/>
    <w:rsid w:val="00D95896"/>
    <w:rsid w:val="00DB2983"/>
    <w:rsid w:val="00DC1257"/>
    <w:rsid w:val="00DC3DC0"/>
    <w:rsid w:val="00DC5B2B"/>
    <w:rsid w:val="00DD318D"/>
    <w:rsid w:val="00DF2E12"/>
    <w:rsid w:val="00DF514A"/>
    <w:rsid w:val="00DF6690"/>
    <w:rsid w:val="00DF6804"/>
    <w:rsid w:val="00E0358D"/>
    <w:rsid w:val="00E04323"/>
    <w:rsid w:val="00E070A2"/>
    <w:rsid w:val="00E2656A"/>
    <w:rsid w:val="00E412D0"/>
    <w:rsid w:val="00E56322"/>
    <w:rsid w:val="00E60982"/>
    <w:rsid w:val="00E62C62"/>
    <w:rsid w:val="00E654C1"/>
    <w:rsid w:val="00E65D97"/>
    <w:rsid w:val="00E72A5A"/>
    <w:rsid w:val="00E73354"/>
    <w:rsid w:val="00E9242D"/>
    <w:rsid w:val="00EB5255"/>
    <w:rsid w:val="00EB5C47"/>
    <w:rsid w:val="00ED0639"/>
    <w:rsid w:val="00EF4755"/>
    <w:rsid w:val="00EF7135"/>
    <w:rsid w:val="00F027DB"/>
    <w:rsid w:val="00F14A7A"/>
    <w:rsid w:val="00F22985"/>
    <w:rsid w:val="00F3383E"/>
    <w:rsid w:val="00F465A7"/>
    <w:rsid w:val="00F50B7C"/>
    <w:rsid w:val="00F550E6"/>
    <w:rsid w:val="00F74345"/>
    <w:rsid w:val="00F80A0A"/>
    <w:rsid w:val="00F82B19"/>
    <w:rsid w:val="00F9212D"/>
    <w:rsid w:val="00F965DA"/>
    <w:rsid w:val="00FA406A"/>
    <w:rsid w:val="00FB503A"/>
    <w:rsid w:val="00FB516C"/>
    <w:rsid w:val="00FD0236"/>
    <w:rsid w:val="00FD18F4"/>
    <w:rsid w:val="00FD54DB"/>
    <w:rsid w:val="00FD619F"/>
    <w:rsid w:val="010463B9"/>
    <w:rsid w:val="01115E6A"/>
    <w:rsid w:val="01290F7E"/>
    <w:rsid w:val="015D1E09"/>
    <w:rsid w:val="015F1479"/>
    <w:rsid w:val="01687703"/>
    <w:rsid w:val="01875299"/>
    <w:rsid w:val="01917D1A"/>
    <w:rsid w:val="019C2A3A"/>
    <w:rsid w:val="01A56261"/>
    <w:rsid w:val="01AA496C"/>
    <w:rsid w:val="01BF1AF9"/>
    <w:rsid w:val="01F23506"/>
    <w:rsid w:val="02054F52"/>
    <w:rsid w:val="021E0353"/>
    <w:rsid w:val="02223D56"/>
    <w:rsid w:val="0224556D"/>
    <w:rsid w:val="02255503"/>
    <w:rsid w:val="02375F66"/>
    <w:rsid w:val="023D75EF"/>
    <w:rsid w:val="023D7B59"/>
    <w:rsid w:val="0241242E"/>
    <w:rsid w:val="02483192"/>
    <w:rsid w:val="02535CBD"/>
    <w:rsid w:val="02660FA6"/>
    <w:rsid w:val="02697903"/>
    <w:rsid w:val="027808F5"/>
    <w:rsid w:val="02805954"/>
    <w:rsid w:val="028212C6"/>
    <w:rsid w:val="02881420"/>
    <w:rsid w:val="02932377"/>
    <w:rsid w:val="02A4476B"/>
    <w:rsid w:val="02E80535"/>
    <w:rsid w:val="02F81CCE"/>
    <w:rsid w:val="02F96569"/>
    <w:rsid w:val="032A15BE"/>
    <w:rsid w:val="034F4AF4"/>
    <w:rsid w:val="035F6CAE"/>
    <w:rsid w:val="03634626"/>
    <w:rsid w:val="037554BB"/>
    <w:rsid w:val="03764359"/>
    <w:rsid w:val="037A0439"/>
    <w:rsid w:val="037C61D6"/>
    <w:rsid w:val="0381685A"/>
    <w:rsid w:val="03822CFE"/>
    <w:rsid w:val="0388408C"/>
    <w:rsid w:val="03A70D79"/>
    <w:rsid w:val="03BA2ABC"/>
    <w:rsid w:val="03C1347A"/>
    <w:rsid w:val="03CB5518"/>
    <w:rsid w:val="03D87345"/>
    <w:rsid w:val="03EA7B21"/>
    <w:rsid w:val="03EE3926"/>
    <w:rsid w:val="03EE473D"/>
    <w:rsid w:val="03EF5EB9"/>
    <w:rsid w:val="03F759BD"/>
    <w:rsid w:val="040320C1"/>
    <w:rsid w:val="04062E89"/>
    <w:rsid w:val="04196B7A"/>
    <w:rsid w:val="04282EB0"/>
    <w:rsid w:val="042A0FA8"/>
    <w:rsid w:val="04333FF8"/>
    <w:rsid w:val="04340929"/>
    <w:rsid w:val="043A15E5"/>
    <w:rsid w:val="043F2441"/>
    <w:rsid w:val="04461F7D"/>
    <w:rsid w:val="04472DF8"/>
    <w:rsid w:val="044C1E90"/>
    <w:rsid w:val="04514153"/>
    <w:rsid w:val="045C67D7"/>
    <w:rsid w:val="046046C1"/>
    <w:rsid w:val="046619FB"/>
    <w:rsid w:val="046C3066"/>
    <w:rsid w:val="046D2F56"/>
    <w:rsid w:val="04820ADC"/>
    <w:rsid w:val="049416A8"/>
    <w:rsid w:val="0495080F"/>
    <w:rsid w:val="04C44C50"/>
    <w:rsid w:val="04D53811"/>
    <w:rsid w:val="04DC6F71"/>
    <w:rsid w:val="04E905B7"/>
    <w:rsid w:val="04F27A0F"/>
    <w:rsid w:val="050B7F3A"/>
    <w:rsid w:val="05141CEE"/>
    <w:rsid w:val="05187049"/>
    <w:rsid w:val="051B02AC"/>
    <w:rsid w:val="0521288B"/>
    <w:rsid w:val="0529160A"/>
    <w:rsid w:val="0536769A"/>
    <w:rsid w:val="05547D1F"/>
    <w:rsid w:val="056F2E0E"/>
    <w:rsid w:val="057C19CF"/>
    <w:rsid w:val="058F5312"/>
    <w:rsid w:val="05976809"/>
    <w:rsid w:val="05C23886"/>
    <w:rsid w:val="05D6668E"/>
    <w:rsid w:val="05D956BA"/>
    <w:rsid w:val="05F83EAE"/>
    <w:rsid w:val="05FD496D"/>
    <w:rsid w:val="060317A8"/>
    <w:rsid w:val="06071298"/>
    <w:rsid w:val="060E6080"/>
    <w:rsid w:val="061F2A86"/>
    <w:rsid w:val="06362943"/>
    <w:rsid w:val="063E7D85"/>
    <w:rsid w:val="06420131"/>
    <w:rsid w:val="06475B39"/>
    <w:rsid w:val="064B2E7C"/>
    <w:rsid w:val="065D407D"/>
    <w:rsid w:val="065F468B"/>
    <w:rsid w:val="066432C6"/>
    <w:rsid w:val="06673413"/>
    <w:rsid w:val="0667442D"/>
    <w:rsid w:val="06765CCF"/>
    <w:rsid w:val="068B1EC9"/>
    <w:rsid w:val="069074E0"/>
    <w:rsid w:val="06A23CB0"/>
    <w:rsid w:val="06A927DF"/>
    <w:rsid w:val="06BA455D"/>
    <w:rsid w:val="06BD404D"/>
    <w:rsid w:val="06C61352"/>
    <w:rsid w:val="06C947A0"/>
    <w:rsid w:val="06D51397"/>
    <w:rsid w:val="06DA4BFF"/>
    <w:rsid w:val="06FB7E6A"/>
    <w:rsid w:val="06FF2B5E"/>
    <w:rsid w:val="070B35AB"/>
    <w:rsid w:val="07293586"/>
    <w:rsid w:val="07295285"/>
    <w:rsid w:val="073302AC"/>
    <w:rsid w:val="07347F92"/>
    <w:rsid w:val="074766FF"/>
    <w:rsid w:val="074D717F"/>
    <w:rsid w:val="075174DC"/>
    <w:rsid w:val="075E3411"/>
    <w:rsid w:val="07636392"/>
    <w:rsid w:val="07660241"/>
    <w:rsid w:val="077542B8"/>
    <w:rsid w:val="07770C56"/>
    <w:rsid w:val="077E2852"/>
    <w:rsid w:val="079074C9"/>
    <w:rsid w:val="07A12019"/>
    <w:rsid w:val="07B70A9C"/>
    <w:rsid w:val="07BF4985"/>
    <w:rsid w:val="07BF4C25"/>
    <w:rsid w:val="07CE3D72"/>
    <w:rsid w:val="07DF12B3"/>
    <w:rsid w:val="07EB02CF"/>
    <w:rsid w:val="07F46AC9"/>
    <w:rsid w:val="080F2686"/>
    <w:rsid w:val="08114650"/>
    <w:rsid w:val="081A063F"/>
    <w:rsid w:val="0837598F"/>
    <w:rsid w:val="08534C69"/>
    <w:rsid w:val="08535187"/>
    <w:rsid w:val="088017D6"/>
    <w:rsid w:val="08923091"/>
    <w:rsid w:val="08AC2EEB"/>
    <w:rsid w:val="08B11F3F"/>
    <w:rsid w:val="08B35707"/>
    <w:rsid w:val="08E10C23"/>
    <w:rsid w:val="08F301FA"/>
    <w:rsid w:val="08F34ACD"/>
    <w:rsid w:val="09063A89"/>
    <w:rsid w:val="091F6546"/>
    <w:rsid w:val="092217DD"/>
    <w:rsid w:val="093A7294"/>
    <w:rsid w:val="09401BE1"/>
    <w:rsid w:val="09470C3E"/>
    <w:rsid w:val="0956439C"/>
    <w:rsid w:val="095B41B1"/>
    <w:rsid w:val="095C5D9F"/>
    <w:rsid w:val="096D1D5A"/>
    <w:rsid w:val="097547C4"/>
    <w:rsid w:val="09932EAE"/>
    <w:rsid w:val="09B94F9F"/>
    <w:rsid w:val="09C37BCC"/>
    <w:rsid w:val="09C851E3"/>
    <w:rsid w:val="09DE67B4"/>
    <w:rsid w:val="09E576CD"/>
    <w:rsid w:val="09E85885"/>
    <w:rsid w:val="09F50A27"/>
    <w:rsid w:val="09F52CF3"/>
    <w:rsid w:val="09F935EE"/>
    <w:rsid w:val="0A075D0B"/>
    <w:rsid w:val="0A1B7A08"/>
    <w:rsid w:val="0A263993"/>
    <w:rsid w:val="0A2D3AC2"/>
    <w:rsid w:val="0A3521E9"/>
    <w:rsid w:val="0A390C74"/>
    <w:rsid w:val="0A4D64CB"/>
    <w:rsid w:val="0A6D20CC"/>
    <w:rsid w:val="0A8016D4"/>
    <w:rsid w:val="0A8213BD"/>
    <w:rsid w:val="0A886AA2"/>
    <w:rsid w:val="0A942973"/>
    <w:rsid w:val="0AA572D2"/>
    <w:rsid w:val="0AA755DF"/>
    <w:rsid w:val="0ABA0FCF"/>
    <w:rsid w:val="0AD32091"/>
    <w:rsid w:val="0ADD6A6C"/>
    <w:rsid w:val="0AE972EE"/>
    <w:rsid w:val="0AF53DB5"/>
    <w:rsid w:val="0B0653CB"/>
    <w:rsid w:val="0B086EE3"/>
    <w:rsid w:val="0B120D44"/>
    <w:rsid w:val="0B310B66"/>
    <w:rsid w:val="0B60728D"/>
    <w:rsid w:val="0B6131F9"/>
    <w:rsid w:val="0B674587"/>
    <w:rsid w:val="0B70168E"/>
    <w:rsid w:val="0B7078E0"/>
    <w:rsid w:val="0B7C44D7"/>
    <w:rsid w:val="0B8C2040"/>
    <w:rsid w:val="0B8E0331"/>
    <w:rsid w:val="0B940F80"/>
    <w:rsid w:val="0B957346"/>
    <w:rsid w:val="0BA31A63"/>
    <w:rsid w:val="0BA67416"/>
    <w:rsid w:val="0BAE0408"/>
    <w:rsid w:val="0BBE064B"/>
    <w:rsid w:val="0BBF789B"/>
    <w:rsid w:val="0BC53DFE"/>
    <w:rsid w:val="0BC96FF0"/>
    <w:rsid w:val="0BD27BF6"/>
    <w:rsid w:val="0BD762D6"/>
    <w:rsid w:val="0BDA2FAB"/>
    <w:rsid w:val="0BE856C8"/>
    <w:rsid w:val="0C090555"/>
    <w:rsid w:val="0C1E10EA"/>
    <w:rsid w:val="0C2A7A8F"/>
    <w:rsid w:val="0C3152C1"/>
    <w:rsid w:val="0C3B3C7D"/>
    <w:rsid w:val="0C5C1D07"/>
    <w:rsid w:val="0C6452F7"/>
    <w:rsid w:val="0C740124"/>
    <w:rsid w:val="0C754873"/>
    <w:rsid w:val="0C7A40A5"/>
    <w:rsid w:val="0C8129D9"/>
    <w:rsid w:val="0C90676A"/>
    <w:rsid w:val="0C915B0D"/>
    <w:rsid w:val="0C9E5594"/>
    <w:rsid w:val="0CA32F90"/>
    <w:rsid w:val="0CAB2EAE"/>
    <w:rsid w:val="0CBF62F5"/>
    <w:rsid w:val="0CC97A8D"/>
    <w:rsid w:val="0CCE3020"/>
    <w:rsid w:val="0CF461D8"/>
    <w:rsid w:val="0CFB142B"/>
    <w:rsid w:val="0D0027F1"/>
    <w:rsid w:val="0D0B5B12"/>
    <w:rsid w:val="0D146A2B"/>
    <w:rsid w:val="0D352C73"/>
    <w:rsid w:val="0D3F7C96"/>
    <w:rsid w:val="0D464D9C"/>
    <w:rsid w:val="0D5E3C29"/>
    <w:rsid w:val="0D621C7D"/>
    <w:rsid w:val="0D6472D1"/>
    <w:rsid w:val="0D685A79"/>
    <w:rsid w:val="0D786450"/>
    <w:rsid w:val="0D7E2423"/>
    <w:rsid w:val="0D892919"/>
    <w:rsid w:val="0D8C6527"/>
    <w:rsid w:val="0D914E3C"/>
    <w:rsid w:val="0D933D59"/>
    <w:rsid w:val="0D993901"/>
    <w:rsid w:val="0DC573BC"/>
    <w:rsid w:val="0DCD49A0"/>
    <w:rsid w:val="0DDA54E4"/>
    <w:rsid w:val="0DE20A1A"/>
    <w:rsid w:val="0DE620DB"/>
    <w:rsid w:val="0DF84BED"/>
    <w:rsid w:val="0E1A3B33"/>
    <w:rsid w:val="0E567261"/>
    <w:rsid w:val="0E5C283D"/>
    <w:rsid w:val="0E6A0AE8"/>
    <w:rsid w:val="0E73034D"/>
    <w:rsid w:val="0E8D69FB"/>
    <w:rsid w:val="0EA24254"/>
    <w:rsid w:val="0EA65B99"/>
    <w:rsid w:val="0EAC3092"/>
    <w:rsid w:val="0EB60381"/>
    <w:rsid w:val="0EC35F79"/>
    <w:rsid w:val="0ECB10C2"/>
    <w:rsid w:val="0ECD56E7"/>
    <w:rsid w:val="0ECF2606"/>
    <w:rsid w:val="0ECF319D"/>
    <w:rsid w:val="0ED63EFE"/>
    <w:rsid w:val="0EE859DF"/>
    <w:rsid w:val="0F031129"/>
    <w:rsid w:val="0F0D5446"/>
    <w:rsid w:val="0F0E6FAC"/>
    <w:rsid w:val="0F13775A"/>
    <w:rsid w:val="0F2729AB"/>
    <w:rsid w:val="0F334030"/>
    <w:rsid w:val="0F406164"/>
    <w:rsid w:val="0F5A0A8A"/>
    <w:rsid w:val="0F5A14F8"/>
    <w:rsid w:val="0F5F45FE"/>
    <w:rsid w:val="0F5F58B5"/>
    <w:rsid w:val="0F625791"/>
    <w:rsid w:val="0F693ECA"/>
    <w:rsid w:val="0F876D07"/>
    <w:rsid w:val="0F8E47D8"/>
    <w:rsid w:val="0F9022FF"/>
    <w:rsid w:val="0F9A112B"/>
    <w:rsid w:val="0FA83AEC"/>
    <w:rsid w:val="0FB83603"/>
    <w:rsid w:val="0FC45AD9"/>
    <w:rsid w:val="0FE4264A"/>
    <w:rsid w:val="0FE74D6E"/>
    <w:rsid w:val="0FE8038D"/>
    <w:rsid w:val="0FED3C1C"/>
    <w:rsid w:val="100D0CBF"/>
    <w:rsid w:val="10280789"/>
    <w:rsid w:val="103235D1"/>
    <w:rsid w:val="10525806"/>
    <w:rsid w:val="105D041C"/>
    <w:rsid w:val="106B73A7"/>
    <w:rsid w:val="106D2F64"/>
    <w:rsid w:val="106D36EE"/>
    <w:rsid w:val="107514F4"/>
    <w:rsid w:val="10757995"/>
    <w:rsid w:val="1092303F"/>
    <w:rsid w:val="10A342B4"/>
    <w:rsid w:val="10A5349F"/>
    <w:rsid w:val="10B24963"/>
    <w:rsid w:val="10B63710"/>
    <w:rsid w:val="10D17073"/>
    <w:rsid w:val="10F10820"/>
    <w:rsid w:val="110036B2"/>
    <w:rsid w:val="111C2F7A"/>
    <w:rsid w:val="1131276B"/>
    <w:rsid w:val="11317630"/>
    <w:rsid w:val="11317B11"/>
    <w:rsid w:val="113F222E"/>
    <w:rsid w:val="11535CDA"/>
    <w:rsid w:val="11555F29"/>
    <w:rsid w:val="115E5E70"/>
    <w:rsid w:val="11665CA1"/>
    <w:rsid w:val="116F0610"/>
    <w:rsid w:val="117B2E74"/>
    <w:rsid w:val="119A3908"/>
    <w:rsid w:val="11A77DD3"/>
    <w:rsid w:val="11BB1AD0"/>
    <w:rsid w:val="11DB771B"/>
    <w:rsid w:val="11FA43A7"/>
    <w:rsid w:val="120D5E88"/>
    <w:rsid w:val="120E39AF"/>
    <w:rsid w:val="12114284"/>
    <w:rsid w:val="12246685"/>
    <w:rsid w:val="123D53B1"/>
    <w:rsid w:val="123E24E6"/>
    <w:rsid w:val="124B69B1"/>
    <w:rsid w:val="128123D2"/>
    <w:rsid w:val="128230ED"/>
    <w:rsid w:val="12887C05"/>
    <w:rsid w:val="12904C0D"/>
    <w:rsid w:val="12961468"/>
    <w:rsid w:val="12971BF6"/>
    <w:rsid w:val="12A90552"/>
    <w:rsid w:val="12AD766B"/>
    <w:rsid w:val="12DE15D3"/>
    <w:rsid w:val="12E110C3"/>
    <w:rsid w:val="12E1693F"/>
    <w:rsid w:val="130972F5"/>
    <w:rsid w:val="131B53CF"/>
    <w:rsid w:val="131C53CB"/>
    <w:rsid w:val="132A0CBC"/>
    <w:rsid w:val="134A6C68"/>
    <w:rsid w:val="134C451D"/>
    <w:rsid w:val="135950FD"/>
    <w:rsid w:val="13682F71"/>
    <w:rsid w:val="137B658D"/>
    <w:rsid w:val="137D6423"/>
    <w:rsid w:val="13905FFE"/>
    <w:rsid w:val="13951726"/>
    <w:rsid w:val="13A5444C"/>
    <w:rsid w:val="13BE6C74"/>
    <w:rsid w:val="13DA2DBE"/>
    <w:rsid w:val="13E31F29"/>
    <w:rsid w:val="13F84916"/>
    <w:rsid w:val="13FC3F7E"/>
    <w:rsid w:val="140137CB"/>
    <w:rsid w:val="140C29CB"/>
    <w:rsid w:val="142C10D4"/>
    <w:rsid w:val="14396509"/>
    <w:rsid w:val="143D6E71"/>
    <w:rsid w:val="144641F2"/>
    <w:rsid w:val="14507177"/>
    <w:rsid w:val="14661880"/>
    <w:rsid w:val="1468384A"/>
    <w:rsid w:val="147F7C89"/>
    <w:rsid w:val="14801A85"/>
    <w:rsid w:val="148D32B1"/>
    <w:rsid w:val="149A2D26"/>
    <w:rsid w:val="14A625C4"/>
    <w:rsid w:val="14B0380B"/>
    <w:rsid w:val="14C61952"/>
    <w:rsid w:val="14C71D43"/>
    <w:rsid w:val="14D902A4"/>
    <w:rsid w:val="14DD2C3C"/>
    <w:rsid w:val="14E70151"/>
    <w:rsid w:val="14E957D0"/>
    <w:rsid w:val="14FA2EE1"/>
    <w:rsid w:val="14FC0436"/>
    <w:rsid w:val="150177FB"/>
    <w:rsid w:val="150B4A25"/>
    <w:rsid w:val="1514752E"/>
    <w:rsid w:val="15235D67"/>
    <w:rsid w:val="15304812"/>
    <w:rsid w:val="153656F6"/>
    <w:rsid w:val="1545761A"/>
    <w:rsid w:val="155B515D"/>
    <w:rsid w:val="15634011"/>
    <w:rsid w:val="156758B0"/>
    <w:rsid w:val="15695ACC"/>
    <w:rsid w:val="156C2EC6"/>
    <w:rsid w:val="156D6C3E"/>
    <w:rsid w:val="156F389B"/>
    <w:rsid w:val="1580118E"/>
    <w:rsid w:val="158B7190"/>
    <w:rsid w:val="1593526F"/>
    <w:rsid w:val="15A85EC8"/>
    <w:rsid w:val="15AE1730"/>
    <w:rsid w:val="15B02E6B"/>
    <w:rsid w:val="15CD6161"/>
    <w:rsid w:val="15CF16A7"/>
    <w:rsid w:val="15DC25F4"/>
    <w:rsid w:val="15EC126D"/>
    <w:rsid w:val="15F74CE3"/>
    <w:rsid w:val="16087E1D"/>
    <w:rsid w:val="160E21CF"/>
    <w:rsid w:val="160F6C96"/>
    <w:rsid w:val="161A7CC6"/>
    <w:rsid w:val="161D7A59"/>
    <w:rsid w:val="16236EB2"/>
    <w:rsid w:val="163746C6"/>
    <w:rsid w:val="16626EBF"/>
    <w:rsid w:val="16695691"/>
    <w:rsid w:val="16783F76"/>
    <w:rsid w:val="16907088"/>
    <w:rsid w:val="169C4CD7"/>
    <w:rsid w:val="16A6065A"/>
    <w:rsid w:val="16BC409B"/>
    <w:rsid w:val="16BE2DCD"/>
    <w:rsid w:val="16CB6312"/>
    <w:rsid w:val="16E36AB1"/>
    <w:rsid w:val="16EC3373"/>
    <w:rsid w:val="16F9629D"/>
    <w:rsid w:val="1704307D"/>
    <w:rsid w:val="17377504"/>
    <w:rsid w:val="174E133D"/>
    <w:rsid w:val="17654071"/>
    <w:rsid w:val="1768590F"/>
    <w:rsid w:val="17701D14"/>
    <w:rsid w:val="17717E5F"/>
    <w:rsid w:val="17735226"/>
    <w:rsid w:val="177625A5"/>
    <w:rsid w:val="177B7D38"/>
    <w:rsid w:val="1781674E"/>
    <w:rsid w:val="179130B8"/>
    <w:rsid w:val="17935082"/>
    <w:rsid w:val="17AC1925"/>
    <w:rsid w:val="17AD3FD1"/>
    <w:rsid w:val="17B86896"/>
    <w:rsid w:val="17B9616B"/>
    <w:rsid w:val="17BF2C69"/>
    <w:rsid w:val="17C2677D"/>
    <w:rsid w:val="17CC6A83"/>
    <w:rsid w:val="17FA6EAF"/>
    <w:rsid w:val="17FF2717"/>
    <w:rsid w:val="180E295A"/>
    <w:rsid w:val="183A54FD"/>
    <w:rsid w:val="18463EA2"/>
    <w:rsid w:val="184C481E"/>
    <w:rsid w:val="184F5A80"/>
    <w:rsid w:val="18623F20"/>
    <w:rsid w:val="186C1725"/>
    <w:rsid w:val="18942F6A"/>
    <w:rsid w:val="189E7519"/>
    <w:rsid w:val="189F624C"/>
    <w:rsid w:val="18BB7CEF"/>
    <w:rsid w:val="18C90755"/>
    <w:rsid w:val="18E65685"/>
    <w:rsid w:val="18FF4051"/>
    <w:rsid w:val="191C723B"/>
    <w:rsid w:val="191E6E5D"/>
    <w:rsid w:val="191F6B45"/>
    <w:rsid w:val="19366562"/>
    <w:rsid w:val="194B54E8"/>
    <w:rsid w:val="195F17CA"/>
    <w:rsid w:val="19676326"/>
    <w:rsid w:val="196C5B8A"/>
    <w:rsid w:val="198922AB"/>
    <w:rsid w:val="19985B29"/>
    <w:rsid w:val="19A879C9"/>
    <w:rsid w:val="19B1359D"/>
    <w:rsid w:val="19B80596"/>
    <w:rsid w:val="19BE68BB"/>
    <w:rsid w:val="19C050E1"/>
    <w:rsid w:val="19C27D91"/>
    <w:rsid w:val="19CD2C0F"/>
    <w:rsid w:val="19F31E08"/>
    <w:rsid w:val="19F8177B"/>
    <w:rsid w:val="19F97CC8"/>
    <w:rsid w:val="1A086891"/>
    <w:rsid w:val="1A18516A"/>
    <w:rsid w:val="1A1C66C0"/>
    <w:rsid w:val="1A2553F4"/>
    <w:rsid w:val="1A274860"/>
    <w:rsid w:val="1A2B2745"/>
    <w:rsid w:val="1A387A77"/>
    <w:rsid w:val="1A3D12D5"/>
    <w:rsid w:val="1A42393B"/>
    <w:rsid w:val="1A424B3D"/>
    <w:rsid w:val="1A6E7B61"/>
    <w:rsid w:val="1A81643F"/>
    <w:rsid w:val="1A846F04"/>
    <w:rsid w:val="1A901E68"/>
    <w:rsid w:val="1A954C6D"/>
    <w:rsid w:val="1AA113B5"/>
    <w:rsid w:val="1AAD45DE"/>
    <w:rsid w:val="1AC06096"/>
    <w:rsid w:val="1AF31ACB"/>
    <w:rsid w:val="1AF35671"/>
    <w:rsid w:val="1AF60592"/>
    <w:rsid w:val="1B01545C"/>
    <w:rsid w:val="1B046F80"/>
    <w:rsid w:val="1B083691"/>
    <w:rsid w:val="1B110958"/>
    <w:rsid w:val="1B150C21"/>
    <w:rsid w:val="1B1A7868"/>
    <w:rsid w:val="1B2C711D"/>
    <w:rsid w:val="1B3267B5"/>
    <w:rsid w:val="1B391A9C"/>
    <w:rsid w:val="1B3F107D"/>
    <w:rsid w:val="1B40161D"/>
    <w:rsid w:val="1B416BA3"/>
    <w:rsid w:val="1B441859"/>
    <w:rsid w:val="1B487F31"/>
    <w:rsid w:val="1B492499"/>
    <w:rsid w:val="1B535E2A"/>
    <w:rsid w:val="1B611051"/>
    <w:rsid w:val="1B6606B1"/>
    <w:rsid w:val="1B753723"/>
    <w:rsid w:val="1B75684C"/>
    <w:rsid w:val="1B7B7127"/>
    <w:rsid w:val="1B826AF7"/>
    <w:rsid w:val="1B8C1FFC"/>
    <w:rsid w:val="1B8D2C3F"/>
    <w:rsid w:val="1BA810D2"/>
    <w:rsid w:val="1BBC26CD"/>
    <w:rsid w:val="1BBE6445"/>
    <w:rsid w:val="1BD6553D"/>
    <w:rsid w:val="1BE86F35"/>
    <w:rsid w:val="1BE96C9F"/>
    <w:rsid w:val="1BF30530"/>
    <w:rsid w:val="1BF573C9"/>
    <w:rsid w:val="1BFA6C35"/>
    <w:rsid w:val="1BFA7804"/>
    <w:rsid w:val="1C02130A"/>
    <w:rsid w:val="1C1357D3"/>
    <w:rsid w:val="1C17374D"/>
    <w:rsid w:val="1C1B293B"/>
    <w:rsid w:val="1C2D6BF2"/>
    <w:rsid w:val="1C35117B"/>
    <w:rsid w:val="1C3770CF"/>
    <w:rsid w:val="1C4714D0"/>
    <w:rsid w:val="1C5135FC"/>
    <w:rsid w:val="1C5E7925"/>
    <w:rsid w:val="1C624283"/>
    <w:rsid w:val="1C6E7E6B"/>
    <w:rsid w:val="1C767B21"/>
    <w:rsid w:val="1C8615F4"/>
    <w:rsid w:val="1C8C6B54"/>
    <w:rsid w:val="1C931680"/>
    <w:rsid w:val="1C9D42AD"/>
    <w:rsid w:val="1CBE5D71"/>
    <w:rsid w:val="1CE41EDC"/>
    <w:rsid w:val="1CE62F38"/>
    <w:rsid w:val="1CEA33EA"/>
    <w:rsid w:val="1CFD070F"/>
    <w:rsid w:val="1D052F51"/>
    <w:rsid w:val="1D1A76AB"/>
    <w:rsid w:val="1D484219"/>
    <w:rsid w:val="1D4B1F5B"/>
    <w:rsid w:val="1D5C3464"/>
    <w:rsid w:val="1D5F6196"/>
    <w:rsid w:val="1D6132A5"/>
    <w:rsid w:val="1D701108"/>
    <w:rsid w:val="1D8E56D5"/>
    <w:rsid w:val="1DB25B36"/>
    <w:rsid w:val="1DC8750C"/>
    <w:rsid w:val="1DCB096B"/>
    <w:rsid w:val="1DCB1BEF"/>
    <w:rsid w:val="1DCE22F6"/>
    <w:rsid w:val="1DDB4F4E"/>
    <w:rsid w:val="1DE875B1"/>
    <w:rsid w:val="1DFB572F"/>
    <w:rsid w:val="1DFC3255"/>
    <w:rsid w:val="1E020431"/>
    <w:rsid w:val="1E0B4C91"/>
    <w:rsid w:val="1E140076"/>
    <w:rsid w:val="1E285EBA"/>
    <w:rsid w:val="1E2C0F41"/>
    <w:rsid w:val="1E381EE6"/>
    <w:rsid w:val="1E437AC0"/>
    <w:rsid w:val="1E450758"/>
    <w:rsid w:val="1E4B1135"/>
    <w:rsid w:val="1E4C5F8A"/>
    <w:rsid w:val="1E5E2FCF"/>
    <w:rsid w:val="1E7A43DA"/>
    <w:rsid w:val="1E7B40B9"/>
    <w:rsid w:val="1E8219AC"/>
    <w:rsid w:val="1E876FC3"/>
    <w:rsid w:val="1E93077E"/>
    <w:rsid w:val="1EA23DFC"/>
    <w:rsid w:val="1EB1426A"/>
    <w:rsid w:val="1ECF0BC9"/>
    <w:rsid w:val="1EEC1623"/>
    <w:rsid w:val="1EEC32CA"/>
    <w:rsid w:val="1EF220FA"/>
    <w:rsid w:val="1EFA1346"/>
    <w:rsid w:val="1F1F7D97"/>
    <w:rsid w:val="1F29779B"/>
    <w:rsid w:val="1F2B3DF2"/>
    <w:rsid w:val="1F336295"/>
    <w:rsid w:val="1F624061"/>
    <w:rsid w:val="1F6D7F66"/>
    <w:rsid w:val="1F750028"/>
    <w:rsid w:val="1FAA7337"/>
    <w:rsid w:val="1FB80F3D"/>
    <w:rsid w:val="1FBB33C8"/>
    <w:rsid w:val="1FCA360B"/>
    <w:rsid w:val="1FE7539E"/>
    <w:rsid w:val="1FFC12EA"/>
    <w:rsid w:val="201662B3"/>
    <w:rsid w:val="2029120E"/>
    <w:rsid w:val="202A6150"/>
    <w:rsid w:val="202B512F"/>
    <w:rsid w:val="2051166D"/>
    <w:rsid w:val="205B0707"/>
    <w:rsid w:val="20671BE0"/>
    <w:rsid w:val="2087171E"/>
    <w:rsid w:val="209634ED"/>
    <w:rsid w:val="20963CB8"/>
    <w:rsid w:val="209F6845"/>
    <w:rsid w:val="20A81A1B"/>
    <w:rsid w:val="20B07DE9"/>
    <w:rsid w:val="20B07FB6"/>
    <w:rsid w:val="20B646FB"/>
    <w:rsid w:val="20B6593D"/>
    <w:rsid w:val="20C51CD3"/>
    <w:rsid w:val="20CD4236"/>
    <w:rsid w:val="20EA531B"/>
    <w:rsid w:val="21020207"/>
    <w:rsid w:val="21022930"/>
    <w:rsid w:val="211D78D0"/>
    <w:rsid w:val="211F1DE5"/>
    <w:rsid w:val="21293051"/>
    <w:rsid w:val="213B1AAD"/>
    <w:rsid w:val="213B74B1"/>
    <w:rsid w:val="214370BF"/>
    <w:rsid w:val="215A2310"/>
    <w:rsid w:val="21631267"/>
    <w:rsid w:val="21677A63"/>
    <w:rsid w:val="216C7ABF"/>
    <w:rsid w:val="21910FD3"/>
    <w:rsid w:val="21920158"/>
    <w:rsid w:val="21946D3F"/>
    <w:rsid w:val="21AE3327"/>
    <w:rsid w:val="21B4070B"/>
    <w:rsid w:val="21BC51D5"/>
    <w:rsid w:val="21BF5939"/>
    <w:rsid w:val="21CB5418"/>
    <w:rsid w:val="21CD362D"/>
    <w:rsid w:val="21D14F5C"/>
    <w:rsid w:val="21D45A8B"/>
    <w:rsid w:val="21D56297"/>
    <w:rsid w:val="21DE318A"/>
    <w:rsid w:val="21E57B08"/>
    <w:rsid w:val="21EF5B80"/>
    <w:rsid w:val="22151078"/>
    <w:rsid w:val="222114DC"/>
    <w:rsid w:val="22462C3F"/>
    <w:rsid w:val="22480700"/>
    <w:rsid w:val="22484D4A"/>
    <w:rsid w:val="22532856"/>
    <w:rsid w:val="22573150"/>
    <w:rsid w:val="22576990"/>
    <w:rsid w:val="22750705"/>
    <w:rsid w:val="227C2E4C"/>
    <w:rsid w:val="228F4698"/>
    <w:rsid w:val="22982CEA"/>
    <w:rsid w:val="229E0D7F"/>
    <w:rsid w:val="22AC22D1"/>
    <w:rsid w:val="22AD4B1E"/>
    <w:rsid w:val="22AF0896"/>
    <w:rsid w:val="22B12290"/>
    <w:rsid w:val="22D6371D"/>
    <w:rsid w:val="22E76282"/>
    <w:rsid w:val="22EA5A6D"/>
    <w:rsid w:val="22F47480"/>
    <w:rsid w:val="230F5BF0"/>
    <w:rsid w:val="233806F2"/>
    <w:rsid w:val="233D2346"/>
    <w:rsid w:val="2342712B"/>
    <w:rsid w:val="23501E59"/>
    <w:rsid w:val="23521AD3"/>
    <w:rsid w:val="23570963"/>
    <w:rsid w:val="236819A8"/>
    <w:rsid w:val="23741495"/>
    <w:rsid w:val="23783011"/>
    <w:rsid w:val="237B0B11"/>
    <w:rsid w:val="237C6E2B"/>
    <w:rsid w:val="239A1546"/>
    <w:rsid w:val="23A14668"/>
    <w:rsid w:val="23C36D29"/>
    <w:rsid w:val="23C65F40"/>
    <w:rsid w:val="23DE1C48"/>
    <w:rsid w:val="23E447B6"/>
    <w:rsid w:val="23EE0080"/>
    <w:rsid w:val="23EE50C5"/>
    <w:rsid w:val="23FA3D93"/>
    <w:rsid w:val="240210CD"/>
    <w:rsid w:val="24047159"/>
    <w:rsid w:val="240926CA"/>
    <w:rsid w:val="241F1A4B"/>
    <w:rsid w:val="242157C3"/>
    <w:rsid w:val="242457AD"/>
    <w:rsid w:val="24253E9B"/>
    <w:rsid w:val="246165A6"/>
    <w:rsid w:val="24721326"/>
    <w:rsid w:val="247B7D5D"/>
    <w:rsid w:val="24833D88"/>
    <w:rsid w:val="24877D1C"/>
    <w:rsid w:val="248843F2"/>
    <w:rsid w:val="24B50F34"/>
    <w:rsid w:val="24BF09F7"/>
    <w:rsid w:val="24C42215"/>
    <w:rsid w:val="24FD1D8D"/>
    <w:rsid w:val="25072C0B"/>
    <w:rsid w:val="251C461B"/>
    <w:rsid w:val="252D53FE"/>
    <w:rsid w:val="253024AD"/>
    <w:rsid w:val="25312E6D"/>
    <w:rsid w:val="25413432"/>
    <w:rsid w:val="254B39CA"/>
    <w:rsid w:val="25594873"/>
    <w:rsid w:val="25753ECD"/>
    <w:rsid w:val="25A367BA"/>
    <w:rsid w:val="25A8795E"/>
    <w:rsid w:val="25BA28AD"/>
    <w:rsid w:val="25C30677"/>
    <w:rsid w:val="25DD7DE6"/>
    <w:rsid w:val="25E50A12"/>
    <w:rsid w:val="25EC2D81"/>
    <w:rsid w:val="25F0369F"/>
    <w:rsid w:val="2605516B"/>
    <w:rsid w:val="26164A91"/>
    <w:rsid w:val="262564A4"/>
    <w:rsid w:val="262938F4"/>
    <w:rsid w:val="26454023"/>
    <w:rsid w:val="264707CF"/>
    <w:rsid w:val="26493B19"/>
    <w:rsid w:val="265F3657"/>
    <w:rsid w:val="26845849"/>
    <w:rsid w:val="26942845"/>
    <w:rsid w:val="26946721"/>
    <w:rsid w:val="269C707E"/>
    <w:rsid w:val="26A06E73"/>
    <w:rsid w:val="26A65521"/>
    <w:rsid w:val="26C708A4"/>
    <w:rsid w:val="26C96EFA"/>
    <w:rsid w:val="26E00191"/>
    <w:rsid w:val="26ED706D"/>
    <w:rsid w:val="26F005AC"/>
    <w:rsid w:val="26F43175"/>
    <w:rsid w:val="270513CC"/>
    <w:rsid w:val="272F6449"/>
    <w:rsid w:val="27337417"/>
    <w:rsid w:val="273E03D7"/>
    <w:rsid w:val="274666AE"/>
    <w:rsid w:val="274C0856"/>
    <w:rsid w:val="274C129A"/>
    <w:rsid w:val="274D0351"/>
    <w:rsid w:val="27647521"/>
    <w:rsid w:val="277057A2"/>
    <w:rsid w:val="27840543"/>
    <w:rsid w:val="278427E7"/>
    <w:rsid w:val="279369D8"/>
    <w:rsid w:val="27AD60AA"/>
    <w:rsid w:val="27AF30E6"/>
    <w:rsid w:val="27BE3A6E"/>
    <w:rsid w:val="27C00B51"/>
    <w:rsid w:val="27EB05C2"/>
    <w:rsid w:val="27ED0BF8"/>
    <w:rsid w:val="27F1306A"/>
    <w:rsid w:val="27F77C58"/>
    <w:rsid w:val="282F52B9"/>
    <w:rsid w:val="28435545"/>
    <w:rsid w:val="28475245"/>
    <w:rsid w:val="28575C58"/>
    <w:rsid w:val="285C6DCA"/>
    <w:rsid w:val="285F64DB"/>
    <w:rsid w:val="28650375"/>
    <w:rsid w:val="28674972"/>
    <w:rsid w:val="286D3735"/>
    <w:rsid w:val="28787579"/>
    <w:rsid w:val="287C121A"/>
    <w:rsid w:val="28824360"/>
    <w:rsid w:val="289C7337"/>
    <w:rsid w:val="28A87747"/>
    <w:rsid w:val="28B3224B"/>
    <w:rsid w:val="28CB3F50"/>
    <w:rsid w:val="28FA423F"/>
    <w:rsid w:val="290556B4"/>
    <w:rsid w:val="290D6316"/>
    <w:rsid w:val="291678C1"/>
    <w:rsid w:val="29192F0D"/>
    <w:rsid w:val="29206EB8"/>
    <w:rsid w:val="292E4FFC"/>
    <w:rsid w:val="29595666"/>
    <w:rsid w:val="29617E99"/>
    <w:rsid w:val="29777BB7"/>
    <w:rsid w:val="2983366B"/>
    <w:rsid w:val="29874881"/>
    <w:rsid w:val="29882870"/>
    <w:rsid w:val="29891E41"/>
    <w:rsid w:val="29A30B6B"/>
    <w:rsid w:val="29AF647C"/>
    <w:rsid w:val="29B175E9"/>
    <w:rsid w:val="29B50E88"/>
    <w:rsid w:val="29B6075C"/>
    <w:rsid w:val="29B64C00"/>
    <w:rsid w:val="29C72969"/>
    <w:rsid w:val="29E325E0"/>
    <w:rsid w:val="29FE6FED"/>
    <w:rsid w:val="2A0119E5"/>
    <w:rsid w:val="2A0A5FF9"/>
    <w:rsid w:val="2A0E46D9"/>
    <w:rsid w:val="2A117749"/>
    <w:rsid w:val="2A1242C4"/>
    <w:rsid w:val="2A247DBB"/>
    <w:rsid w:val="2A2878AC"/>
    <w:rsid w:val="2A383867"/>
    <w:rsid w:val="2A3D1CDF"/>
    <w:rsid w:val="2A3E67BC"/>
    <w:rsid w:val="2A3F69A3"/>
    <w:rsid w:val="2A452503"/>
    <w:rsid w:val="2A4B6003"/>
    <w:rsid w:val="2A506E2C"/>
    <w:rsid w:val="2A64640A"/>
    <w:rsid w:val="2A681C50"/>
    <w:rsid w:val="2A7501C8"/>
    <w:rsid w:val="2A781EB5"/>
    <w:rsid w:val="2A862824"/>
    <w:rsid w:val="2A9522DD"/>
    <w:rsid w:val="2AAD3FF2"/>
    <w:rsid w:val="2AC30540"/>
    <w:rsid w:val="2AD83BB6"/>
    <w:rsid w:val="2ADA11FD"/>
    <w:rsid w:val="2ADB491E"/>
    <w:rsid w:val="2AF71D28"/>
    <w:rsid w:val="2AF96569"/>
    <w:rsid w:val="2B0D6AA1"/>
    <w:rsid w:val="2B1F74E2"/>
    <w:rsid w:val="2B367DA6"/>
    <w:rsid w:val="2B485D2C"/>
    <w:rsid w:val="2B522706"/>
    <w:rsid w:val="2B5362EC"/>
    <w:rsid w:val="2B637489"/>
    <w:rsid w:val="2B6A3B3B"/>
    <w:rsid w:val="2B6A4948"/>
    <w:rsid w:val="2B6F7248"/>
    <w:rsid w:val="2B8A6344"/>
    <w:rsid w:val="2B911481"/>
    <w:rsid w:val="2B94544F"/>
    <w:rsid w:val="2BA70440"/>
    <w:rsid w:val="2BA936A8"/>
    <w:rsid w:val="2BA9473A"/>
    <w:rsid w:val="2BAD44D0"/>
    <w:rsid w:val="2BC21627"/>
    <w:rsid w:val="2BC52202"/>
    <w:rsid w:val="2BCE0BF3"/>
    <w:rsid w:val="2BD90527"/>
    <w:rsid w:val="2BDF773B"/>
    <w:rsid w:val="2BE121FF"/>
    <w:rsid w:val="2BE37F2A"/>
    <w:rsid w:val="2BEE55D3"/>
    <w:rsid w:val="2BF0264B"/>
    <w:rsid w:val="2C0053B3"/>
    <w:rsid w:val="2C0B1233"/>
    <w:rsid w:val="2C2B5431"/>
    <w:rsid w:val="2C315A5A"/>
    <w:rsid w:val="2C386E53"/>
    <w:rsid w:val="2C493B09"/>
    <w:rsid w:val="2C4B1C25"/>
    <w:rsid w:val="2C596959"/>
    <w:rsid w:val="2C5F31FE"/>
    <w:rsid w:val="2C66201F"/>
    <w:rsid w:val="2C672279"/>
    <w:rsid w:val="2C78360A"/>
    <w:rsid w:val="2C7A4785"/>
    <w:rsid w:val="2C7B0A57"/>
    <w:rsid w:val="2C812CCB"/>
    <w:rsid w:val="2C9D5C03"/>
    <w:rsid w:val="2C9F197B"/>
    <w:rsid w:val="2CA168C1"/>
    <w:rsid w:val="2CAE7E10"/>
    <w:rsid w:val="2CB002DA"/>
    <w:rsid w:val="2CB27900"/>
    <w:rsid w:val="2CCC287E"/>
    <w:rsid w:val="2CD930DF"/>
    <w:rsid w:val="2CDF451F"/>
    <w:rsid w:val="2CE21007"/>
    <w:rsid w:val="2CE2177E"/>
    <w:rsid w:val="2CF51881"/>
    <w:rsid w:val="2CFF2E26"/>
    <w:rsid w:val="2D030BFD"/>
    <w:rsid w:val="2D073219"/>
    <w:rsid w:val="2D1265F1"/>
    <w:rsid w:val="2D240B68"/>
    <w:rsid w:val="2D244788"/>
    <w:rsid w:val="2D300825"/>
    <w:rsid w:val="2D3132B2"/>
    <w:rsid w:val="2D331317"/>
    <w:rsid w:val="2D4349FC"/>
    <w:rsid w:val="2D450775"/>
    <w:rsid w:val="2D524C40"/>
    <w:rsid w:val="2D7C1CBC"/>
    <w:rsid w:val="2D940467"/>
    <w:rsid w:val="2D9A7B83"/>
    <w:rsid w:val="2D9E56F5"/>
    <w:rsid w:val="2DAB78D5"/>
    <w:rsid w:val="2DB20B00"/>
    <w:rsid w:val="2DB44E79"/>
    <w:rsid w:val="2DBE7E63"/>
    <w:rsid w:val="2DC75C28"/>
    <w:rsid w:val="2DCC67A0"/>
    <w:rsid w:val="2DCD3BF8"/>
    <w:rsid w:val="2DCE7B02"/>
    <w:rsid w:val="2DE40288"/>
    <w:rsid w:val="2DED6FC7"/>
    <w:rsid w:val="2DF53F49"/>
    <w:rsid w:val="2E0F57F5"/>
    <w:rsid w:val="2E1D57CA"/>
    <w:rsid w:val="2E203C3B"/>
    <w:rsid w:val="2E4427DA"/>
    <w:rsid w:val="2E4B1DBB"/>
    <w:rsid w:val="2E50117F"/>
    <w:rsid w:val="2E513149"/>
    <w:rsid w:val="2E55627A"/>
    <w:rsid w:val="2E594556"/>
    <w:rsid w:val="2E605140"/>
    <w:rsid w:val="2E627ABF"/>
    <w:rsid w:val="2E667F96"/>
    <w:rsid w:val="2E7A324E"/>
    <w:rsid w:val="2E8226AB"/>
    <w:rsid w:val="2E9372BE"/>
    <w:rsid w:val="2EA8309B"/>
    <w:rsid w:val="2EBD11F7"/>
    <w:rsid w:val="2EC97664"/>
    <w:rsid w:val="2ECC182D"/>
    <w:rsid w:val="2EDA4EED"/>
    <w:rsid w:val="2EDC2A13"/>
    <w:rsid w:val="2EE542C4"/>
    <w:rsid w:val="2EF22236"/>
    <w:rsid w:val="2EF54E99"/>
    <w:rsid w:val="2F0578F8"/>
    <w:rsid w:val="2F0F41F7"/>
    <w:rsid w:val="2F1C5505"/>
    <w:rsid w:val="2F2564F1"/>
    <w:rsid w:val="2F2A082E"/>
    <w:rsid w:val="2F2D5DB8"/>
    <w:rsid w:val="2F2E3D45"/>
    <w:rsid w:val="2F3B087C"/>
    <w:rsid w:val="2F407445"/>
    <w:rsid w:val="2F546701"/>
    <w:rsid w:val="2F5D3E4C"/>
    <w:rsid w:val="2F606B49"/>
    <w:rsid w:val="2F65383E"/>
    <w:rsid w:val="2F872A9E"/>
    <w:rsid w:val="2F884949"/>
    <w:rsid w:val="2F932BA4"/>
    <w:rsid w:val="2F94153F"/>
    <w:rsid w:val="2F96046C"/>
    <w:rsid w:val="2F9B1968"/>
    <w:rsid w:val="2FA13583"/>
    <w:rsid w:val="2FA550F6"/>
    <w:rsid w:val="2FAF1ED5"/>
    <w:rsid w:val="2FBD06F2"/>
    <w:rsid w:val="2FC57655"/>
    <w:rsid w:val="2FD065E6"/>
    <w:rsid w:val="2FD81710"/>
    <w:rsid w:val="2FD96870"/>
    <w:rsid w:val="2FE907EA"/>
    <w:rsid w:val="30054AD9"/>
    <w:rsid w:val="30224D9D"/>
    <w:rsid w:val="3029612C"/>
    <w:rsid w:val="30340F6D"/>
    <w:rsid w:val="30424C7D"/>
    <w:rsid w:val="30426D82"/>
    <w:rsid w:val="30580BC9"/>
    <w:rsid w:val="30676C54"/>
    <w:rsid w:val="307E36BA"/>
    <w:rsid w:val="30851C16"/>
    <w:rsid w:val="30935850"/>
    <w:rsid w:val="30986E0D"/>
    <w:rsid w:val="30AA3266"/>
    <w:rsid w:val="30AB393D"/>
    <w:rsid w:val="30B860DB"/>
    <w:rsid w:val="30CC5C22"/>
    <w:rsid w:val="30D85765"/>
    <w:rsid w:val="30E2185C"/>
    <w:rsid w:val="30ED29E5"/>
    <w:rsid w:val="30F91F5D"/>
    <w:rsid w:val="310C5404"/>
    <w:rsid w:val="31123BE4"/>
    <w:rsid w:val="311A098E"/>
    <w:rsid w:val="311E2ED7"/>
    <w:rsid w:val="31292A95"/>
    <w:rsid w:val="31365AFE"/>
    <w:rsid w:val="31415C21"/>
    <w:rsid w:val="31436794"/>
    <w:rsid w:val="314E571E"/>
    <w:rsid w:val="315619EE"/>
    <w:rsid w:val="3159659D"/>
    <w:rsid w:val="315C449C"/>
    <w:rsid w:val="315F16D9"/>
    <w:rsid w:val="316D2048"/>
    <w:rsid w:val="319C46DB"/>
    <w:rsid w:val="31A11CF2"/>
    <w:rsid w:val="31A53A4D"/>
    <w:rsid w:val="31B82709"/>
    <w:rsid w:val="31B9703B"/>
    <w:rsid w:val="31CB4544"/>
    <w:rsid w:val="31CB6D6E"/>
    <w:rsid w:val="31CE34E0"/>
    <w:rsid w:val="31D05482"/>
    <w:rsid w:val="31D80513"/>
    <w:rsid w:val="32100D0D"/>
    <w:rsid w:val="3223427F"/>
    <w:rsid w:val="32333292"/>
    <w:rsid w:val="323B36A0"/>
    <w:rsid w:val="323D5EBE"/>
    <w:rsid w:val="32400B34"/>
    <w:rsid w:val="324D435D"/>
    <w:rsid w:val="325F4309"/>
    <w:rsid w:val="326571C3"/>
    <w:rsid w:val="327B6690"/>
    <w:rsid w:val="32965CFD"/>
    <w:rsid w:val="329E6876"/>
    <w:rsid w:val="32CD2236"/>
    <w:rsid w:val="32CD7638"/>
    <w:rsid w:val="32D6161D"/>
    <w:rsid w:val="32D663C8"/>
    <w:rsid w:val="32F21BC7"/>
    <w:rsid w:val="32FE2CD7"/>
    <w:rsid w:val="33042538"/>
    <w:rsid w:val="330E5059"/>
    <w:rsid w:val="331C07C9"/>
    <w:rsid w:val="33294694"/>
    <w:rsid w:val="333015F2"/>
    <w:rsid w:val="333472C1"/>
    <w:rsid w:val="333F0247"/>
    <w:rsid w:val="33447797"/>
    <w:rsid w:val="334B6320"/>
    <w:rsid w:val="334E0294"/>
    <w:rsid w:val="336D0DD5"/>
    <w:rsid w:val="33802506"/>
    <w:rsid w:val="338E2E78"/>
    <w:rsid w:val="33944CE4"/>
    <w:rsid w:val="339C0CF2"/>
    <w:rsid w:val="33A1422B"/>
    <w:rsid w:val="33AA7583"/>
    <w:rsid w:val="33BD6548"/>
    <w:rsid w:val="33BE4FA8"/>
    <w:rsid w:val="33C17FBB"/>
    <w:rsid w:val="33D934D4"/>
    <w:rsid w:val="33EA0D97"/>
    <w:rsid w:val="33FE2F6A"/>
    <w:rsid w:val="34025D53"/>
    <w:rsid w:val="340547BA"/>
    <w:rsid w:val="340D0E4E"/>
    <w:rsid w:val="340E07E5"/>
    <w:rsid w:val="341A3B3F"/>
    <w:rsid w:val="34235BF7"/>
    <w:rsid w:val="3428494C"/>
    <w:rsid w:val="342F7A89"/>
    <w:rsid w:val="34362BC5"/>
    <w:rsid w:val="34366B79"/>
    <w:rsid w:val="34472B03"/>
    <w:rsid w:val="34513BC3"/>
    <w:rsid w:val="34802092"/>
    <w:rsid w:val="3490711A"/>
    <w:rsid w:val="3491429F"/>
    <w:rsid w:val="34A36C3F"/>
    <w:rsid w:val="34A834A0"/>
    <w:rsid w:val="34A96B37"/>
    <w:rsid w:val="34B41D3C"/>
    <w:rsid w:val="34B82B18"/>
    <w:rsid w:val="34C860EA"/>
    <w:rsid w:val="34CA4F44"/>
    <w:rsid w:val="34F52A80"/>
    <w:rsid w:val="35026F4B"/>
    <w:rsid w:val="353B4436"/>
    <w:rsid w:val="354929CC"/>
    <w:rsid w:val="354F0DFC"/>
    <w:rsid w:val="35512249"/>
    <w:rsid w:val="356674DA"/>
    <w:rsid w:val="357065AB"/>
    <w:rsid w:val="358C5FA8"/>
    <w:rsid w:val="358C7A4B"/>
    <w:rsid w:val="35A61B4D"/>
    <w:rsid w:val="35AD62A7"/>
    <w:rsid w:val="35AF774D"/>
    <w:rsid w:val="35B677EB"/>
    <w:rsid w:val="35BC70FA"/>
    <w:rsid w:val="35C12962"/>
    <w:rsid w:val="35C15DF1"/>
    <w:rsid w:val="35C3679B"/>
    <w:rsid w:val="35C64805"/>
    <w:rsid w:val="35D02767"/>
    <w:rsid w:val="35DC0C12"/>
    <w:rsid w:val="35E3553D"/>
    <w:rsid w:val="35E75E22"/>
    <w:rsid w:val="35E8637E"/>
    <w:rsid w:val="36074A7F"/>
    <w:rsid w:val="360C1A6A"/>
    <w:rsid w:val="3619154E"/>
    <w:rsid w:val="363D46DF"/>
    <w:rsid w:val="36454940"/>
    <w:rsid w:val="3668025B"/>
    <w:rsid w:val="36736215"/>
    <w:rsid w:val="36923549"/>
    <w:rsid w:val="369A24FF"/>
    <w:rsid w:val="36A00723"/>
    <w:rsid w:val="36A261F0"/>
    <w:rsid w:val="36B14F28"/>
    <w:rsid w:val="36B56507"/>
    <w:rsid w:val="36B75FBF"/>
    <w:rsid w:val="36BD0C45"/>
    <w:rsid w:val="36C158C1"/>
    <w:rsid w:val="36C20CA0"/>
    <w:rsid w:val="36C72FCE"/>
    <w:rsid w:val="36E032BC"/>
    <w:rsid w:val="36E0506A"/>
    <w:rsid w:val="37094303"/>
    <w:rsid w:val="371116C7"/>
    <w:rsid w:val="3733245A"/>
    <w:rsid w:val="374675C3"/>
    <w:rsid w:val="375359FA"/>
    <w:rsid w:val="375F1ABA"/>
    <w:rsid w:val="376D3466"/>
    <w:rsid w:val="37732382"/>
    <w:rsid w:val="379A16BD"/>
    <w:rsid w:val="37A05B51"/>
    <w:rsid w:val="37AC3038"/>
    <w:rsid w:val="37BF3C88"/>
    <w:rsid w:val="37C4673A"/>
    <w:rsid w:val="37E00298"/>
    <w:rsid w:val="37E82428"/>
    <w:rsid w:val="37F46268"/>
    <w:rsid w:val="37F52D97"/>
    <w:rsid w:val="37FD32CC"/>
    <w:rsid w:val="38086A4E"/>
    <w:rsid w:val="380A0599"/>
    <w:rsid w:val="382E7BA4"/>
    <w:rsid w:val="38583566"/>
    <w:rsid w:val="385A4814"/>
    <w:rsid w:val="38657F1D"/>
    <w:rsid w:val="38673C95"/>
    <w:rsid w:val="386A72E1"/>
    <w:rsid w:val="386C6D70"/>
    <w:rsid w:val="387939C8"/>
    <w:rsid w:val="387F40B8"/>
    <w:rsid w:val="388E56B9"/>
    <w:rsid w:val="389A2B75"/>
    <w:rsid w:val="389B73A2"/>
    <w:rsid w:val="389E51DD"/>
    <w:rsid w:val="38B302F9"/>
    <w:rsid w:val="38B7004D"/>
    <w:rsid w:val="38BB5D8F"/>
    <w:rsid w:val="38C01ADF"/>
    <w:rsid w:val="38DC48F7"/>
    <w:rsid w:val="38DE4558"/>
    <w:rsid w:val="38ED44C0"/>
    <w:rsid w:val="38F12CD3"/>
    <w:rsid w:val="38F94775"/>
    <w:rsid w:val="392971ED"/>
    <w:rsid w:val="3931234C"/>
    <w:rsid w:val="39325651"/>
    <w:rsid w:val="39366B98"/>
    <w:rsid w:val="393873DF"/>
    <w:rsid w:val="3946010D"/>
    <w:rsid w:val="394C4C39"/>
    <w:rsid w:val="395619C1"/>
    <w:rsid w:val="396576E0"/>
    <w:rsid w:val="396C7089"/>
    <w:rsid w:val="39991B34"/>
    <w:rsid w:val="399B6654"/>
    <w:rsid w:val="39A16886"/>
    <w:rsid w:val="39AF7ACA"/>
    <w:rsid w:val="39B53D42"/>
    <w:rsid w:val="39DE1D35"/>
    <w:rsid w:val="39EE5CF0"/>
    <w:rsid w:val="39F71341"/>
    <w:rsid w:val="39FC21BB"/>
    <w:rsid w:val="39FE2BB5"/>
    <w:rsid w:val="3A0260E9"/>
    <w:rsid w:val="3A0278D1"/>
    <w:rsid w:val="3A0472C2"/>
    <w:rsid w:val="3A064854"/>
    <w:rsid w:val="3A216EBB"/>
    <w:rsid w:val="3A2A514F"/>
    <w:rsid w:val="3A325BDD"/>
    <w:rsid w:val="3A5215B3"/>
    <w:rsid w:val="3A555D6F"/>
    <w:rsid w:val="3A7249EB"/>
    <w:rsid w:val="3A85052F"/>
    <w:rsid w:val="3A854074"/>
    <w:rsid w:val="3A872856"/>
    <w:rsid w:val="3A905C8A"/>
    <w:rsid w:val="3A9105B7"/>
    <w:rsid w:val="3AA4620D"/>
    <w:rsid w:val="3AA60379"/>
    <w:rsid w:val="3AA80321"/>
    <w:rsid w:val="3AAB1C5E"/>
    <w:rsid w:val="3AB372BE"/>
    <w:rsid w:val="3AC032B3"/>
    <w:rsid w:val="3AC058DE"/>
    <w:rsid w:val="3ACC0BF2"/>
    <w:rsid w:val="3AD061D5"/>
    <w:rsid w:val="3AD62A0C"/>
    <w:rsid w:val="3ADD0722"/>
    <w:rsid w:val="3ADD0B37"/>
    <w:rsid w:val="3AEE3267"/>
    <w:rsid w:val="3AFB02DD"/>
    <w:rsid w:val="3B227EA4"/>
    <w:rsid w:val="3B3308BD"/>
    <w:rsid w:val="3B356055"/>
    <w:rsid w:val="3B356257"/>
    <w:rsid w:val="3B366B34"/>
    <w:rsid w:val="3B3763D1"/>
    <w:rsid w:val="3B392F9B"/>
    <w:rsid w:val="3B3B31B7"/>
    <w:rsid w:val="3B44206B"/>
    <w:rsid w:val="3B4E4C98"/>
    <w:rsid w:val="3B716BD9"/>
    <w:rsid w:val="3B8E40BF"/>
    <w:rsid w:val="3B926B22"/>
    <w:rsid w:val="3B96663F"/>
    <w:rsid w:val="3B9D79CE"/>
    <w:rsid w:val="3BAA3D8F"/>
    <w:rsid w:val="3BC136BC"/>
    <w:rsid w:val="3BCD573A"/>
    <w:rsid w:val="3BED141F"/>
    <w:rsid w:val="3BF910A8"/>
    <w:rsid w:val="3BFF71EC"/>
    <w:rsid w:val="3C0435A9"/>
    <w:rsid w:val="3C1102CB"/>
    <w:rsid w:val="3C17401F"/>
    <w:rsid w:val="3C1A6D33"/>
    <w:rsid w:val="3C251EB4"/>
    <w:rsid w:val="3C2F6E1E"/>
    <w:rsid w:val="3C3420E0"/>
    <w:rsid w:val="3C3D1083"/>
    <w:rsid w:val="3C4345A2"/>
    <w:rsid w:val="3C485B8B"/>
    <w:rsid w:val="3C4F64BA"/>
    <w:rsid w:val="3C5555B5"/>
    <w:rsid w:val="3C6605BD"/>
    <w:rsid w:val="3C8841DA"/>
    <w:rsid w:val="3CAD533F"/>
    <w:rsid w:val="3CB52AF5"/>
    <w:rsid w:val="3CB93200"/>
    <w:rsid w:val="3CBA0619"/>
    <w:rsid w:val="3CC52D38"/>
    <w:rsid w:val="3CD83D46"/>
    <w:rsid w:val="3CDA245A"/>
    <w:rsid w:val="3CDF5129"/>
    <w:rsid w:val="3CE82ECA"/>
    <w:rsid w:val="3CE91981"/>
    <w:rsid w:val="3CF24FD7"/>
    <w:rsid w:val="3D08071D"/>
    <w:rsid w:val="3D08531B"/>
    <w:rsid w:val="3D1E06B7"/>
    <w:rsid w:val="3D2757A1"/>
    <w:rsid w:val="3D314871"/>
    <w:rsid w:val="3D3918E3"/>
    <w:rsid w:val="3D491BBB"/>
    <w:rsid w:val="3D605157"/>
    <w:rsid w:val="3D60593D"/>
    <w:rsid w:val="3D632551"/>
    <w:rsid w:val="3D642E67"/>
    <w:rsid w:val="3D6F7A43"/>
    <w:rsid w:val="3D8537BD"/>
    <w:rsid w:val="3D8F24F1"/>
    <w:rsid w:val="3D9B4E64"/>
    <w:rsid w:val="3D9E46E1"/>
    <w:rsid w:val="3D9F7A2D"/>
    <w:rsid w:val="3DA81B6D"/>
    <w:rsid w:val="3DB70BEC"/>
    <w:rsid w:val="3DCE4BA3"/>
    <w:rsid w:val="3DD319DB"/>
    <w:rsid w:val="3DE14523"/>
    <w:rsid w:val="3DE763FA"/>
    <w:rsid w:val="3DFE06C2"/>
    <w:rsid w:val="3E1877DF"/>
    <w:rsid w:val="3E1A7CC9"/>
    <w:rsid w:val="3E203475"/>
    <w:rsid w:val="3E2E064A"/>
    <w:rsid w:val="3E35213F"/>
    <w:rsid w:val="3E416D36"/>
    <w:rsid w:val="3E506F79"/>
    <w:rsid w:val="3E536160"/>
    <w:rsid w:val="3E614CE2"/>
    <w:rsid w:val="3E636CAD"/>
    <w:rsid w:val="3E6842C3"/>
    <w:rsid w:val="3E6D23FA"/>
    <w:rsid w:val="3E722F39"/>
    <w:rsid w:val="3E7C237E"/>
    <w:rsid w:val="3E824BC6"/>
    <w:rsid w:val="3E8E5FFD"/>
    <w:rsid w:val="3E907A7A"/>
    <w:rsid w:val="3E916F43"/>
    <w:rsid w:val="3E92360B"/>
    <w:rsid w:val="3E9E7CE5"/>
    <w:rsid w:val="3EAB41B0"/>
    <w:rsid w:val="3EC27093"/>
    <w:rsid w:val="3EC777C4"/>
    <w:rsid w:val="3EDA0523"/>
    <w:rsid w:val="3EE651E8"/>
    <w:rsid w:val="3EFE4C27"/>
    <w:rsid w:val="3F164A3D"/>
    <w:rsid w:val="3F1D3192"/>
    <w:rsid w:val="3F202A41"/>
    <w:rsid w:val="3F2C3542"/>
    <w:rsid w:val="3F453141"/>
    <w:rsid w:val="3F593C0C"/>
    <w:rsid w:val="3F610607"/>
    <w:rsid w:val="3F7F7B16"/>
    <w:rsid w:val="3F8C0042"/>
    <w:rsid w:val="3FA07A8C"/>
    <w:rsid w:val="3FA45D73"/>
    <w:rsid w:val="3FB50D74"/>
    <w:rsid w:val="3FC512A1"/>
    <w:rsid w:val="3FC96FE3"/>
    <w:rsid w:val="3FE64360"/>
    <w:rsid w:val="3FEC4A80"/>
    <w:rsid w:val="3FF016A6"/>
    <w:rsid w:val="3FF12096"/>
    <w:rsid w:val="3FF3732F"/>
    <w:rsid w:val="3FF64002"/>
    <w:rsid w:val="3FFD0478"/>
    <w:rsid w:val="400921F4"/>
    <w:rsid w:val="401069C0"/>
    <w:rsid w:val="4021297B"/>
    <w:rsid w:val="40291830"/>
    <w:rsid w:val="40424945"/>
    <w:rsid w:val="40527CB8"/>
    <w:rsid w:val="4065146E"/>
    <w:rsid w:val="40746500"/>
    <w:rsid w:val="407A6407"/>
    <w:rsid w:val="407B1C4F"/>
    <w:rsid w:val="407D449C"/>
    <w:rsid w:val="408476F9"/>
    <w:rsid w:val="408F760C"/>
    <w:rsid w:val="409969B6"/>
    <w:rsid w:val="40AA1DF7"/>
    <w:rsid w:val="40CD665F"/>
    <w:rsid w:val="40DA6FCE"/>
    <w:rsid w:val="40E02836"/>
    <w:rsid w:val="40E35E83"/>
    <w:rsid w:val="40E439A9"/>
    <w:rsid w:val="40ED32DF"/>
    <w:rsid w:val="40F92BE9"/>
    <w:rsid w:val="4105336D"/>
    <w:rsid w:val="41083B3B"/>
    <w:rsid w:val="410B7187"/>
    <w:rsid w:val="410D3296"/>
    <w:rsid w:val="411249BA"/>
    <w:rsid w:val="41186CD6"/>
    <w:rsid w:val="412344D1"/>
    <w:rsid w:val="41391F47"/>
    <w:rsid w:val="41417A6D"/>
    <w:rsid w:val="41474664"/>
    <w:rsid w:val="414803DC"/>
    <w:rsid w:val="414A0C59"/>
    <w:rsid w:val="414D3625"/>
    <w:rsid w:val="4156086C"/>
    <w:rsid w:val="41586871"/>
    <w:rsid w:val="415E409F"/>
    <w:rsid w:val="41686388"/>
    <w:rsid w:val="417057A0"/>
    <w:rsid w:val="417535DE"/>
    <w:rsid w:val="41774C8D"/>
    <w:rsid w:val="417F7261"/>
    <w:rsid w:val="4187580D"/>
    <w:rsid w:val="418B4EC6"/>
    <w:rsid w:val="419158DF"/>
    <w:rsid w:val="41986978"/>
    <w:rsid w:val="419D7C0F"/>
    <w:rsid w:val="41B810BD"/>
    <w:rsid w:val="41BD4926"/>
    <w:rsid w:val="41BE538B"/>
    <w:rsid w:val="41C662EF"/>
    <w:rsid w:val="41FA7928"/>
    <w:rsid w:val="4200449D"/>
    <w:rsid w:val="42042555"/>
    <w:rsid w:val="420A5094"/>
    <w:rsid w:val="42213106"/>
    <w:rsid w:val="422C55F7"/>
    <w:rsid w:val="423229B8"/>
    <w:rsid w:val="42346D5E"/>
    <w:rsid w:val="423A3BCC"/>
    <w:rsid w:val="424010B3"/>
    <w:rsid w:val="424E57D2"/>
    <w:rsid w:val="42552DC1"/>
    <w:rsid w:val="425F68B8"/>
    <w:rsid w:val="426F425E"/>
    <w:rsid w:val="428F7734"/>
    <w:rsid w:val="429A07C3"/>
    <w:rsid w:val="429A34D5"/>
    <w:rsid w:val="42AB2039"/>
    <w:rsid w:val="42B26C49"/>
    <w:rsid w:val="42B30389"/>
    <w:rsid w:val="42BC1F35"/>
    <w:rsid w:val="42CA554C"/>
    <w:rsid w:val="42DB79D7"/>
    <w:rsid w:val="42DC5464"/>
    <w:rsid w:val="42DF1732"/>
    <w:rsid w:val="42E9723D"/>
    <w:rsid w:val="42F76F7E"/>
    <w:rsid w:val="432307B8"/>
    <w:rsid w:val="432B1D63"/>
    <w:rsid w:val="4333192F"/>
    <w:rsid w:val="433A6FE6"/>
    <w:rsid w:val="43480868"/>
    <w:rsid w:val="434A043B"/>
    <w:rsid w:val="4350713C"/>
    <w:rsid w:val="43532BE2"/>
    <w:rsid w:val="435968D0"/>
    <w:rsid w:val="436653E0"/>
    <w:rsid w:val="436C2644"/>
    <w:rsid w:val="4370038B"/>
    <w:rsid w:val="43725687"/>
    <w:rsid w:val="43767C06"/>
    <w:rsid w:val="437F77AB"/>
    <w:rsid w:val="43895548"/>
    <w:rsid w:val="439B2DC0"/>
    <w:rsid w:val="43AA2C88"/>
    <w:rsid w:val="43B81625"/>
    <w:rsid w:val="43BC4CB6"/>
    <w:rsid w:val="43BF3FB9"/>
    <w:rsid w:val="43BF6C09"/>
    <w:rsid w:val="43C4431A"/>
    <w:rsid w:val="43C53172"/>
    <w:rsid w:val="43C81360"/>
    <w:rsid w:val="43E60CBF"/>
    <w:rsid w:val="43EB4095"/>
    <w:rsid w:val="43EF429D"/>
    <w:rsid w:val="43F62371"/>
    <w:rsid w:val="442343E0"/>
    <w:rsid w:val="44472BCC"/>
    <w:rsid w:val="445D2E02"/>
    <w:rsid w:val="446056D8"/>
    <w:rsid w:val="446379C6"/>
    <w:rsid w:val="44687DBD"/>
    <w:rsid w:val="446A4851"/>
    <w:rsid w:val="44817E8C"/>
    <w:rsid w:val="44872504"/>
    <w:rsid w:val="44B813D4"/>
    <w:rsid w:val="44B951CC"/>
    <w:rsid w:val="44BE5F96"/>
    <w:rsid w:val="44CB04B0"/>
    <w:rsid w:val="44CD14E0"/>
    <w:rsid w:val="44D03DF3"/>
    <w:rsid w:val="44D6679B"/>
    <w:rsid w:val="44E1570B"/>
    <w:rsid w:val="44E46720"/>
    <w:rsid w:val="44EF6BA2"/>
    <w:rsid w:val="44F20B0B"/>
    <w:rsid w:val="44FB75C1"/>
    <w:rsid w:val="44FD0B3A"/>
    <w:rsid w:val="4509761E"/>
    <w:rsid w:val="45154A79"/>
    <w:rsid w:val="451B318F"/>
    <w:rsid w:val="45211135"/>
    <w:rsid w:val="452A1AEE"/>
    <w:rsid w:val="452E5F4C"/>
    <w:rsid w:val="45317296"/>
    <w:rsid w:val="453725EC"/>
    <w:rsid w:val="4537679D"/>
    <w:rsid w:val="45392515"/>
    <w:rsid w:val="453E5D7D"/>
    <w:rsid w:val="45520080"/>
    <w:rsid w:val="45534E3A"/>
    <w:rsid w:val="45612018"/>
    <w:rsid w:val="45637592"/>
    <w:rsid w:val="456F5F37"/>
    <w:rsid w:val="457C4AF8"/>
    <w:rsid w:val="45863281"/>
    <w:rsid w:val="4587297A"/>
    <w:rsid w:val="458946E9"/>
    <w:rsid w:val="458D2861"/>
    <w:rsid w:val="459C2AA4"/>
    <w:rsid w:val="45A47C0E"/>
    <w:rsid w:val="45AF27D7"/>
    <w:rsid w:val="45BE69A9"/>
    <w:rsid w:val="45DD3306"/>
    <w:rsid w:val="45F662F1"/>
    <w:rsid w:val="460427D0"/>
    <w:rsid w:val="46175ED9"/>
    <w:rsid w:val="46221AC5"/>
    <w:rsid w:val="463B406B"/>
    <w:rsid w:val="46577FD6"/>
    <w:rsid w:val="46603AD2"/>
    <w:rsid w:val="466265F9"/>
    <w:rsid w:val="467001B9"/>
    <w:rsid w:val="4671257C"/>
    <w:rsid w:val="467320F3"/>
    <w:rsid w:val="467D0B27"/>
    <w:rsid w:val="46985DA1"/>
    <w:rsid w:val="469879B8"/>
    <w:rsid w:val="46A936CA"/>
    <w:rsid w:val="46D02A05"/>
    <w:rsid w:val="46D701E1"/>
    <w:rsid w:val="46D955A7"/>
    <w:rsid w:val="46F53D5B"/>
    <w:rsid w:val="46FC682E"/>
    <w:rsid w:val="47040901"/>
    <w:rsid w:val="47133957"/>
    <w:rsid w:val="47264C98"/>
    <w:rsid w:val="47311EFE"/>
    <w:rsid w:val="47354F5E"/>
    <w:rsid w:val="474576A2"/>
    <w:rsid w:val="475A1AA7"/>
    <w:rsid w:val="4760055A"/>
    <w:rsid w:val="47633879"/>
    <w:rsid w:val="47655843"/>
    <w:rsid w:val="47680E90"/>
    <w:rsid w:val="4778600F"/>
    <w:rsid w:val="478C48DD"/>
    <w:rsid w:val="478C71BA"/>
    <w:rsid w:val="47993BEB"/>
    <w:rsid w:val="47A07E0C"/>
    <w:rsid w:val="47A67D6C"/>
    <w:rsid w:val="47A908B0"/>
    <w:rsid w:val="47BA5463"/>
    <w:rsid w:val="47C90257"/>
    <w:rsid w:val="47C93B59"/>
    <w:rsid w:val="47D46525"/>
    <w:rsid w:val="47DC03C7"/>
    <w:rsid w:val="47E04ECA"/>
    <w:rsid w:val="47F35239"/>
    <w:rsid w:val="47F470D2"/>
    <w:rsid w:val="482C4AED"/>
    <w:rsid w:val="482F5E51"/>
    <w:rsid w:val="48480570"/>
    <w:rsid w:val="48517B76"/>
    <w:rsid w:val="4854300F"/>
    <w:rsid w:val="4857617F"/>
    <w:rsid w:val="48647785"/>
    <w:rsid w:val="4870272E"/>
    <w:rsid w:val="48711FC6"/>
    <w:rsid w:val="489172C2"/>
    <w:rsid w:val="48955123"/>
    <w:rsid w:val="48AA3C26"/>
    <w:rsid w:val="48AA64B6"/>
    <w:rsid w:val="48B76708"/>
    <w:rsid w:val="48D569F9"/>
    <w:rsid w:val="48DB5CD4"/>
    <w:rsid w:val="48DC0B08"/>
    <w:rsid w:val="48E427E7"/>
    <w:rsid w:val="490177EE"/>
    <w:rsid w:val="491237A9"/>
    <w:rsid w:val="492434DC"/>
    <w:rsid w:val="49260D69"/>
    <w:rsid w:val="493E4893"/>
    <w:rsid w:val="494575E3"/>
    <w:rsid w:val="4951551B"/>
    <w:rsid w:val="495B0FC1"/>
    <w:rsid w:val="495B6287"/>
    <w:rsid w:val="496F6EB6"/>
    <w:rsid w:val="499F23B8"/>
    <w:rsid w:val="49A05190"/>
    <w:rsid w:val="49A832C4"/>
    <w:rsid w:val="49B77EAC"/>
    <w:rsid w:val="49C90497"/>
    <w:rsid w:val="49DC7715"/>
    <w:rsid w:val="49E669E4"/>
    <w:rsid w:val="49F039A7"/>
    <w:rsid w:val="4A023139"/>
    <w:rsid w:val="4A113A61"/>
    <w:rsid w:val="4A19580C"/>
    <w:rsid w:val="4A31280F"/>
    <w:rsid w:val="4A331C29"/>
    <w:rsid w:val="4A443111"/>
    <w:rsid w:val="4A510301"/>
    <w:rsid w:val="4A525E27"/>
    <w:rsid w:val="4A594214"/>
    <w:rsid w:val="4A5A1B93"/>
    <w:rsid w:val="4A5B5E8E"/>
    <w:rsid w:val="4A66196B"/>
    <w:rsid w:val="4A77518F"/>
    <w:rsid w:val="4A7B576F"/>
    <w:rsid w:val="4A853B31"/>
    <w:rsid w:val="4A857AC4"/>
    <w:rsid w:val="4A877DDC"/>
    <w:rsid w:val="4A9138C5"/>
    <w:rsid w:val="4A9260D4"/>
    <w:rsid w:val="4A954692"/>
    <w:rsid w:val="4A9D3E46"/>
    <w:rsid w:val="4AB57767"/>
    <w:rsid w:val="4AB57842"/>
    <w:rsid w:val="4ABD111B"/>
    <w:rsid w:val="4AC9149F"/>
    <w:rsid w:val="4AD0171C"/>
    <w:rsid w:val="4AE478DC"/>
    <w:rsid w:val="4AF0203E"/>
    <w:rsid w:val="4AF561A9"/>
    <w:rsid w:val="4B0B6702"/>
    <w:rsid w:val="4B15767B"/>
    <w:rsid w:val="4B182BCD"/>
    <w:rsid w:val="4B18430E"/>
    <w:rsid w:val="4B221C9D"/>
    <w:rsid w:val="4B237456"/>
    <w:rsid w:val="4B29302C"/>
    <w:rsid w:val="4B332D80"/>
    <w:rsid w:val="4B371077"/>
    <w:rsid w:val="4B3830CA"/>
    <w:rsid w:val="4B3D5D65"/>
    <w:rsid w:val="4B3D77FA"/>
    <w:rsid w:val="4B577B99"/>
    <w:rsid w:val="4B602107"/>
    <w:rsid w:val="4B693428"/>
    <w:rsid w:val="4B781059"/>
    <w:rsid w:val="4B8A696E"/>
    <w:rsid w:val="4B910379"/>
    <w:rsid w:val="4B96023E"/>
    <w:rsid w:val="4B981C8D"/>
    <w:rsid w:val="4BC46B49"/>
    <w:rsid w:val="4BCF56C4"/>
    <w:rsid w:val="4BD760A8"/>
    <w:rsid w:val="4BD907A7"/>
    <w:rsid w:val="4BDB629D"/>
    <w:rsid w:val="4BE23C86"/>
    <w:rsid w:val="4BE2660C"/>
    <w:rsid w:val="4BEB208F"/>
    <w:rsid w:val="4C101AF6"/>
    <w:rsid w:val="4C1E6178"/>
    <w:rsid w:val="4C213D03"/>
    <w:rsid w:val="4C2757BD"/>
    <w:rsid w:val="4C2921B2"/>
    <w:rsid w:val="4C2A70A7"/>
    <w:rsid w:val="4C367DA4"/>
    <w:rsid w:val="4C417F01"/>
    <w:rsid w:val="4C4A0649"/>
    <w:rsid w:val="4C5477EB"/>
    <w:rsid w:val="4C561BFF"/>
    <w:rsid w:val="4C602C6D"/>
    <w:rsid w:val="4C7277D3"/>
    <w:rsid w:val="4C7E5ECA"/>
    <w:rsid w:val="4C876AA5"/>
    <w:rsid w:val="4C8845CA"/>
    <w:rsid w:val="4C914A2C"/>
    <w:rsid w:val="4CAC6BE0"/>
    <w:rsid w:val="4CAF7561"/>
    <w:rsid w:val="4CB44B77"/>
    <w:rsid w:val="4CC07D7A"/>
    <w:rsid w:val="4CCF375F"/>
    <w:rsid w:val="4CD80866"/>
    <w:rsid w:val="4D05121C"/>
    <w:rsid w:val="4D096C71"/>
    <w:rsid w:val="4D0E00FB"/>
    <w:rsid w:val="4D176606"/>
    <w:rsid w:val="4D2A6BE7"/>
    <w:rsid w:val="4D3A1520"/>
    <w:rsid w:val="4D3C3F24"/>
    <w:rsid w:val="4D3D15C7"/>
    <w:rsid w:val="4D4B1038"/>
    <w:rsid w:val="4D523F6D"/>
    <w:rsid w:val="4D5437E0"/>
    <w:rsid w:val="4D551EB6"/>
    <w:rsid w:val="4D5E45D7"/>
    <w:rsid w:val="4D625B53"/>
    <w:rsid w:val="4D665E71"/>
    <w:rsid w:val="4D73058E"/>
    <w:rsid w:val="4D8E05F0"/>
    <w:rsid w:val="4D906E06"/>
    <w:rsid w:val="4D956131"/>
    <w:rsid w:val="4DB34E2F"/>
    <w:rsid w:val="4DB72B71"/>
    <w:rsid w:val="4DB74F29"/>
    <w:rsid w:val="4DEC4FB0"/>
    <w:rsid w:val="4DEF24B1"/>
    <w:rsid w:val="4E01427C"/>
    <w:rsid w:val="4E075D8A"/>
    <w:rsid w:val="4E0F4940"/>
    <w:rsid w:val="4E116D2E"/>
    <w:rsid w:val="4E1A6C5C"/>
    <w:rsid w:val="4E293EDA"/>
    <w:rsid w:val="4E3B358D"/>
    <w:rsid w:val="4E3F66C2"/>
    <w:rsid w:val="4E453CD9"/>
    <w:rsid w:val="4E4D3E8B"/>
    <w:rsid w:val="4E4D446D"/>
    <w:rsid w:val="4E5D41A3"/>
    <w:rsid w:val="4E6543E6"/>
    <w:rsid w:val="4E70527E"/>
    <w:rsid w:val="4E8B1908"/>
    <w:rsid w:val="4E9713D1"/>
    <w:rsid w:val="4E9751B5"/>
    <w:rsid w:val="4E9B7D9D"/>
    <w:rsid w:val="4EA12ED9"/>
    <w:rsid w:val="4EBC40BC"/>
    <w:rsid w:val="4EC00FAD"/>
    <w:rsid w:val="4ED432AF"/>
    <w:rsid w:val="4EDB288F"/>
    <w:rsid w:val="4F12415B"/>
    <w:rsid w:val="4F196F13"/>
    <w:rsid w:val="4F276F48"/>
    <w:rsid w:val="4F302828"/>
    <w:rsid w:val="4F312B99"/>
    <w:rsid w:val="4F3F2451"/>
    <w:rsid w:val="4F443682"/>
    <w:rsid w:val="4F5341B6"/>
    <w:rsid w:val="4F633143"/>
    <w:rsid w:val="4F6D662C"/>
    <w:rsid w:val="4F7D56F4"/>
    <w:rsid w:val="4F9843DC"/>
    <w:rsid w:val="4FBA1D12"/>
    <w:rsid w:val="4FC21359"/>
    <w:rsid w:val="4FC62A8C"/>
    <w:rsid w:val="4FCD667C"/>
    <w:rsid w:val="4FE20F0D"/>
    <w:rsid w:val="4FE21A6C"/>
    <w:rsid w:val="4FE51552"/>
    <w:rsid w:val="4FEE03A0"/>
    <w:rsid w:val="4FFA6D45"/>
    <w:rsid w:val="501716A5"/>
    <w:rsid w:val="501D442F"/>
    <w:rsid w:val="501E2391"/>
    <w:rsid w:val="502A762A"/>
    <w:rsid w:val="5039786D"/>
    <w:rsid w:val="504B3267"/>
    <w:rsid w:val="504C1B9E"/>
    <w:rsid w:val="504D50C7"/>
    <w:rsid w:val="504F7091"/>
    <w:rsid w:val="50504C4B"/>
    <w:rsid w:val="507E1724"/>
    <w:rsid w:val="509065EE"/>
    <w:rsid w:val="509C6E7C"/>
    <w:rsid w:val="50AC44E3"/>
    <w:rsid w:val="50EB4486"/>
    <w:rsid w:val="50ED14DC"/>
    <w:rsid w:val="50FA629D"/>
    <w:rsid w:val="5116436F"/>
    <w:rsid w:val="512E4EF8"/>
    <w:rsid w:val="51384BB5"/>
    <w:rsid w:val="513E4F39"/>
    <w:rsid w:val="514A1FB9"/>
    <w:rsid w:val="51505DC3"/>
    <w:rsid w:val="5162104E"/>
    <w:rsid w:val="51683E54"/>
    <w:rsid w:val="51783261"/>
    <w:rsid w:val="51884499"/>
    <w:rsid w:val="518938CC"/>
    <w:rsid w:val="518D3416"/>
    <w:rsid w:val="519311FF"/>
    <w:rsid w:val="51945803"/>
    <w:rsid w:val="51982C4D"/>
    <w:rsid w:val="519A28F0"/>
    <w:rsid w:val="51AC4978"/>
    <w:rsid w:val="51C44AC8"/>
    <w:rsid w:val="51C57F9D"/>
    <w:rsid w:val="51CC309A"/>
    <w:rsid w:val="51D66E30"/>
    <w:rsid w:val="51DC2BA6"/>
    <w:rsid w:val="51E657D3"/>
    <w:rsid w:val="51F15D90"/>
    <w:rsid w:val="51F53C68"/>
    <w:rsid w:val="51FA3520"/>
    <w:rsid w:val="520426B7"/>
    <w:rsid w:val="522A035E"/>
    <w:rsid w:val="523C1096"/>
    <w:rsid w:val="523E1F05"/>
    <w:rsid w:val="52462715"/>
    <w:rsid w:val="524E4EC7"/>
    <w:rsid w:val="525F75C7"/>
    <w:rsid w:val="526037D7"/>
    <w:rsid w:val="52632BDB"/>
    <w:rsid w:val="52634928"/>
    <w:rsid w:val="527032EE"/>
    <w:rsid w:val="52733A14"/>
    <w:rsid w:val="52794DCF"/>
    <w:rsid w:val="527C609A"/>
    <w:rsid w:val="528A0B7B"/>
    <w:rsid w:val="52917FE5"/>
    <w:rsid w:val="52950FA7"/>
    <w:rsid w:val="529766C3"/>
    <w:rsid w:val="52985E7E"/>
    <w:rsid w:val="52A51893"/>
    <w:rsid w:val="52A97250"/>
    <w:rsid w:val="52AD009F"/>
    <w:rsid w:val="52B3286C"/>
    <w:rsid w:val="52B753C1"/>
    <w:rsid w:val="52D47D21"/>
    <w:rsid w:val="52D675F5"/>
    <w:rsid w:val="52E02222"/>
    <w:rsid w:val="52E03D9A"/>
    <w:rsid w:val="52EA5FF8"/>
    <w:rsid w:val="53057744"/>
    <w:rsid w:val="53105470"/>
    <w:rsid w:val="5311687F"/>
    <w:rsid w:val="532E5F1B"/>
    <w:rsid w:val="53320EB7"/>
    <w:rsid w:val="534C7D3B"/>
    <w:rsid w:val="53541DE9"/>
    <w:rsid w:val="537A4017"/>
    <w:rsid w:val="537F7C8D"/>
    <w:rsid w:val="53803A05"/>
    <w:rsid w:val="5380647D"/>
    <w:rsid w:val="53854257"/>
    <w:rsid w:val="538630C7"/>
    <w:rsid w:val="53883462"/>
    <w:rsid w:val="53971144"/>
    <w:rsid w:val="539D45B7"/>
    <w:rsid w:val="53A039CC"/>
    <w:rsid w:val="53A1505A"/>
    <w:rsid w:val="53A2391E"/>
    <w:rsid w:val="53A304DF"/>
    <w:rsid w:val="53C570A4"/>
    <w:rsid w:val="53D77AC9"/>
    <w:rsid w:val="53DC67C8"/>
    <w:rsid w:val="53E50E28"/>
    <w:rsid w:val="53E71CDF"/>
    <w:rsid w:val="54063E08"/>
    <w:rsid w:val="540C5039"/>
    <w:rsid w:val="543259D6"/>
    <w:rsid w:val="543437E8"/>
    <w:rsid w:val="54437245"/>
    <w:rsid w:val="54492BF2"/>
    <w:rsid w:val="54660E4D"/>
    <w:rsid w:val="54813591"/>
    <w:rsid w:val="54886011"/>
    <w:rsid w:val="54890F8A"/>
    <w:rsid w:val="54994D7E"/>
    <w:rsid w:val="54B76BC1"/>
    <w:rsid w:val="54BA58D6"/>
    <w:rsid w:val="54C829F5"/>
    <w:rsid w:val="54C87412"/>
    <w:rsid w:val="54CE0DDF"/>
    <w:rsid w:val="54D04518"/>
    <w:rsid w:val="54D74270"/>
    <w:rsid w:val="54DE09E3"/>
    <w:rsid w:val="54E87AB4"/>
    <w:rsid w:val="54EC1CA0"/>
    <w:rsid w:val="54F55D2D"/>
    <w:rsid w:val="54F73313"/>
    <w:rsid w:val="54F80955"/>
    <w:rsid w:val="5501154E"/>
    <w:rsid w:val="550F1948"/>
    <w:rsid w:val="55255918"/>
    <w:rsid w:val="5536081F"/>
    <w:rsid w:val="554E3DDB"/>
    <w:rsid w:val="554F18E1"/>
    <w:rsid w:val="55515FDB"/>
    <w:rsid w:val="555170A7"/>
    <w:rsid w:val="555E55F6"/>
    <w:rsid w:val="55732A82"/>
    <w:rsid w:val="55766E6E"/>
    <w:rsid w:val="5587536D"/>
    <w:rsid w:val="55943798"/>
    <w:rsid w:val="559454CC"/>
    <w:rsid w:val="55986DE4"/>
    <w:rsid w:val="55990DAE"/>
    <w:rsid w:val="559B174B"/>
    <w:rsid w:val="55A74996"/>
    <w:rsid w:val="55AC1959"/>
    <w:rsid w:val="55AF05D2"/>
    <w:rsid w:val="55B32AE8"/>
    <w:rsid w:val="55B80A01"/>
    <w:rsid w:val="55BB6F76"/>
    <w:rsid w:val="55CE0CF4"/>
    <w:rsid w:val="55D04519"/>
    <w:rsid w:val="56016AD8"/>
    <w:rsid w:val="5604794E"/>
    <w:rsid w:val="560A5808"/>
    <w:rsid w:val="56130B60"/>
    <w:rsid w:val="56133180"/>
    <w:rsid w:val="561F5757"/>
    <w:rsid w:val="561F5B08"/>
    <w:rsid w:val="56291CEA"/>
    <w:rsid w:val="564156CE"/>
    <w:rsid w:val="567C4A52"/>
    <w:rsid w:val="56820FF4"/>
    <w:rsid w:val="5689497F"/>
    <w:rsid w:val="56A60C3B"/>
    <w:rsid w:val="56AB6FEB"/>
    <w:rsid w:val="56B22A9C"/>
    <w:rsid w:val="56B379BE"/>
    <w:rsid w:val="56B37C4E"/>
    <w:rsid w:val="56BE4D74"/>
    <w:rsid w:val="56C1680E"/>
    <w:rsid w:val="56D16FAA"/>
    <w:rsid w:val="56D978FA"/>
    <w:rsid w:val="56E04C87"/>
    <w:rsid w:val="56E12A0D"/>
    <w:rsid w:val="56E3418D"/>
    <w:rsid w:val="56EB5639"/>
    <w:rsid w:val="56F979B6"/>
    <w:rsid w:val="57004872"/>
    <w:rsid w:val="57106C08"/>
    <w:rsid w:val="571132F2"/>
    <w:rsid w:val="5715207A"/>
    <w:rsid w:val="571526B6"/>
    <w:rsid w:val="572B31E3"/>
    <w:rsid w:val="57320C09"/>
    <w:rsid w:val="573A3ECB"/>
    <w:rsid w:val="575256B8"/>
    <w:rsid w:val="57572F0A"/>
    <w:rsid w:val="57574A7D"/>
    <w:rsid w:val="575B456D"/>
    <w:rsid w:val="57623F96"/>
    <w:rsid w:val="576A47B0"/>
    <w:rsid w:val="57807DA4"/>
    <w:rsid w:val="57917F8F"/>
    <w:rsid w:val="5794182D"/>
    <w:rsid w:val="57964F30"/>
    <w:rsid w:val="57AE07BD"/>
    <w:rsid w:val="57B72A76"/>
    <w:rsid w:val="57C3426C"/>
    <w:rsid w:val="57C77E54"/>
    <w:rsid w:val="57CE1F93"/>
    <w:rsid w:val="57D95661"/>
    <w:rsid w:val="57DB56AE"/>
    <w:rsid w:val="57DC16B8"/>
    <w:rsid w:val="57E63A41"/>
    <w:rsid w:val="57E63BF7"/>
    <w:rsid w:val="57EA769F"/>
    <w:rsid w:val="57EC3417"/>
    <w:rsid w:val="57F64BE6"/>
    <w:rsid w:val="57F9649E"/>
    <w:rsid w:val="57FD73D2"/>
    <w:rsid w:val="581F559B"/>
    <w:rsid w:val="5820511C"/>
    <w:rsid w:val="58340E9D"/>
    <w:rsid w:val="58373592"/>
    <w:rsid w:val="58382B00"/>
    <w:rsid w:val="583A0626"/>
    <w:rsid w:val="583B614D"/>
    <w:rsid w:val="58536DD0"/>
    <w:rsid w:val="58597EAB"/>
    <w:rsid w:val="588431CE"/>
    <w:rsid w:val="588743D1"/>
    <w:rsid w:val="5887701A"/>
    <w:rsid w:val="58896DCA"/>
    <w:rsid w:val="588C0756"/>
    <w:rsid w:val="588C69A8"/>
    <w:rsid w:val="588F1EAD"/>
    <w:rsid w:val="58BB3BD4"/>
    <w:rsid w:val="58C12C17"/>
    <w:rsid w:val="58E16C22"/>
    <w:rsid w:val="58EB34A4"/>
    <w:rsid w:val="58EF340B"/>
    <w:rsid w:val="58EF659F"/>
    <w:rsid w:val="58F22CAF"/>
    <w:rsid w:val="58FC1DF9"/>
    <w:rsid w:val="590B3D71"/>
    <w:rsid w:val="591C67F5"/>
    <w:rsid w:val="59266ED9"/>
    <w:rsid w:val="59282B75"/>
    <w:rsid w:val="59296DD4"/>
    <w:rsid w:val="59465AA9"/>
    <w:rsid w:val="596B480F"/>
    <w:rsid w:val="597C07CB"/>
    <w:rsid w:val="59883613"/>
    <w:rsid w:val="59BB35A6"/>
    <w:rsid w:val="59C0439F"/>
    <w:rsid w:val="59C26B25"/>
    <w:rsid w:val="59CD3914"/>
    <w:rsid w:val="59E102D8"/>
    <w:rsid w:val="59FE7432"/>
    <w:rsid w:val="5A040EEC"/>
    <w:rsid w:val="5A0507C0"/>
    <w:rsid w:val="5A147441"/>
    <w:rsid w:val="5A2C3F9F"/>
    <w:rsid w:val="5A2E48FE"/>
    <w:rsid w:val="5A332E58"/>
    <w:rsid w:val="5A374911"/>
    <w:rsid w:val="5A4A08C9"/>
    <w:rsid w:val="5A4F385F"/>
    <w:rsid w:val="5A5023AA"/>
    <w:rsid w:val="5A672A61"/>
    <w:rsid w:val="5A80128B"/>
    <w:rsid w:val="5A8C2C8F"/>
    <w:rsid w:val="5A9304C2"/>
    <w:rsid w:val="5A9B2ED2"/>
    <w:rsid w:val="5A9F4FCA"/>
    <w:rsid w:val="5AA43BDF"/>
    <w:rsid w:val="5ABB1160"/>
    <w:rsid w:val="5ABE2233"/>
    <w:rsid w:val="5ABF24DC"/>
    <w:rsid w:val="5AC60EDF"/>
    <w:rsid w:val="5ACE5056"/>
    <w:rsid w:val="5AD00DCE"/>
    <w:rsid w:val="5AD308BE"/>
    <w:rsid w:val="5AD909D9"/>
    <w:rsid w:val="5ADA34F9"/>
    <w:rsid w:val="5AE3172B"/>
    <w:rsid w:val="5AE66844"/>
    <w:rsid w:val="5AEC6705"/>
    <w:rsid w:val="5AFA711E"/>
    <w:rsid w:val="5B0E7B48"/>
    <w:rsid w:val="5B142BDB"/>
    <w:rsid w:val="5B146FC8"/>
    <w:rsid w:val="5B407D1E"/>
    <w:rsid w:val="5B5E180E"/>
    <w:rsid w:val="5B617D98"/>
    <w:rsid w:val="5B8D36D4"/>
    <w:rsid w:val="5B994C60"/>
    <w:rsid w:val="5B995B10"/>
    <w:rsid w:val="5BA504AD"/>
    <w:rsid w:val="5BB27894"/>
    <w:rsid w:val="5BB36F08"/>
    <w:rsid w:val="5BD448EE"/>
    <w:rsid w:val="5BDB7107"/>
    <w:rsid w:val="5BDF5D95"/>
    <w:rsid w:val="5BFD3E45"/>
    <w:rsid w:val="5BFE7528"/>
    <w:rsid w:val="5C007E73"/>
    <w:rsid w:val="5C31473F"/>
    <w:rsid w:val="5C3F7E9C"/>
    <w:rsid w:val="5C4C6B7A"/>
    <w:rsid w:val="5C4E0C1B"/>
    <w:rsid w:val="5C74717A"/>
    <w:rsid w:val="5C8C341B"/>
    <w:rsid w:val="5CAD3203"/>
    <w:rsid w:val="5CBF7A2B"/>
    <w:rsid w:val="5CD6186D"/>
    <w:rsid w:val="5D052C7B"/>
    <w:rsid w:val="5D170190"/>
    <w:rsid w:val="5D1F603D"/>
    <w:rsid w:val="5D276544"/>
    <w:rsid w:val="5D296EBB"/>
    <w:rsid w:val="5D4F58B0"/>
    <w:rsid w:val="5D5A5561"/>
    <w:rsid w:val="5D5B1CA2"/>
    <w:rsid w:val="5D677EDE"/>
    <w:rsid w:val="5DB935A2"/>
    <w:rsid w:val="5DC50992"/>
    <w:rsid w:val="5DCA7D57"/>
    <w:rsid w:val="5DD972C0"/>
    <w:rsid w:val="5DE3706A"/>
    <w:rsid w:val="5DE828D3"/>
    <w:rsid w:val="5DEA664B"/>
    <w:rsid w:val="5DEC5943"/>
    <w:rsid w:val="5E0F3FDD"/>
    <w:rsid w:val="5E18686B"/>
    <w:rsid w:val="5E1D6D45"/>
    <w:rsid w:val="5E2467F1"/>
    <w:rsid w:val="5E282CCF"/>
    <w:rsid w:val="5E315A03"/>
    <w:rsid w:val="5E423B66"/>
    <w:rsid w:val="5E5341F0"/>
    <w:rsid w:val="5E67417C"/>
    <w:rsid w:val="5E6F6B77"/>
    <w:rsid w:val="5E773972"/>
    <w:rsid w:val="5E77412E"/>
    <w:rsid w:val="5E801975"/>
    <w:rsid w:val="5E810661"/>
    <w:rsid w:val="5EA513AB"/>
    <w:rsid w:val="5EAC5CBD"/>
    <w:rsid w:val="5EB033F0"/>
    <w:rsid w:val="5EC0115A"/>
    <w:rsid w:val="5EC40C4A"/>
    <w:rsid w:val="5ED35331"/>
    <w:rsid w:val="5EE66E12"/>
    <w:rsid w:val="5EFA35DD"/>
    <w:rsid w:val="5F0B0627"/>
    <w:rsid w:val="5F0C25F1"/>
    <w:rsid w:val="5F1A2B43"/>
    <w:rsid w:val="5F1B02C9"/>
    <w:rsid w:val="5F256491"/>
    <w:rsid w:val="5F2B0CC9"/>
    <w:rsid w:val="5F313E05"/>
    <w:rsid w:val="5F357D99"/>
    <w:rsid w:val="5F41229A"/>
    <w:rsid w:val="5F526256"/>
    <w:rsid w:val="5F6364B1"/>
    <w:rsid w:val="5F64242D"/>
    <w:rsid w:val="5F695C70"/>
    <w:rsid w:val="5F6E1C6A"/>
    <w:rsid w:val="5F8C4982"/>
    <w:rsid w:val="5F8D1984"/>
    <w:rsid w:val="5F8F106E"/>
    <w:rsid w:val="5FA665A1"/>
    <w:rsid w:val="5FB837BB"/>
    <w:rsid w:val="5FE01C28"/>
    <w:rsid w:val="5FE446C5"/>
    <w:rsid w:val="5FF53085"/>
    <w:rsid w:val="600C4686"/>
    <w:rsid w:val="60183AA3"/>
    <w:rsid w:val="601F245F"/>
    <w:rsid w:val="60310561"/>
    <w:rsid w:val="60337E91"/>
    <w:rsid w:val="60377923"/>
    <w:rsid w:val="604858AA"/>
    <w:rsid w:val="605C0804"/>
    <w:rsid w:val="60856161"/>
    <w:rsid w:val="608C6F65"/>
    <w:rsid w:val="609B3FA0"/>
    <w:rsid w:val="60A50489"/>
    <w:rsid w:val="60AA3E6F"/>
    <w:rsid w:val="60AE3960"/>
    <w:rsid w:val="60B7289E"/>
    <w:rsid w:val="60BC1583"/>
    <w:rsid w:val="60BD4449"/>
    <w:rsid w:val="60C679E0"/>
    <w:rsid w:val="60CC405A"/>
    <w:rsid w:val="60E27AAD"/>
    <w:rsid w:val="60FE457C"/>
    <w:rsid w:val="61060AF7"/>
    <w:rsid w:val="61122B5C"/>
    <w:rsid w:val="61273D16"/>
    <w:rsid w:val="61340776"/>
    <w:rsid w:val="613434EE"/>
    <w:rsid w:val="615220F1"/>
    <w:rsid w:val="61695482"/>
    <w:rsid w:val="616A1B52"/>
    <w:rsid w:val="616E6A18"/>
    <w:rsid w:val="61736957"/>
    <w:rsid w:val="61740D89"/>
    <w:rsid w:val="618578A0"/>
    <w:rsid w:val="619D39D4"/>
    <w:rsid w:val="619F720E"/>
    <w:rsid w:val="61AE5BE1"/>
    <w:rsid w:val="61D34480"/>
    <w:rsid w:val="61E215D8"/>
    <w:rsid w:val="61E433B1"/>
    <w:rsid w:val="61EB2991"/>
    <w:rsid w:val="61F85239"/>
    <w:rsid w:val="61FA2010"/>
    <w:rsid w:val="61FD7C57"/>
    <w:rsid w:val="62076322"/>
    <w:rsid w:val="621B3775"/>
    <w:rsid w:val="62213376"/>
    <w:rsid w:val="622B7232"/>
    <w:rsid w:val="62364782"/>
    <w:rsid w:val="623E0D13"/>
    <w:rsid w:val="626A0316"/>
    <w:rsid w:val="626E3D78"/>
    <w:rsid w:val="62764CD1"/>
    <w:rsid w:val="628F0475"/>
    <w:rsid w:val="62917095"/>
    <w:rsid w:val="62A853F7"/>
    <w:rsid w:val="62B55050"/>
    <w:rsid w:val="62BB2364"/>
    <w:rsid w:val="62C22A1C"/>
    <w:rsid w:val="62CA25A7"/>
    <w:rsid w:val="62D17D13"/>
    <w:rsid w:val="62D27FF9"/>
    <w:rsid w:val="62D767BB"/>
    <w:rsid w:val="62D939C7"/>
    <w:rsid w:val="62FB30A8"/>
    <w:rsid w:val="62FE6B5F"/>
    <w:rsid w:val="630C2BBF"/>
    <w:rsid w:val="6317585E"/>
    <w:rsid w:val="63250648"/>
    <w:rsid w:val="6327307F"/>
    <w:rsid w:val="63365E8E"/>
    <w:rsid w:val="633B34A5"/>
    <w:rsid w:val="63584057"/>
    <w:rsid w:val="635E47CF"/>
    <w:rsid w:val="63694D48"/>
    <w:rsid w:val="636A38E9"/>
    <w:rsid w:val="637019EF"/>
    <w:rsid w:val="6374344C"/>
    <w:rsid w:val="63844520"/>
    <w:rsid w:val="63844E4C"/>
    <w:rsid w:val="638E5394"/>
    <w:rsid w:val="638F4C9D"/>
    <w:rsid w:val="63941B9B"/>
    <w:rsid w:val="6394356A"/>
    <w:rsid w:val="63C61B2C"/>
    <w:rsid w:val="63D00091"/>
    <w:rsid w:val="63D40BE9"/>
    <w:rsid w:val="63D556A7"/>
    <w:rsid w:val="63DD455C"/>
    <w:rsid w:val="63ED5E38"/>
    <w:rsid w:val="63F1000B"/>
    <w:rsid w:val="640F0BB9"/>
    <w:rsid w:val="64102431"/>
    <w:rsid w:val="64102818"/>
    <w:rsid w:val="641B224D"/>
    <w:rsid w:val="641C6E32"/>
    <w:rsid w:val="64283A29"/>
    <w:rsid w:val="64305CB5"/>
    <w:rsid w:val="643A3F7A"/>
    <w:rsid w:val="643E5E63"/>
    <w:rsid w:val="64500020"/>
    <w:rsid w:val="64616F3B"/>
    <w:rsid w:val="64654C7D"/>
    <w:rsid w:val="64942E6C"/>
    <w:rsid w:val="64A5243A"/>
    <w:rsid w:val="64A537E1"/>
    <w:rsid w:val="64D43BB1"/>
    <w:rsid w:val="64EB767D"/>
    <w:rsid w:val="64EC50EB"/>
    <w:rsid w:val="64F41B5D"/>
    <w:rsid w:val="64F531DE"/>
    <w:rsid w:val="64FD3107"/>
    <w:rsid w:val="65034937"/>
    <w:rsid w:val="651C4003"/>
    <w:rsid w:val="652558C5"/>
    <w:rsid w:val="652C12F7"/>
    <w:rsid w:val="65373578"/>
    <w:rsid w:val="65510F57"/>
    <w:rsid w:val="65743058"/>
    <w:rsid w:val="65896749"/>
    <w:rsid w:val="658B4EE7"/>
    <w:rsid w:val="658E1FB1"/>
    <w:rsid w:val="659770B8"/>
    <w:rsid w:val="65A74CE3"/>
    <w:rsid w:val="65A84620"/>
    <w:rsid w:val="65AD65DC"/>
    <w:rsid w:val="65AE4402"/>
    <w:rsid w:val="65B80DDC"/>
    <w:rsid w:val="65C75029"/>
    <w:rsid w:val="65D200F0"/>
    <w:rsid w:val="65D43B30"/>
    <w:rsid w:val="65ED08CF"/>
    <w:rsid w:val="66341D0E"/>
    <w:rsid w:val="66415276"/>
    <w:rsid w:val="66432D9C"/>
    <w:rsid w:val="664504F1"/>
    <w:rsid w:val="665064E9"/>
    <w:rsid w:val="66601C37"/>
    <w:rsid w:val="666B22F3"/>
    <w:rsid w:val="666D3936"/>
    <w:rsid w:val="6671682D"/>
    <w:rsid w:val="668926C7"/>
    <w:rsid w:val="669100CB"/>
    <w:rsid w:val="669F4100"/>
    <w:rsid w:val="66B11DC9"/>
    <w:rsid w:val="66BD7100"/>
    <w:rsid w:val="66C22463"/>
    <w:rsid w:val="66DC0CB1"/>
    <w:rsid w:val="66E95CF8"/>
    <w:rsid w:val="66EF4CD2"/>
    <w:rsid w:val="66F62139"/>
    <w:rsid w:val="670544F5"/>
    <w:rsid w:val="671F124A"/>
    <w:rsid w:val="6721118D"/>
    <w:rsid w:val="67247827"/>
    <w:rsid w:val="67263872"/>
    <w:rsid w:val="673F25F6"/>
    <w:rsid w:val="674217BF"/>
    <w:rsid w:val="67421966"/>
    <w:rsid w:val="6752063E"/>
    <w:rsid w:val="6759039D"/>
    <w:rsid w:val="67684380"/>
    <w:rsid w:val="67736E1D"/>
    <w:rsid w:val="677A33C6"/>
    <w:rsid w:val="67917B37"/>
    <w:rsid w:val="679413D5"/>
    <w:rsid w:val="6796514D"/>
    <w:rsid w:val="67A05FCC"/>
    <w:rsid w:val="67A50A45"/>
    <w:rsid w:val="67AB03DB"/>
    <w:rsid w:val="67B3016B"/>
    <w:rsid w:val="67B83316"/>
    <w:rsid w:val="67C1041C"/>
    <w:rsid w:val="67CD5013"/>
    <w:rsid w:val="67EE0F4B"/>
    <w:rsid w:val="67FB4C27"/>
    <w:rsid w:val="681F6961"/>
    <w:rsid w:val="68203558"/>
    <w:rsid w:val="6821710D"/>
    <w:rsid w:val="68227113"/>
    <w:rsid w:val="68237AE8"/>
    <w:rsid w:val="683010FE"/>
    <w:rsid w:val="68596C41"/>
    <w:rsid w:val="685E3587"/>
    <w:rsid w:val="68610A2F"/>
    <w:rsid w:val="686926BF"/>
    <w:rsid w:val="68701E42"/>
    <w:rsid w:val="6870599E"/>
    <w:rsid w:val="68776D2D"/>
    <w:rsid w:val="687A05CB"/>
    <w:rsid w:val="68805514"/>
    <w:rsid w:val="68863414"/>
    <w:rsid w:val="689511B2"/>
    <w:rsid w:val="689723DF"/>
    <w:rsid w:val="68A67612"/>
    <w:rsid w:val="68B523E8"/>
    <w:rsid w:val="68BE584C"/>
    <w:rsid w:val="68C36416"/>
    <w:rsid w:val="68C45853"/>
    <w:rsid w:val="68CE75F6"/>
    <w:rsid w:val="68DF0927"/>
    <w:rsid w:val="68EC771B"/>
    <w:rsid w:val="68ED5873"/>
    <w:rsid w:val="68F640F6"/>
    <w:rsid w:val="68FB5BB0"/>
    <w:rsid w:val="690239E4"/>
    <w:rsid w:val="69051D0F"/>
    <w:rsid w:val="690B02EE"/>
    <w:rsid w:val="69146461"/>
    <w:rsid w:val="691722BE"/>
    <w:rsid w:val="692E7D33"/>
    <w:rsid w:val="6931512E"/>
    <w:rsid w:val="69316E2F"/>
    <w:rsid w:val="6938470E"/>
    <w:rsid w:val="69470DF5"/>
    <w:rsid w:val="694E2071"/>
    <w:rsid w:val="696255A8"/>
    <w:rsid w:val="6974195C"/>
    <w:rsid w:val="6974326C"/>
    <w:rsid w:val="69766163"/>
    <w:rsid w:val="69767D43"/>
    <w:rsid w:val="697763FA"/>
    <w:rsid w:val="697A3B33"/>
    <w:rsid w:val="697E40EB"/>
    <w:rsid w:val="69823F57"/>
    <w:rsid w:val="699730E8"/>
    <w:rsid w:val="69977C50"/>
    <w:rsid w:val="699833FF"/>
    <w:rsid w:val="69AA4EE0"/>
    <w:rsid w:val="69AC6DCF"/>
    <w:rsid w:val="69BB2B00"/>
    <w:rsid w:val="69C935B8"/>
    <w:rsid w:val="69D106BF"/>
    <w:rsid w:val="69D44760"/>
    <w:rsid w:val="69DA7573"/>
    <w:rsid w:val="69ED6D3E"/>
    <w:rsid w:val="69F16220"/>
    <w:rsid w:val="69F267A5"/>
    <w:rsid w:val="6A0C54B9"/>
    <w:rsid w:val="6A1427C0"/>
    <w:rsid w:val="6A18227F"/>
    <w:rsid w:val="6A31163F"/>
    <w:rsid w:val="6A463ED2"/>
    <w:rsid w:val="6A520EC7"/>
    <w:rsid w:val="6A585634"/>
    <w:rsid w:val="6A65572F"/>
    <w:rsid w:val="6A6B0B13"/>
    <w:rsid w:val="6A6E2CFE"/>
    <w:rsid w:val="6A7379C8"/>
    <w:rsid w:val="6A9260A0"/>
    <w:rsid w:val="6A933BC6"/>
    <w:rsid w:val="6AA90D56"/>
    <w:rsid w:val="6AB66A08"/>
    <w:rsid w:val="6ACF437D"/>
    <w:rsid w:val="6AD77F57"/>
    <w:rsid w:val="6AE508C6"/>
    <w:rsid w:val="6AF40B09"/>
    <w:rsid w:val="6AF87E20"/>
    <w:rsid w:val="6B081EE3"/>
    <w:rsid w:val="6B0D09FA"/>
    <w:rsid w:val="6B0F1A5F"/>
    <w:rsid w:val="6B2111D2"/>
    <w:rsid w:val="6B217424"/>
    <w:rsid w:val="6B322639"/>
    <w:rsid w:val="6B3727A3"/>
    <w:rsid w:val="6B3B4B09"/>
    <w:rsid w:val="6B4653BF"/>
    <w:rsid w:val="6B4750DC"/>
    <w:rsid w:val="6B4D1FC7"/>
    <w:rsid w:val="6B4F2DF7"/>
    <w:rsid w:val="6B54158F"/>
    <w:rsid w:val="6B5867F8"/>
    <w:rsid w:val="6B5C337A"/>
    <w:rsid w:val="6B6558FC"/>
    <w:rsid w:val="6B6B2F38"/>
    <w:rsid w:val="6B6C4B43"/>
    <w:rsid w:val="6B761A9D"/>
    <w:rsid w:val="6B796A22"/>
    <w:rsid w:val="6B8A2C73"/>
    <w:rsid w:val="6B906D6C"/>
    <w:rsid w:val="6BB01821"/>
    <w:rsid w:val="6BB40298"/>
    <w:rsid w:val="6BB42046"/>
    <w:rsid w:val="6BCD012A"/>
    <w:rsid w:val="6BD54707"/>
    <w:rsid w:val="6BFA7134"/>
    <w:rsid w:val="6BFD671A"/>
    <w:rsid w:val="6C044D7B"/>
    <w:rsid w:val="6C0A2AF3"/>
    <w:rsid w:val="6C111246"/>
    <w:rsid w:val="6C170B85"/>
    <w:rsid w:val="6C1A6FC9"/>
    <w:rsid w:val="6C264CF2"/>
    <w:rsid w:val="6C3078F9"/>
    <w:rsid w:val="6C370780"/>
    <w:rsid w:val="6C3A079D"/>
    <w:rsid w:val="6C433FCA"/>
    <w:rsid w:val="6C627CF4"/>
    <w:rsid w:val="6C636C38"/>
    <w:rsid w:val="6C6A0E2B"/>
    <w:rsid w:val="6C776A3F"/>
    <w:rsid w:val="6C7F08A6"/>
    <w:rsid w:val="6C83002E"/>
    <w:rsid w:val="6C89702F"/>
    <w:rsid w:val="6CA61D43"/>
    <w:rsid w:val="6CA843CD"/>
    <w:rsid w:val="6CB73B9C"/>
    <w:rsid w:val="6CB87914"/>
    <w:rsid w:val="6CC14A1B"/>
    <w:rsid w:val="6CC66DB3"/>
    <w:rsid w:val="6CCD16F1"/>
    <w:rsid w:val="6CD240C4"/>
    <w:rsid w:val="6CD3424D"/>
    <w:rsid w:val="6D036804"/>
    <w:rsid w:val="6D0B1F10"/>
    <w:rsid w:val="6D175253"/>
    <w:rsid w:val="6D285EAC"/>
    <w:rsid w:val="6D725D15"/>
    <w:rsid w:val="6D747CDF"/>
    <w:rsid w:val="6D7A0E57"/>
    <w:rsid w:val="6D8A7502"/>
    <w:rsid w:val="6D9A3B13"/>
    <w:rsid w:val="6DB34098"/>
    <w:rsid w:val="6DB545B6"/>
    <w:rsid w:val="6DC508B8"/>
    <w:rsid w:val="6DC72505"/>
    <w:rsid w:val="6DD04D3F"/>
    <w:rsid w:val="6DE02FB4"/>
    <w:rsid w:val="6E06246C"/>
    <w:rsid w:val="6E0E6033"/>
    <w:rsid w:val="6E207FE3"/>
    <w:rsid w:val="6E274D51"/>
    <w:rsid w:val="6E3F209B"/>
    <w:rsid w:val="6E441E20"/>
    <w:rsid w:val="6E4771A1"/>
    <w:rsid w:val="6E4873A0"/>
    <w:rsid w:val="6E5042A8"/>
    <w:rsid w:val="6E514CED"/>
    <w:rsid w:val="6E531FEA"/>
    <w:rsid w:val="6E5A77A3"/>
    <w:rsid w:val="6E7A424E"/>
    <w:rsid w:val="6E855978"/>
    <w:rsid w:val="6E8757F0"/>
    <w:rsid w:val="6E8A5020"/>
    <w:rsid w:val="6E8A6F28"/>
    <w:rsid w:val="6E9437BA"/>
    <w:rsid w:val="6EA76461"/>
    <w:rsid w:val="6EAA384B"/>
    <w:rsid w:val="6EAD3E4C"/>
    <w:rsid w:val="6EB563D5"/>
    <w:rsid w:val="6EBB71DF"/>
    <w:rsid w:val="6EC6661F"/>
    <w:rsid w:val="6ED50C51"/>
    <w:rsid w:val="6ED92677"/>
    <w:rsid w:val="6EDB18A4"/>
    <w:rsid w:val="6EE64C0C"/>
    <w:rsid w:val="6EF07839"/>
    <w:rsid w:val="6EFE0738"/>
    <w:rsid w:val="6F0D3F47"/>
    <w:rsid w:val="6F16759D"/>
    <w:rsid w:val="6F176B74"/>
    <w:rsid w:val="6F225983"/>
    <w:rsid w:val="6F2D6397"/>
    <w:rsid w:val="6F2F1DA8"/>
    <w:rsid w:val="6F3C1444"/>
    <w:rsid w:val="6F481423"/>
    <w:rsid w:val="6F490CF7"/>
    <w:rsid w:val="6F5C6C7D"/>
    <w:rsid w:val="6F7C6217"/>
    <w:rsid w:val="6F914B78"/>
    <w:rsid w:val="6FA56875"/>
    <w:rsid w:val="6FA64BAF"/>
    <w:rsid w:val="6FA66AC6"/>
    <w:rsid w:val="6FA90ACB"/>
    <w:rsid w:val="6FAD572A"/>
    <w:rsid w:val="6FBD1B16"/>
    <w:rsid w:val="6FC116B3"/>
    <w:rsid w:val="6FC54822"/>
    <w:rsid w:val="6FDB78AA"/>
    <w:rsid w:val="6FE7415F"/>
    <w:rsid w:val="6FEF32A1"/>
    <w:rsid w:val="6FEF5D43"/>
    <w:rsid w:val="6FFC5590"/>
    <w:rsid w:val="6FFE4FC7"/>
    <w:rsid w:val="70102C40"/>
    <w:rsid w:val="70124EFA"/>
    <w:rsid w:val="70191889"/>
    <w:rsid w:val="70340294"/>
    <w:rsid w:val="703419D5"/>
    <w:rsid w:val="705B0CE2"/>
    <w:rsid w:val="70666005"/>
    <w:rsid w:val="70673B2B"/>
    <w:rsid w:val="70687E21"/>
    <w:rsid w:val="706D1DD0"/>
    <w:rsid w:val="7080699B"/>
    <w:rsid w:val="70856B87"/>
    <w:rsid w:val="709661BE"/>
    <w:rsid w:val="70A95EF1"/>
    <w:rsid w:val="70AB3A18"/>
    <w:rsid w:val="70AE6490"/>
    <w:rsid w:val="70B328CC"/>
    <w:rsid w:val="70D527EE"/>
    <w:rsid w:val="70E76A1A"/>
    <w:rsid w:val="70E84C6C"/>
    <w:rsid w:val="70F43CF9"/>
    <w:rsid w:val="711611AF"/>
    <w:rsid w:val="71296F90"/>
    <w:rsid w:val="71367DFF"/>
    <w:rsid w:val="715B5300"/>
    <w:rsid w:val="716965A9"/>
    <w:rsid w:val="718536A7"/>
    <w:rsid w:val="71940950"/>
    <w:rsid w:val="71A1306D"/>
    <w:rsid w:val="71B12624"/>
    <w:rsid w:val="71B51111"/>
    <w:rsid w:val="71BC1C54"/>
    <w:rsid w:val="71CC3F84"/>
    <w:rsid w:val="71D27F8A"/>
    <w:rsid w:val="71EA58C5"/>
    <w:rsid w:val="720C498A"/>
    <w:rsid w:val="721F290F"/>
    <w:rsid w:val="721F4DD9"/>
    <w:rsid w:val="722B5BB7"/>
    <w:rsid w:val="72462912"/>
    <w:rsid w:val="72553024"/>
    <w:rsid w:val="7258197D"/>
    <w:rsid w:val="725E2D0C"/>
    <w:rsid w:val="72790C00"/>
    <w:rsid w:val="727A17C1"/>
    <w:rsid w:val="72891BD7"/>
    <w:rsid w:val="729D55E2"/>
    <w:rsid w:val="72B06153"/>
    <w:rsid w:val="72D1172F"/>
    <w:rsid w:val="72E46F5D"/>
    <w:rsid w:val="72E9180D"/>
    <w:rsid w:val="72EB511F"/>
    <w:rsid w:val="72F843B5"/>
    <w:rsid w:val="72FA6ED8"/>
    <w:rsid w:val="730E0142"/>
    <w:rsid w:val="73122968"/>
    <w:rsid w:val="73131D48"/>
    <w:rsid w:val="731F5D5E"/>
    <w:rsid w:val="732E3E35"/>
    <w:rsid w:val="73430029"/>
    <w:rsid w:val="73436855"/>
    <w:rsid w:val="73467A28"/>
    <w:rsid w:val="734D46FF"/>
    <w:rsid w:val="735A0EF1"/>
    <w:rsid w:val="736F0F97"/>
    <w:rsid w:val="73730DA8"/>
    <w:rsid w:val="737C5B3F"/>
    <w:rsid w:val="73974F4D"/>
    <w:rsid w:val="739820F2"/>
    <w:rsid w:val="73C3376E"/>
    <w:rsid w:val="73C44508"/>
    <w:rsid w:val="73C51AD5"/>
    <w:rsid w:val="74032F1F"/>
    <w:rsid w:val="74063ACB"/>
    <w:rsid w:val="74085625"/>
    <w:rsid w:val="741C36C7"/>
    <w:rsid w:val="741E793C"/>
    <w:rsid w:val="74230904"/>
    <w:rsid w:val="742C1037"/>
    <w:rsid w:val="744E00E9"/>
    <w:rsid w:val="745B3FC8"/>
    <w:rsid w:val="745E3944"/>
    <w:rsid w:val="745E666F"/>
    <w:rsid w:val="746A60FC"/>
    <w:rsid w:val="74842EFD"/>
    <w:rsid w:val="74962C31"/>
    <w:rsid w:val="74980CBC"/>
    <w:rsid w:val="749D77F6"/>
    <w:rsid w:val="749F45AC"/>
    <w:rsid w:val="74CC7FCC"/>
    <w:rsid w:val="74D13C69"/>
    <w:rsid w:val="74D36DD2"/>
    <w:rsid w:val="74D40CB8"/>
    <w:rsid w:val="74D80B53"/>
    <w:rsid w:val="74DC2A68"/>
    <w:rsid w:val="74E05C5A"/>
    <w:rsid w:val="74EA3555"/>
    <w:rsid w:val="74F678ED"/>
    <w:rsid w:val="74FD1921"/>
    <w:rsid w:val="74FD4A5E"/>
    <w:rsid w:val="750C5B34"/>
    <w:rsid w:val="750E0A19"/>
    <w:rsid w:val="7529409C"/>
    <w:rsid w:val="75353714"/>
    <w:rsid w:val="75416FFB"/>
    <w:rsid w:val="75450799"/>
    <w:rsid w:val="75491A51"/>
    <w:rsid w:val="754E52B9"/>
    <w:rsid w:val="756248C1"/>
    <w:rsid w:val="756330F2"/>
    <w:rsid w:val="756D3991"/>
    <w:rsid w:val="757C5983"/>
    <w:rsid w:val="75CB690A"/>
    <w:rsid w:val="75EA2D28"/>
    <w:rsid w:val="75EA3A74"/>
    <w:rsid w:val="75FD5230"/>
    <w:rsid w:val="760D2FC2"/>
    <w:rsid w:val="760F4A49"/>
    <w:rsid w:val="76263B40"/>
    <w:rsid w:val="76264C32"/>
    <w:rsid w:val="7628031F"/>
    <w:rsid w:val="7635099D"/>
    <w:rsid w:val="7638110C"/>
    <w:rsid w:val="76397D18"/>
    <w:rsid w:val="763D6419"/>
    <w:rsid w:val="76487F5B"/>
    <w:rsid w:val="76583E86"/>
    <w:rsid w:val="765E09D5"/>
    <w:rsid w:val="765F224D"/>
    <w:rsid w:val="76674885"/>
    <w:rsid w:val="766C59F7"/>
    <w:rsid w:val="76933AEC"/>
    <w:rsid w:val="769D4369"/>
    <w:rsid w:val="76B71209"/>
    <w:rsid w:val="76BC35B7"/>
    <w:rsid w:val="76C6758B"/>
    <w:rsid w:val="76CD5C66"/>
    <w:rsid w:val="76F0011C"/>
    <w:rsid w:val="76F1130B"/>
    <w:rsid w:val="76FA74A7"/>
    <w:rsid w:val="76FD7286"/>
    <w:rsid w:val="7702635B"/>
    <w:rsid w:val="770D1025"/>
    <w:rsid w:val="772938E8"/>
    <w:rsid w:val="77300FA6"/>
    <w:rsid w:val="7743777E"/>
    <w:rsid w:val="77447586"/>
    <w:rsid w:val="77690189"/>
    <w:rsid w:val="77762421"/>
    <w:rsid w:val="777658DC"/>
    <w:rsid w:val="77885BF2"/>
    <w:rsid w:val="778B45A3"/>
    <w:rsid w:val="77976AA4"/>
    <w:rsid w:val="779E208D"/>
    <w:rsid w:val="77A17922"/>
    <w:rsid w:val="77AB07A1"/>
    <w:rsid w:val="77B56B1F"/>
    <w:rsid w:val="77BA6C36"/>
    <w:rsid w:val="77C67389"/>
    <w:rsid w:val="77D221D2"/>
    <w:rsid w:val="77EF5AEB"/>
    <w:rsid w:val="77F03E7C"/>
    <w:rsid w:val="77F5439F"/>
    <w:rsid w:val="780659D7"/>
    <w:rsid w:val="780F09F4"/>
    <w:rsid w:val="781F6A99"/>
    <w:rsid w:val="78212190"/>
    <w:rsid w:val="78320EC2"/>
    <w:rsid w:val="78397B5B"/>
    <w:rsid w:val="783E5692"/>
    <w:rsid w:val="78414C61"/>
    <w:rsid w:val="784E0831"/>
    <w:rsid w:val="7855070D"/>
    <w:rsid w:val="785D751C"/>
    <w:rsid w:val="7870265C"/>
    <w:rsid w:val="78720615"/>
    <w:rsid w:val="78764C1A"/>
    <w:rsid w:val="78830A28"/>
    <w:rsid w:val="788B1D6B"/>
    <w:rsid w:val="789816F7"/>
    <w:rsid w:val="78A90480"/>
    <w:rsid w:val="78C53AE4"/>
    <w:rsid w:val="78CC2577"/>
    <w:rsid w:val="78DD498A"/>
    <w:rsid w:val="78E11317"/>
    <w:rsid w:val="78E57CE3"/>
    <w:rsid w:val="78F04E11"/>
    <w:rsid w:val="78FB431C"/>
    <w:rsid w:val="790D71C5"/>
    <w:rsid w:val="79134850"/>
    <w:rsid w:val="79187CFE"/>
    <w:rsid w:val="79273E57"/>
    <w:rsid w:val="793D367B"/>
    <w:rsid w:val="793F73F3"/>
    <w:rsid w:val="794669D3"/>
    <w:rsid w:val="795301B7"/>
    <w:rsid w:val="795C61F7"/>
    <w:rsid w:val="79627585"/>
    <w:rsid w:val="797E32B5"/>
    <w:rsid w:val="797E7695"/>
    <w:rsid w:val="79870D9A"/>
    <w:rsid w:val="79891F4B"/>
    <w:rsid w:val="799137D1"/>
    <w:rsid w:val="799D4F02"/>
    <w:rsid w:val="79A66511"/>
    <w:rsid w:val="79A72798"/>
    <w:rsid w:val="79AB6836"/>
    <w:rsid w:val="79B7167F"/>
    <w:rsid w:val="79DA7827"/>
    <w:rsid w:val="79E24466"/>
    <w:rsid w:val="79FD49B1"/>
    <w:rsid w:val="7A1C14E2"/>
    <w:rsid w:val="7A2D582E"/>
    <w:rsid w:val="7A32699B"/>
    <w:rsid w:val="7A364017"/>
    <w:rsid w:val="7A367366"/>
    <w:rsid w:val="7A3C0CF3"/>
    <w:rsid w:val="7A4065CF"/>
    <w:rsid w:val="7A512069"/>
    <w:rsid w:val="7A55487D"/>
    <w:rsid w:val="7A65732D"/>
    <w:rsid w:val="7A6C60F7"/>
    <w:rsid w:val="7A6D00ED"/>
    <w:rsid w:val="7A7E368A"/>
    <w:rsid w:val="7A8265E1"/>
    <w:rsid w:val="7A82780E"/>
    <w:rsid w:val="7A855824"/>
    <w:rsid w:val="7A864B14"/>
    <w:rsid w:val="7A954EEA"/>
    <w:rsid w:val="7AA5597C"/>
    <w:rsid w:val="7AB20098"/>
    <w:rsid w:val="7AB92EC7"/>
    <w:rsid w:val="7ABA3C6D"/>
    <w:rsid w:val="7AC410A0"/>
    <w:rsid w:val="7AC5645E"/>
    <w:rsid w:val="7AD1051F"/>
    <w:rsid w:val="7ADE49EA"/>
    <w:rsid w:val="7AEA15E0"/>
    <w:rsid w:val="7B0A3A31"/>
    <w:rsid w:val="7B2A2B47"/>
    <w:rsid w:val="7B3F5E55"/>
    <w:rsid w:val="7B4C4049"/>
    <w:rsid w:val="7B6205F9"/>
    <w:rsid w:val="7B686D42"/>
    <w:rsid w:val="7B7315D6"/>
    <w:rsid w:val="7B837EAD"/>
    <w:rsid w:val="7B841746"/>
    <w:rsid w:val="7B86755B"/>
    <w:rsid w:val="7B9831A9"/>
    <w:rsid w:val="7BA2010D"/>
    <w:rsid w:val="7BB120FE"/>
    <w:rsid w:val="7BCF1591"/>
    <w:rsid w:val="7BE4337B"/>
    <w:rsid w:val="7BE44282"/>
    <w:rsid w:val="7BFA1CF7"/>
    <w:rsid w:val="7C0E7550"/>
    <w:rsid w:val="7C176405"/>
    <w:rsid w:val="7C5238E1"/>
    <w:rsid w:val="7C647378"/>
    <w:rsid w:val="7C6C5AC7"/>
    <w:rsid w:val="7C706380"/>
    <w:rsid w:val="7C753DCA"/>
    <w:rsid w:val="7C7703FD"/>
    <w:rsid w:val="7CB749C7"/>
    <w:rsid w:val="7CB9570E"/>
    <w:rsid w:val="7CC540B3"/>
    <w:rsid w:val="7CC6544B"/>
    <w:rsid w:val="7CC70839"/>
    <w:rsid w:val="7CD27020"/>
    <w:rsid w:val="7CE5360D"/>
    <w:rsid w:val="7CF84488"/>
    <w:rsid w:val="7CFB66BA"/>
    <w:rsid w:val="7D0239FF"/>
    <w:rsid w:val="7D2C64CA"/>
    <w:rsid w:val="7D2E3B00"/>
    <w:rsid w:val="7D545437"/>
    <w:rsid w:val="7D5E40CD"/>
    <w:rsid w:val="7D6456D7"/>
    <w:rsid w:val="7D6757D7"/>
    <w:rsid w:val="7D7708CA"/>
    <w:rsid w:val="7D8775BA"/>
    <w:rsid w:val="7D891584"/>
    <w:rsid w:val="7D8C679B"/>
    <w:rsid w:val="7D9773DA"/>
    <w:rsid w:val="7D99768C"/>
    <w:rsid w:val="7DA270F0"/>
    <w:rsid w:val="7DBD6255"/>
    <w:rsid w:val="7DC26844"/>
    <w:rsid w:val="7DCD56F2"/>
    <w:rsid w:val="7DD1409E"/>
    <w:rsid w:val="7DF10ED8"/>
    <w:rsid w:val="7DF7741D"/>
    <w:rsid w:val="7DFD7EAD"/>
    <w:rsid w:val="7DFE2FAC"/>
    <w:rsid w:val="7E032717"/>
    <w:rsid w:val="7E064983"/>
    <w:rsid w:val="7E0B372A"/>
    <w:rsid w:val="7E114242"/>
    <w:rsid w:val="7E232D36"/>
    <w:rsid w:val="7E2766A8"/>
    <w:rsid w:val="7E3037AE"/>
    <w:rsid w:val="7E38470E"/>
    <w:rsid w:val="7E40277A"/>
    <w:rsid w:val="7E431733"/>
    <w:rsid w:val="7E4D25B2"/>
    <w:rsid w:val="7E561FA8"/>
    <w:rsid w:val="7E5B2AC6"/>
    <w:rsid w:val="7E5F5E41"/>
    <w:rsid w:val="7E5F5EB7"/>
    <w:rsid w:val="7E694F12"/>
    <w:rsid w:val="7E783BB7"/>
    <w:rsid w:val="7E790FDA"/>
    <w:rsid w:val="7E867872"/>
    <w:rsid w:val="7E966C95"/>
    <w:rsid w:val="7EA76821"/>
    <w:rsid w:val="7EBE2513"/>
    <w:rsid w:val="7EC2522F"/>
    <w:rsid w:val="7EC3792E"/>
    <w:rsid w:val="7EF14E95"/>
    <w:rsid w:val="7EF156AE"/>
    <w:rsid w:val="7EFB200E"/>
    <w:rsid w:val="7F001CE7"/>
    <w:rsid w:val="7F0569DB"/>
    <w:rsid w:val="7F0C5B5E"/>
    <w:rsid w:val="7F226032"/>
    <w:rsid w:val="7F2C15B3"/>
    <w:rsid w:val="7F545E25"/>
    <w:rsid w:val="7F5B7723"/>
    <w:rsid w:val="7F633A51"/>
    <w:rsid w:val="7F7829FC"/>
    <w:rsid w:val="7F7C6B2F"/>
    <w:rsid w:val="7F833DB1"/>
    <w:rsid w:val="7F8C7F60"/>
    <w:rsid w:val="7FA51F7A"/>
    <w:rsid w:val="7FAB3A34"/>
    <w:rsid w:val="7FD709A5"/>
    <w:rsid w:val="7FD750CF"/>
    <w:rsid w:val="7FD85EAB"/>
    <w:rsid w:val="7FDF36DE"/>
    <w:rsid w:val="7FE47E50"/>
    <w:rsid w:val="7FFF6E61"/>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EmbedSmartTag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nhideWhenUsed="0" w:uiPriority="0" w:semiHidden="0" w:name="heading 2" w:locked="1"/>
    <w:lsdException w:qFormat="1" w:unhideWhenUsed="0" w:uiPriority="0" w:semiHidden="0" w:name="heading 3" w:locked="1"/>
    <w:lsdException w:qFormat="1" w:uiPriority="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unhideWhenUsed="0" w:uiPriority="0" w:semiHidden="0" w:name="toc 1" w:locked="1"/>
    <w:lsdException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iPriority="0" w:semiHidden="0" w:name="Normal Indent" w:locked="1"/>
    <w:lsdException w:unhideWhenUsed="0" w:uiPriority="0" w:semiHidden="0" w:name="footnote text" w:locked="1"/>
    <w:lsdException w:unhideWhenUsed="0" w:uiPriority="0" w:name="annotation text"/>
    <w:lsdException w:unhideWhenUsed="0" w:uiPriority="0" w:semiHidden="0" w:name="header"/>
    <w:lsdException w:unhideWhenUsed="0" w:uiPriority="99" w:semiHidden="0" w:name="footer"/>
    <w:lsdException w:unhideWhenUsed="0" w:uiPriority="0" w:semiHidden="0" w:name="index heading" w:locked="1"/>
    <w:lsdException w:qFormat="1" w:unhideWhenUsed="0" w:uiPriority="0" w:semiHidden="0" w:name="caption" w:locked="1"/>
    <w:lsdException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unhideWhenUsed="0" w:uiPriority="0" w:name="annotation reference"/>
    <w:lsdException w:unhideWhenUsed="0" w:uiPriority="0" w:semiHidden="0" w:name="line number" w:locked="1"/>
    <w:lsdException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qFormat="1"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unhideWhenUsed="0" w:uiPriority="0" w:semiHidden="0" w:name="Salutation" w:locked="1"/>
    <w:lsdException w:unhideWhenUsed="0" w:uiPriority="0" w:semiHidden="0" w:name="Date"/>
    <w:lsdException w:qFormat="1" w:uiPriority="0" w:semiHidden="0" w:name="Body Text First Indent" w:locked="1"/>
    <w:lsdException w:qFormat="1" w:unhideWhenUsed="0" w:uiPriority="0" w:semiHidden="0" w:name="Body Text First Indent 2" w:locked="1"/>
    <w:lsdException w:qFormat="1" w:uiPriority="0" w:semiHidden="0" w:name="Note Heading" w:locked="1"/>
    <w:lsdException w:unhideWhenUsed="0" w:uiPriority="0" w:semiHidden="0" w:name="Body Text 2" w:locked="1"/>
    <w:lsdException w:unhideWhenUsed="0" w:uiPriority="0" w:semiHidden="0" w:name="Body Text 3" w:locked="1"/>
    <w:lsdException w:unhideWhenUsed="0" w:uiPriority="0" w:semiHidden="0" w:name="Body Text Indent 2" w:locked="1"/>
    <w:lsdException w:qFormat="1" w:unhideWhenUsed="0" w:uiPriority="0" w:semiHidden="0" w:name="Body Text Indent 3" w:locked="1"/>
    <w:lsdException w:unhideWhenUsed="0" w:uiPriority="0" w:semiHidden="0" w:name="Block Text" w:locked="1"/>
    <w:lsdException w:unhideWhenUsed="0" w:uiPriority="0" w:semiHidden="0" w:name="Hyperlink" w:locked="1"/>
    <w:lsdException w:unhideWhenUsed="0" w:uiPriority="0" w:semiHidden="0" w:name="FollowedHyperlink" w:locked="1"/>
    <w:lsdException w:qFormat="1" w:unhideWhenUsed="0" w:uiPriority="0" w:semiHidden="0" w:name="Strong" w:locked="1"/>
    <w:lsdException w:qFormat="1" w:unhideWhenUsed="0" w:uiPriority="0" w:semiHidden="0" w:name="Emphasis" w:locked="1"/>
    <w:lsdException w:unhideWhenUsed="0" w:uiPriority="0" w:semiHidden="0" w:name="Document Map" w:locked="1"/>
    <w:lsdException w:qFormat="1" w:unhideWhenUsed="0" w:uiPriority="0" w:semiHidden="0" w:name="Plain Text" w:locked="1"/>
    <w:lsdException w:unhideWhenUsed="0" w:uiPriority="0" w:semiHidden="0" w:name="E-mail Signature" w:locked="1"/>
    <w:lsdException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unhideWhenUsed="0" w:uiPriority="0" w:name="Normal Table"/>
    <w:lsdException w:unhideWhenUsed="0" w:uiPriority="0" w:name="annotation subject"/>
    <w:lsdException w:unhideWhenUsed="0" w:uiPriority="0" w:semiHidden="0" w:name="Table Simple 1" w:locked="1"/>
    <w:lsdException w:unhideWhenUsed="0" w:uiPriority="0" w:semiHidden="0" w:name="Table Simple 2" w:locked="1"/>
    <w:lsdException w:unhideWhenUsed="0" w:uiPriority="0" w:semiHidden="0" w:name="Table Simple 3" w:locked="1"/>
    <w:lsdException w:unhideWhenUsed="0" w:uiPriority="0" w:semiHidden="0" w:name="Table Classic 1" w:locked="1"/>
    <w:lsdException w:unhideWhenUsed="0" w:uiPriority="0" w:semiHidden="0" w:name="Table Classic 2" w:locked="1"/>
    <w:lsdException w:unhideWhenUsed="0" w:uiPriority="0" w:semiHidden="0" w:name="Table Classic 3" w:locked="1"/>
    <w:lsdException w:unhideWhenUsed="0" w:uiPriority="0" w:semiHidden="0" w:name="Table Classic 4" w:locked="1"/>
    <w:lsdException w:unhideWhenUsed="0" w:uiPriority="0" w:semiHidden="0" w:name="Table Colorful 1" w:locked="1"/>
    <w:lsdException w:unhideWhenUsed="0" w:uiPriority="0" w:semiHidden="0" w:name="Table Colorful 2" w:locked="1"/>
    <w:lsdException w:unhideWhenUsed="0" w:uiPriority="0" w:semiHidden="0" w:name="Table Colorful 3" w:locked="1"/>
    <w:lsdException w:unhideWhenUsed="0" w:uiPriority="0" w:semiHidden="0" w:name="Table Columns 1" w:locked="1"/>
    <w:lsdException w:unhideWhenUsed="0" w:uiPriority="0" w:semiHidden="0" w:name="Table Columns 2" w:locked="1"/>
    <w:lsdException w:unhideWhenUsed="0" w:uiPriority="0" w:semiHidden="0" w:name="Table Columns 3" w:locked="1"/>
    <w:lsdException w:unhideWhenUsed="0" w:uiPriority="0" w:semiHidden="0" w:name="Table Columns 4" w:locked="1"/>
    <w:lsdException w:unhideWhenUsed="0" w:uiPriority="0" w:semiHidden="0" w:name="Table Columns 5" w:locked="1"/>
    <w:lsdException w:unhideWhenUsed="0" w:uiPriority="0" w:semiHidden="0" w:name="Table Grid 1" w:locked="1"/>
    <w:lsdException w:unhideWhenUsed="0" w:uiPriority="0" w:semiHidden="0" w:name="Table Grid 2" w:locked="1"/>
    <w:lsdException w:unhideWhenUsed="0" w:uiPriority="0" w:semiHidden="0" w:name="Table Grid 3" w:locked="1"/>
    <w:lsdException w:unhideWhenUsed="0" w:uiPriority="0" w:semiHidden="0" w:name="Table Grid 4" w:locked="1"/>
    <w:lsdException w:unhideWhenUsed="0" w:uiPriority="0" w:semiHidden="0" w:name="Table Grid 5" w:locked="1"/>
    <w:lsdException w:unhideWhenUsed="0" w:uiPriority="0" w:semiHidden="0" w:name="Table Grid 6" w:locked="1"/>
    <w:lsdException w:unhideWhenUsed="0" w:uiPriority="0" w:semiHidden="0" w:name="Table Grid 7" w:locked="1"/>
    <w:lsdException w:unhideWhenUsed="0" w:uiPriority="0" w:semiHidden="0" w:name="Table Grid 8" w:locked="1"/>
    <w:lsdException w:unhideWhenUsed="0" w:uiPriority="0" w:semiHidden="0" w:name="Table List 1" w:locked="1"/>
    <w:lsdException w:unhideWhenUsed="0" w:uiPriority="0" w:semiHidden="0" w:name="Table List 2" w:locked="1"/>
    <w:lsdException w:unhideWhenUsed="0" w:uiPriority="0" w:semiHidden="0" w:name="Table List 3" w:locked="1"/>
    <w:lsdException w:unhideWhenUsed="0" w:uiPriority="0" w:semiHidden="0" w:name="Table List 4" w:locked="1"/>
    <w:lsdException w:unhideWhenUsed="0" w:uiPriority="0" w:semiHidden="0" w:name="Table List 5" w:locked="1"/>
    <w:lsdException w:unhideWhenUsed="0" w:uiPriority="0" w:semiHidden="0" w:name="Table List 6" w:locked="1"/>
    <w:lsdException w:unhideWhenUsed="0" w:uiPriority="0" w:semiHidden="0" w:name="Table List 7" w:locked="1"/>
    <w:lsdException w:unhideWhenUsed="0" w:uiPriority="0" w:semiHidden="0" w:name="Table List 8" w:locked="1"/>
    <w:lsdException w:unhideWhenUsed="0" w:uiPriority="0" w:semiHidden="0" w:name="Table 3D effects 1" w:locked="1"/>
    <w:lsdException w:unhideWhenUsed="0" w:uiPriority="0" w:semiHidden="0" w:name="Table 3D effects 2" w:locked="1"/>
    <w:lsdException w:unhideWhenUsed="0" w:uiPriority="0" w:semiHidden="0" w:name="Table 3D effects 3" w:locked="1"/>
    <w:lsdException w:unhideWhenUsed="0" w:uiPriority="0" w:semiHidden="0" w:name="Table Contemporary" w:locked="1"/>
    <w:lsdException w:unhideWhenUsed="0" w:uiPriority="0" w:semiHidden="0" w:name="Table Elegant" w:locked="1"/>
    <w:lsdException w:unhideWhenUsed="0" w:uiPriority="0" w:semiHidden="0" w:name="Table Professional" w:locked="1"/>
    <w:lsdException w:unhideWhenUsed="0" w:uiPriority="0" w:semiHidden="0" w:name="Table Subtle 1" w:locked="1"/>
    <w:lsdException w:unhideWhenUsed="0" w:uiPriority="0" w:semiHidden="0" w:name="Table Subtle 2" w:locked="1"/>
    <w:lsdException w:unhideWhenUsed="0" w:uiPriority="0" w:semiHidden="0" w:name="Table Web 1" w:locked="1"/>
    <w:lsdException w:unhideWhenUsed="0" w:uiPriority="0" w:semiHidden="0" w:name="Table Web 2" w:locked="1"/>
    <w:lsdException w:unhideWhenUsed="0" w:uiPriority="0" w:semiHidden="0" w:name="Table Web 3" w:locked="1"/>
    <w:lsdException w:unhideWhenUsed="0" w:uiPriority="0" w:name="Balloon Text"/>
    <w:lsdException w:unhideWhenUsed="0" w:uiPriority="0" w:semiHidden="0" w:name="Table Grid"/>
    <w:lsdException w:unhideWhenUsed="0" w:uiPriority="0" w:semiHidden="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pPr>
    <w:rPr>
      <w:kern w:val="2"/>
      <w:sz w:val="21"/>
      <w:szCs w:val="24"/>
      <w:lang w:val="en-US" w:eastAsia="zh-CN" w:bidi="ar-SA"/>
    </w:rPr>
  </w:style>
  <w:style w:type="paragraph" w:styleId="2">
    <w:name w:val="heading 1"/>
    <w:basedOn w:val="1"/>
    <w:next w:val="1"/>
    <w:qFormat/>
    <w:locked/>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3">
    <w:name w:val="heading 2"/>
    <w:basedOn w:val="1"/>
    <w:next w:val="1"/>
    <w:qFormat/>
    <w:locked/>
    <w:uiPriority w:val="0"/>
    <w:pPr>
      <w:keepNext/>
      <w:keepLines/>
      <w:numPr>
        <w:ilvl w:val="1"/>
        <w:numId w:val="1"/>
      </w:numPr>
      <w:spacing w:before="260" w:beforeLines="0" w:beforeAutospacing="0" w:after="260" w:afterLines="0" w:afterAutospacing="0" w:line="413" w:lineRule="auto"/>
      <w:ind w:left="576" w:hanging="576"/>
      <w:outlineLvl w:val="1"/>
    </w:pPr>
    <w:rPr>
      <w:rFonts w:ascii="Arial" w:hAnsi="Arial" w:eastAsia="黑体"/>
      <w:b/>
      <w:sz w:val="32"/>
    </w:rPr>
  </w:style>
  <w:style w:type="paragraph" w:styleId="4">
    <w:name w:val="heading 3"/>
    <w:basedOn w:val="1"/>
    <w:next w:val="1"/>
    <w:qFormat/>
    <w:locked/>
    <w:uiPriority w:val="0"/>
    <w:pPr>
      <w:numPr>
        <w:ilvl w:val="2"/>
        <w:numId w:val="2"/>
      </w:numPr>
      <w:spacing w:after="0" w:line="360" w:lineRule="auto"/>
      <w:ind w:left="0" w:firstLine="0"/>
      <w:outlineLvl w:val="2"/>
    </w:pPr>
    <w:rPr>
      <w:rFonts w:ascii="Cambria" w:hAnsi="Cambria" w:eastAsia="宋体"/>
      <w:b/>
      <w:iCs/>
      <w:smallCaps/>
      <w:spacing w:val="5"/>
      <w:sz w:val="24"/>
      <w:szCs w:val="26"/>
    </w:rPr>
  </w:style>
  <w:style w:type="character" w:default="1" w:styleId="27">
    <w:name w:val="Default Paragraph Font"/>
    <w:semiHidden/>
    <w:uiPriority w:val="0"/>
  </w:style>
  <w:style w:type="table" w:default="1" w:styleId="25">
    <w:name w:val="Normal Table"/>
    <w:semiHidden/>
    <w:uiPriority w:val="0"/>
    <w:tblPr>
      <w:tblStyle w:val="25"/>
      <w:tblCellMar>
        <w:top w:w="0" w:type="dxa"/>
        <w:left w:w="108" w:type="dxa"/>
        <w:bottom w:w="0" w:type="dxa"/>
        <w:right w:w="108" w:type="dxa"/>
      </w:tblCellMar>
    </w:tblPr>
  </w:style>
  <w:style w:type="paragraph" w:styleId="5">
    <w:name w:val="Note Heading"/>
    <w:basedOn w:val="1"/>
    <w:next w:val="1"/>
    <w:unhideWhenUsed/>
    <w:qFormat/>
    <w:locked/>
    <w:uiPriority w:val="0"/>
    <w:pPr>
      <w:jc w:val="center"/>
    </w:pPr>
    <w:rPr>
      <w:szCs w:val="20"/>
    </w:rPr>
  </w:style>
  <w:style w:type="paragraph" w:styleId="6">
    <w:name w:val="Normal Indent"/>
    <w:basedOn w:val="1"/>
    <w:next w:val="1"/>
    <w:unhideWhenUsed/>
    <w:qFormat/>
    <w:locked/>
    <w:uiPriority w:val="0"/>
    <w:pPr>
      <w:ind w:firstLine="420" w:firstLineChars="200"/>
    </w:pPr>
    <w:rPr>
      <w:rFonts w:ascii="宋体" w:hAnsi="宋体"/>
    </w:rPr>
  </w:style>
  <w:style w:type="paragraph" w:styleId="7">
    <w:name w:val="caption"/>
    <w:basedOn w:val="1"/>
    <w:next w:val="1"/>
    <w:qFormat/>
    <w:locked/>
    <w:uiPriority w:val="0"/>
    <w:rPr>
      <w:rFonts w:ascii="Arial" w:hAnsi="Arial" w:eastAsia="黑体" w:cs="Arial"/>
      <w:sz w:val="20"/>
    </w:rPr>
  </w:style>
  <w:style w:type="paragraph" w:styleId="8">
    <w:name w:val="annotation text"/>
    <w:basedOn w:val="1"/>
    <w:link w:val="30"/>
    <w:semiHidden/>
    <w:uiPriority w:val="0"/>
    <w:pPr>
      <w:jc w:val="left"/>
    </w:pPr>
    <w:rPr>
      <w:kern w:val="0"/>
      <w:sz w:val="24"/>
      <w:szCs w:val="20"/>
    </w:rPr>
  </w:style>
  <w:style w:type="paragraph" w:styleId="9">
    <w:name w:val="Body Text"/>
    <w:basedOn w:val="1"/>
    <w:link w:val="31"/>
    <w:uiPriority w:val="0"/>
    <w:pPr>
      <w:widowControl/>
      <w:snapToGrid w:val="0"/>
      <w:spacing w:before="60" w:after="160" w:line="259" w:lineRule="auto"/>
      <w:ind w:right="113"/>
    </w:pPr>
    <w:rPr>
      <w:kern w:val="0"/>
      <w:sz w:val="18"/>
      <w:szCs w:val="20"/>
    </w:rPr>
  </w:style>
  <w:style w:type="paragraph" w:styleId="10">
    <w:name w:val="Body Text Indent"/>
    <w:basedOn w:val="1"/>
    <w:next w:val="11"/>
    <w:link w:val="32"/>
    <w:uiPriority w:val="0"/>
    <w:pPr>
      <w:spacing w:after="120"/>
      <w:ind w:left="420" w:leftChars="200"/>
    </w:pPr>
    <w:rPr>
      <w:kern w:val="0"/>
      <w:sz w:val="24"/>
      <w:szCs w:val="20"/>
    </w:rPr>
  </w:style>
  <w:style w:type="paragraph" w:styleId="11">
    <w:name w:val="header"/>
    <w:basedOn w:val="1"/>
    <w:next w:val="12"/>
    <w:link w:val="33"/>
    <w:uiPriority w:val="0"/>
    <w:pPr>
      <w:pBdr>
        <w:bottom w:val="single" w:color="auto" w:sz="6" w:space="1"/>
      </w:pBdr>
      <w:tabs>
        <w:tab w:val="center" w:pos="4153"/>
        <w:tab w:val="right" w:pos="8306"/>
      </w:tabs>
      <w:snapToGrid w:val="0"/>
      <w:jc w:val="center"/>
    </w:pPr>
    <w:rPr>
      <w:kern w:val="0"/>
      <w:sz w:val="18"/>
      <w:szCs w:val="20"/>
    </w:rPr>
  </w:style>
  <w:style w:type="paragraph" w:customStyle="1" w:styleId="12">
    <w:name w:val="样式5"/>
    <w:basedOn w:val="6"/>
    <w:qFormat/>
    <w:uiPriority w:val="0"/>
    <w:pPr>
      <w:numPr>
        <w:ilvl w:val="3"/>
        <w:numId w:val="0"/>
      </w:numPr>
      <w:tabs>
        <w:tab w:val="left" w:pos="360"/>
      </w:tabs>
      <w:spacing w:before="0" w:after="0" w:line="300" w:lineRule="auto"/>
      <w:ind w:right="-17" w:hanging="864"/>
    </w:pPr>
    <w:rPr>
      <w:rFonts w:ascii="黑体"/>
      <w:color w:val="000000"/>
      <w:szCs w:val="24"/>
    </w:rPr>
  </w:style>
  <w:style w:type="paragraph" w:styleId="13">
    <w:name w:val="Plain Text"/>
    <w:basedOn w:val="1"/>
    <w:qFormat/>
    <w:locked/>
    <w:uiPriority w:val="0"/>
    <w:rPr>
      <w:rFonts w:ascii="宋体" w:hAnsi="Courier New"/>
      <w:szCs w:val="20"/>
    </w:rPr>
  </w:style>
  <w:style w:type="paragraph" w:styleId="14">
    <w:name w:val="List Bullet 5"/>
    <w:basedOn w:val="1"/>
    <w:locked/>
    <w:uiPriority w:val="0"/>
    <w:pPr>
      <w:numPr>
        <w:ilvl w:val="0"/>
        <w:numId w:val="3"/>
      </w:numPr>
    </w:pPr>
  </w:style>
  <w:style w:type="paragraph" w:styleId="15">
    <w:name w:val="Date"/>
    <w:basedOn w:val="1"/>
    <w:next w:val="1"/>
    <w:link w:val="34"/>
    <w:uiPriority w:val="0"/>
    <w:pPr>
      <w:ind w:left="100" w:leftChars="2500"/>
    </w:pPr>
    <w:rPr>
      <w:kern w:val="0"/>
      <w:sz w:val="24"/>
      <w:szCs w:val="20"/>
    </w:rPr>
  </w:style>
  <w:style w:type="paragraph" w:styleId="16">
    <w:name w:val="Body Text Indent 2"/>
    <w:basedOn w:val="1"/>
    <w:next w:val="1"/>
    <w:locked/>
    <w:uiPriority w:val="0"/>
    <w:pPr>
      <w:spacing w:after="120" w:line="480" w:lineRule="auto"/>
      <w:ind w:left="420" w:leftChars="200"/>
    </w:pPr>
  </w:style>
  <w:style w:type="paragraph" w:styleId="17">
    <w:name w:val="Balloon Text"/>
    <w:basedOn w:val="1"/>
    <w:link w:val="35"/>
    <w:semiHidden/>
    <w:uiPriority w:val="0"/>
    <w:rPr>
      <w:kern w:val="0"/>
      <w:sz w:val="18"/>
      <w:szCs w:val="20"/>
    </w:rPr>
  </w:style>
  <w:style w:type="paragraph" w:styleId="18">
    <w:name w:val="footer"/>
    <w:basedOn w:val="1"/>
    <w:link w:val="36"/>
    <w:uiPriority w:val="99"/>
    <w:pPr>
      <w:tabs>
        <w:tab w:val="center" w:pos="4153"/>
        <w:tab w:val="right" w:pos="8306"/>
      </w:tabs>
      <w:snapToGrid w:val="0"/>
      <w:jc w:val="left"/>
    </w:pPr>
    <w:rPr>
      <w:kern w:val="0"/>
      <w:sz w:val="18"/>
      <w:szCs w:val="20"/>
    </w:rPr>
  </w:style>
  <w:style w:type="paragraph" w:styleId="19">
    <w:name w:val="List"/>
    <w:basedOn w:val="1"/>
    <w:next w:val="1"/>
    <w:unhideWhenUsed/>
    <w:qFormat/>
    <w:locked/>
    <w:uiPriority w:val="0"/>
    <w:pPr>
      <w:spacing w:line="320" w:lineRule="exact"/>
      <w:jc w:val="center"/>
    </w:pPr>
    <w:rPr>
      <w:sz w:val="20"/>
    </w:rPr>
  </w:style>
  <w:style w:type="paragraph" w:styleId="20">
    <w:name w:val="Body Text Indent 3"/>
    <w:basedOn w:val="1"/>
    <w:qFormat/>
    <w:locked/>
    <w:uiPriority w:val="0"/>
    <w:pPr>
      <w:spacing w:after="120"/>
      <w:ind w:left="420" w:leftChars="200"/>
    </w:pPr>
    <w:rPr>
      <w:sz w:val="16"/>
      <w:szCs w:val="16"/>
    </w:rPr>
  </w:style>
  <w:style w:type="paragraph" w:styleId="21">
    <w:name w:val="Normal (Web)"/>
    <w:basedOn w:val="1"/>
    <w:link w:val="37"/>
    <w:uiPriority w:val="0"/>
    <w:pPr>
      <w:widowControl/>
      <w:spacing w:before="100" w:beforeAutospacing="1" w:after="100" w:afterAutospacing="1"/>
      <w:jc w:val="left"/>
    </w:pPr>
    <w:rPr>
      <w:rFonts w:ascii="宋体" w:hAnsi="宋体"/>
      <w:kern w:val="0"/>
      <w:sz w:val="24"/>
      <w:szCs w:val="20"/>
    </w:rPr>
  </w:style>
  <w:style w:type="paragraph" w:styleId="22">
    <w:name w:val="annotation subject"/>
    <w:basedOn w:val="8"/>
    <w:next w:val="8"/>
    <w:link w:val="38"/>
    <w:semiHidden/>
    <w:uiPriority w:val="0"/>
    <w:rPr>
      <w:b/>
      <w:kern w:val="2"/>
    </w:rPr>
  </w:style>
  <w:style w:type="paragraph" w:styleId="23">
    <w:name w:val="Body Text First Indent"/>
    <w:basedOn w:val="9"/>
    <w:next w:val="1"/>
    <w:unhideWhenUsed/>
    <w:qFormat/>
    <w:locked/>
    <w:uiPriority w:val="0"/>
    <w:pPr>
      <w:widowControl w:val="0"/>
      <w:snapToGrid/>
      <w:spacing w:before="0" w:after="120" w:line="240" w:lineRule="auto"/>
      <w:ind w:right="0" w:firstLine="420" w:firstLineChars="100"/>
    </w:pPr>
    <w:rPr>
      <w:rFonts w:ascii="宋体"/>
      <w:kern w:val="2"/>
      <w:sz w:val="28"/>
    </w:rPr>
  </w:style>
  <w:style w:type="paragraph" w:styleId="24">
    <w:name w:val="Body Text First Indent 2"/>
    <w:basedOn w:val="10"/>
    <w:qFormat/>
    <w:locked/>
    <w:uiPriority w:val="0"/>
    <w:pPr>
      <w:ind w:firstLine="420"/>
    </w:pPr>
  </w:style>
  <w:style w:type="table" w:styleId="26">
    <w:name w:val="Table Grid"/>
    <w:basedOn w:val="25"/>
    <w:uiPriority w:val="0"/>
    <w:rPr>
      <w:lang w:val="en-US" w:eastAsia="zh-CN" w:bidi="ar-SA"/>
    </w:rPr>
    <w:tblPr>
      <w:tblStyle w:val="25"/>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8">
    <w:name w:val="page number"/>
    <w:basedOn w:val="27"/>
    <w:locked/>
    <w:uiPriority w:val="0"/>
  </w:style>
  <w:style w:type="character" w:styleId="29">
    <w:name w:val="annotation reference"/>
    <w:semiHidden/>
    <w:uiPriority w:val="0"/>
    <w:rPr>
      <w:sz w:val="21"/>
    </w:rPr>
  </w:style>
  <w:style w:type="character" w:customStyle="1" w:styleId="30">
    <w:name w:val="批注文字 Char"/>
    <w:link w:val="8"/>
    <w:locked/>
    <w:uiPriority w:val="0"/>
    <w:rPr>
      <w:rFonts w:ascii="Times New Roman" w:hAnsi="Times New Roman" w:eastAsia="宋体"/>
      <w:sz w:val="24"/>
    </w:rPr>
  </w:style>
  <w:style w:type="character" w:customStyle="1" w:styleId="31">
    <w:name w:val="正文文本 Char"/>
    <w:link w:val="9"/>
    <w:locked/>
    <w:uiPriority w:val="0"/>
    <w:rPr>
      <w:sz w:val="18"/>
    </w:rPr>
  </w:style>
  <w:style w:type="character" w:customStyle="1" w:styleId="32">
    <w:name w:val="正文文本缩进 Char"/>
    <w:link w:val="10"/>
    <w:semiHidden/>
    <w:locked/>
    <w:uiPriority w:val="0"/>
    <w:rPr>
      <w:rFonts w:ascii="Times New Roman" w:hAnsi="Times New Roman" w:eastAsia="宋体"/>
      <w:sz w:val="24"/>
    </w:rPr>
  </w:style>
  <w:style w:type="character" w:customStyle="1" w:styleId="33">
    <w:name w:val="页眉 Char"/>
    <w:link w:val="11"/>
    <w:locked/>
    <w:uiPriority w:val="0"/>
    <w:rPr>
      <w:sz w:val="18"/>
    </w:rPr>
  </w:style>
  <w:style w:type="character" w:customStyle="1" w:styleId="34">
    <w:name w:val="日期 Char"/>
    <w:link w:val="15"/>
    <w:locked/>
    <w:uiPriority w:val="0"/>
    <w:rPr>
      <w:rFonts w:ascii="Times New Roman" w:hAnsi="Times New Roman" w:eastAsia="宋体"/>
      <w:sz w:val="24"/>
    </w:rPr>
  </w:style>
  <w:style w:type="character" w:customStyle="1" w:styleId="35">
    <w:name w:val="批注框文本 Char"/>
    <w:link w:val="17"/>
    <w:semiHidden/>
    <w:locked/>
    <w:uiPriority w:val="0"/>
    <w:rPr>
      <w:rFonts w:ascii="Times New Roman" w:hAnsi="Times New Roman" w:eastAsia="宋体"/>
      <w:sz w:val="18"/>
    </w:rPr>
  </w:style>
  <w:style w:type="character" w:customStyle="1" w:styleId="36">
    <w:name w:val="页脚 Char"/>
    <w:link w:val="18"/>
    <w:locked/>
    <w:uiPriority w:val="99"/>
    <w:rPr>
      <w:sz w:val="18"/>
    </w:rPr>
  </w:style>
  <w:style w:type="character" w:customStyle="1" w:styleId="37">
    <w:name w:val="普通(网站) Char"/>
    <w:link w:val="21"/>
    <w:locked/>
    <w:uiPriority w:val="0"/>
    <w:rPr>
      <w:rFonts w:ascii="宋体" w:hAnsi="宋体" w:eastAsia="宋体"/>
      <w:sz w:val="24"/>
    </w:rPr>
  </w:style>
  <w:style w:type="character" w:customStyle="1" w:styleId="38">
    <w:name w:val="批注主题 Char"/>
    <w:link w:val="22"/>
    <w:semiHidden/>
    <w:locked/>
    <w:uiPriority w:val="0"/>
    <w:rPr>
      <w:rFonts w:ascii="Times New Roman" w:hAnsi="Times New Roman" w:eastAsia="宋体"/>
      <w:b/>
      <w:kern w:val="2"/>
      <w:sz w:val="24"/>
    </w:rPr>
  </w:style>
  <w:style w:type="paragraph" w:customStyle="1" w:styleId="39">
    <w:name w:val="0正文"/>
    <w:basedOn w:val="10"/>
    <w:next w:val="1"/>
    <w:qFormat/>
    <w:uiPriority w:val="0"/>
    <w:pPr>
      <w:spacing w:line="300" w:lineRule="auto"/>
      <w:ind w:firstLine="480" w:firstLineChars="200"/>
    </w:pPr>
    <w:rPr>
      <w:sz w:val="24"/>
      <w:lang w:val="en-US" w:eastAsia="zh-CN" w:bidi="ar-SA"/>
    </w:rPr>
  </w:style>
  <w:style w:type="paragraph" w:customStyle="1" w:styleId="40">
    <w:name w:val="toc 75"/>
    <w:next w:val="1"/>
    <w:qFormat/>
    <w:uiPriority w:val="0"/>
    <w:pPr>
      <w:wordWrap w:val="0"/>
      <w:ind w:left="2550"/>
      <w:jc w:val="both"/>
    </w:pPr>
    <w:rPr>
      <w:sz w:val="21"/>
      <w:lang w:val="en-US" w:eastAsia="zh-CN" w:bidi="ar-SA"/>
    </w:rPr>
  </w:style>
  <w:style w:type="paragraph" w:customStyle="1" w:styleId="41">
    <w:name w:val="_Style 4"/>
    <w:basedOn w:val="1"/>
    <w:qFormat/>
    <w:uiPriority w:val="0"/>
    <w:pPr>
      <w:tabs>
        <w:tab w:val="left" w:pos="4665"/>
        <w:tab w:val="left" w:pos="8970"/>
      </w:tabs>
      <w:ind w:firstLine="400"/>
    </w:pPr>
    <w:rPr>
      <w:rFonts w:hAnsi="宋体"/>
      <w:sz w:val="30"/>
      <w:szCs w:val="30"/>
    </w:rPr>
  </w:style>
  <w:style w:type="paragraph" w:customStyle="1" w:styleId="42">
    <w:name w:val="Default"/>
    <w:basedOn w:val="43"/>
    <w:qFormat/>
    <w:uiPriority w:val="0"/>
    <w:pPr>
      <w:widowControl w:val="0"/>
      <w:autoSpaceDE w:val="0"/>
      <w:autoSpaceDN w:val="0"/>
      <w:adjustRightInd w:val="0"/>
    </w:pPr>
    <w:rPr>
      <w:rFonts w:ascii="Arial Unicode MS" w:hAnsi="Arial Unicode MS" w:eastAsia="宋体" w:cs="Arial Unicode MS"/>
      <w:color w:val="000000"/>
      <w:sz w:val="24"/>
      <w:szCs w:val="24"/>
      <w:lang w:val="en-US" w:eastAsia="zh-CN" w:bidi="ar-SA"/>
    </w:rPr>
  </w:style>
  <w:style w:type="paragraph" w:customStyle="1" w:styleId="43">
    <w:name w:val="纯文本1"/>
    <w:basedOn w:val="1"/>
    <w:qFormat/>
    <w:uiPriority w:val="99"/>
    <w:rPr>
      <w:rFonts w:ascii="宋体" w:hAnsi="Courier New" w:cs="宋体"/>
    </w:rPr>
  </w:style>
  <w:style w:type="paragraph" w:customStyle="1" w:styleId="44">
    <w:name w:val="toc 65"/>
    <w:next w:val="1"/>
    <w:qFormat/>
    <w:uiPriority w:val="0"/>
    <w:pPr>
      <w:wordWrap w:val="0"/>
      <w:ind w:left="2125"/>
      <w:jc w:val="both"/>
    </w:pPr>
    <w:rPr>
      <w:rFonts w:ascii="Calibri" w:hAnsi="Calibri"/>
      <w:sz w:val="21"/>
      <w:lang w:val="en-US" w:eastAsia="zh-CN" w:bidi="ar-SA"/>
    </w:rPr>
  </w:style>
  <w:style w:type="paragraph" w:customStyle="1" w:styleId="45">
    <w:name w:val="正文1"/>
    <w:basedOn w:val="1"/>
    <w:qFormat/>
    <w:uiPriority w:val="0"/>
    <w:pPr>
      <w:ind w:firstLine="200" w:firstLineChars="200"/>
    </w:pPr>
    <w:rPr>
      <w:rFonts w:hint="eastAsia" w:ascii="仿宋_GB2312" w:eastAsia="仿宋_GB2312"/>
      <w:szCs w:val="20"/>
    </w:rPr>
  </w:style>
  <w:style w:type="character" w:customStyle="1" w:styleId="46">
    <w:name w:val="批注文字 字符1"/>
    <w:semiHidden/>
    <w:uiPriority w:val="0"/>
    <w:rPr>
      <w:rFonts w:ascii="Times New Roman" w:hAnsi="Times New Roman" w:eastAsia="宋体"/>
      <w:sz w:val="24"/>
    </w:rPr>
  </w:style>
  <w:style w:type="character" w:customStyle="1" w:styleId="47">
    <w:name w:val="正文文本 字符1"/>
    <w:semiHidden/>
    <w:uiPriority w:val="0"/>
    <w:rPr>
      <w:rFonts w:ascii="Times New Roman" w:hAnsi="Times New Roman" w:eastAsia="宋体"/>
      <w:sz w:val="24"/>
    </w:rPr>
  </w:style>
  <w:style w:type="character" w:customStyle="1" w:styleId="48">
    <w:name w:val="表格 Char"/>
    <w:link w:val="49"/>
    <w:locked/>
    <w:uiPriority w:val="0"/>
    <w:rPr>
      <w:rFonts w:ascii="宋体"/>
      <w:sz w:val="21"/>
    </w:rPr>
  </w:style>
  <w:style w:type="paragraph" w:customStyle="1" w:styleId="49">
    <w:name w:val="表格"/>
    <w:basedOn w:val="19"/>
    <w:next w:val="1"/>
    <w:link w:val="48"/>
    <w:uiPriority w:val="0"/>
    <w:pPr>
      <w:adjustRightInd w:val="0"/>
      <w:snapToGrid w:val="0"/>
      <w:spacing w:beforeLines="10" w:afterLines="10" w:line="259" w:lineRule="auto"/>
      <w:jc w:val="center"/>
    </w:pPr>
    <w:rPr>
      <w:rFonts w:ascii="宋体"/>
      <w:kern w:val="0"/>
      <w:szCs w:val="20"/>
    </w:rPr>
  </w:style>
  <w:style w:type="character" w:customStyle="1" w:styleId="50">
    <w:name w:val="Plain Text Char"/>
    <w:qFormat/>
    <w:locked/>
    <w:uiPriority w:val="0"/>
    <w:rPr>
      <w:rFonts w:hint="eastAsia" w:ascii="宋体" w:hAnsi="Courier New" w:eastAsia="宋体"/>
      <w:sz w:val="21"/>
    </w:rPr>
  </w:style>
  <w:style w:type="character" w:customStyle="1" w:styleId="51">
    <w:name w:val="页脚 字符"/>
    <w:basedOn w:val="27"/>
    <w:uiPriority w:val="99"/>
  </w:style>
  <w:style w:type="character" w:customStyle="1" w:styleId="52">
    <w:name w:val="日期 字符"/>
    <w:semiHidden/>
    <w:uiPriority w:val="0"/>
    <w:rPr>
      <w:rFonts w:ascii="Times New Roman" w:hAnsi="Times New Roman" w:eastAsia="宋体"/>
      <w:sz w:val="24"/>
    </w:rPr>
  </w:style>
  <w:style w:type="paragraph" w:customStyle="1" w:styleId="53">
    <w:name w:val="科隆表格文字"/>
    <w:basedOn w:val="1"/>
    <w:qFormat/>
    <w:uiPriority w:val="0"/>
    <w:pPr>
      <w:autoSpaceDE w:val="0"/>
      <w:autoSpaceDN w:val="0"/>
      <w:adjustRightInd w:val="0"/>
      <w:jc w:val="center"/>
    </w:pPr>
    <w:rPr>
      <w:kern w:val="0"/>
      <w:sz w:val="34"/>
      <w:szCs w:val="20"/>
      <w:lang w:val="zh-CN"/>
    </w:rPr>
  </w:style>
  <w:style w:type="paragraph" w:customStyle="1" w:styleId="54">
    <w:name w:val="公式"/>
    <w:basedOn w:val="1"/>
    <w:next w:val="1"/>
    <w:qFormat/>
    <w:uiPriority w:val="0"/>
    <w:pPr>
      <w:snapToGrid w:val="0"/>
      <w:spacing w:before="120" w:after="120"/>
      <w:jc w:val="center"/>
    </w:pPr>
    <w:rPr>
      <w:rFonts w:eastAsia="仿宋_GB2312"/>
      <w:snapToGrid w:val="0"/>
      <w:color w:val="000000"/>
      <w:sz w:val="30"/>
      <w:szCs w:val="32"/>
    </w:rPr>
  </w:style>
  <w:style w:type="paragraph" w:customStyle="1" w:styleId="55">
    <w:name w:val="表格样式"/>
    <w:basedOn w:val="1"/>
    <w:uiPriority w:val="0"/>
    <w:pPr>
      <w:spacing w:line="240" w:lineRule="auto"/>
    </w:pPr>
    <w:rPr>
      <w:rFonts w:ascii="Times New Roman" w:eastAsia="宋体"/>
    </w:rPr>
  </w:style>
  <w:style w:type="paragraph" w:customStyle="1" w:styleId="56">
    <w:name w:val="Table Paragraph"/>
    <w:basedOn w:val="1"/>
    <w:qFormat/>
    <w:uiPriority w:val="1"/>
    <w:pPr>
      <w:autoSpaceDE w:val="0"/>
      <w:autoSpaceDN w:val="0"/>
      <w:jc w:val="center"/>
    </w:pPr>
    <w:rPr>
      <w:rFonts w:ascii="宋体" w:hAnsi="宋体" w:cs="宋体"/>
      <w:kern w:val="0"/>
      <w:sz w:val="22"/>
      <w:szCs w:val="22"/>
      <w:lang w:eastAsia="en-US"/>
    </w:rPr>
  </w:style>
  <w:style w:type="paragraph" w:customStyle="1" w:styleId="57">
    <w:name w:val="正文_21"/>
    <w:qFormat/>
    <w:uiPriority w:val="0"/>
    <w:pPr>
      <w:widowControl w:val="0"/>
      <w:jc w:val="both"/>
    </w:pPr>
    <w:rPr>
      <w:rFonts w:ascii="Calibri" w:hAnsi="Calibri"/>
      <w:kern w:val="2"/>
      <w:sz w:val="21"/>
      <w:lang w:val="en-US" w:eastAsia="zh-CN" w:bidi="ar-SA"/>
    </w:rPr>
  </w:style>
  <w:style w:type="paragraph" w:customStyle="1" w:styleId="58">
    <w:name w:val="普通(网站)2"/>
    <w:basedOn w:val="1"/>
    <w:uiPriority w:val="0"/>
    <w:pPr>
      <w:widowControl/>
      <w:spacing w:before="100" w:beforeAutospacing="1" w:after="100" w:afterAutospacing="1"/>
      <w:jc w:val="left"/>
    </w:pPr>
    <w:rPr>
      <w:rFonts w:ascii="宋体" w:hAnsi="宋体"/>
      <w:sz w:val="24"/>
      <w:szCs w:val="20"/>
    </w:rPr>
  </w:style>
  <w:style w:type="paragraph" w:customStyle="1" w:styleId="59">
    <w:name w:val="段落格式"/>
    <w:basedOn w:val="1"/>
    <w:uiPriority w:val="0"/>
    <w:pPr>
      <w:ind w:firstLine="720" w:firstLineChars="200"/>
      <w:jc w:val="left"/>
    </w:pPr>
  </w:style>
  <w:style w:type="paragraph" w:customStyle="1" w:styleId="60">
    <w:name w:val="正文五号无缩进表格内容字"/>
    <w:basedOn w:val="1"/>
    <w:qFormat/>
    <w:uiPriority w:val="0"/>
    <w:pPr>
      <w:adjustRightInd w:val="0"/>
      <w:snapToGrid w:val="0"/>
    </w:pPr>
    <w:rPr>
      <w:kern w:val="0"/>
    </w:rPr>
  </w:style>
  <w:style w:type="paragraph" w:customStyle="1" w:styleId="61">
    <w:name w:val="报告书正文"/>
    <w:basedOn w:val="1"/>
    <w:qFormat/>
    <w:uiPriority w:val="0"/>
    <w:pPr>
      <w:spacing w:line="360" w:lineRule="auto"/>
      <w:ind w:firstLine="420" w:firstLineChars="175"/>
    </w:pPr>
    <w:rPr>
      <w:rFonts w:ascii="Times New Roman" w:hAnsi="Times New Roman" w:cs="Times New Roman"/>
      <w:sz w:val="24"/>
      <w:szCs w:val="20"/>
    </w:rPr>
  </w:style>
  <w:style w:type="paragraph" w:customStyle="1" w:styleId="62">
    <w:name w:val="三级标题"/>
    <w:basedOn w:val="1"/>
    <w:uiPriority w:val="0"/>
    <w:pPr>
      <w:jc w:val="left"/>
    </w:pPr>
    <w:rPr>
      <w:b/>
      <w:sz w:val="24"/>
    </w:rPr>
  </w:style>
  <w:style w:type="paragraph" w:customStyle="1" w:styleId="63">
    <w:name w:val="！正文"/>
    <w:next w:val="1"/>
    <w:qFormat/>
    <w:uiPriority w:val="0"/>
    <w:pPr>
      <w:widowControl w:val="0"/>
    </w:pPr>
    <w:rPr>
      <w:rFonts w:ascii="黑体" w:hAnsi="黑体" w:eastAsia="黑体"/>
      <w:kern w:val="2"/>
      <w:sz w:val="21"/>
      <w:szCs w:val="21"/>
      <w:lang w:val="en-US" w:eastAsia="zh-CN" w:bidi="ar-SA"/>
    </w:rPr>
  </w:style>
  <w:style w:type="paragraph" w:customStyle="1" w:styleId="64">
    <w:name w:val="5博创表格"/>
    <w:basedOn w:val="1"/>
    <w:unhideWhenUsed/>
    <w:qFormat/>
    <w:uiPriority w:val="0"/>
    <w:pPr>
      <w:autoSpaceDE w:val="0"/>
      <w:autoSpaceDN w:val="0"/>
      <w:adjustRightInd w:val="0"/>
      <w:snapToGrid w:val="0"/>
      <w:jc w:val="center"/>
    </w:pPr>
    <w:rPr>
      <w:rFonts w:hint="eastAsia" w:eastAsia="仿宋"/>
      <w:kern w:val="0"/>
    </w:rPr>
  </w:style>
  <w:style w:type="paragraph" w:customStyle="1" w:styleId="65">
    <w:name w:val="表文"/>
    <w:basedOn w:val="1"/>
    <w:qFormat/>
    <w:uiPriority w:val="0"/>
    <w:pPr>
      <w:autoSpaceDE w:val="0"/>
      <w:autoSpaceDN w:val="0"/>
      <w:adjustRightInd w:val="0"/>
      <w:spacing w:line="360" w:lineRule="atLeast"/>
      <w:jc w:val="center"/>
    </w:pPr>
    <w:rPr>
      <w:rFonts w:ascii="宋体" w:hAnsi="Tms Rmn"/>
      <w:kern w:val="0"/>
      <w:sz w:val="24"/>
      <w:szCs w:val="20"/>
    </w:rPr>
  </w:style>
  <w:style w:type="paragraph" w:customStyle="1" w:styleId="66">
    <w:name w:val="正文格式"/>
    <w:basedOn w:val="1"/>
    <w:qFormat/>
    <w:uiPriority w:val="0"/>
    <w:pPr>
      <w:spacing w:line="360" w:lineRule="auto"/>
      <w:ind w:right="42"/>
      <w:jc w:val="left"/>
    </w:pPr>
    <w:rPr>
      <w:rFonts w:ascii="宋体" w:hAnsi="宋体"/>
      <w:kern w:val="0"/>
      <w:sz w:val="24"/>
      <w:szCs w:val="20"/>
    </w:rPr>
  </w:style>
  <w:style w:type="paragraph" w:customStyle="1" w:styleId="67">
    <w:name w:val="正文(首行缩进)"/>
    <w:basedOn w:val="1"/>
    <w:qFormat/>
    <w:uiPriority w:val="0"/>
    <w:pPr>
      <w:snapToGrid w:val="0"/>
      <w:spacing w:line="360" w:lineRule="auto"/>
      <w:ind w:firstLine="510"/>
    </w:pPr>
    <w:rPr>
      <w:rFonts w:ascii="宋体" w:hAnsi="宋体"/>
      <w:snapToGrid w:val="0"/>
      <w:kern w:val="0"/>
      <w:sz w:val="24"/>
      <w:szCs w:val="20"/>
    </w:rPr>
  </w:style>
  <w:style w:type="paragraph" w:customStyle="1" w:styleId="68">
    <w:name w:val="图表标题字样"/>
    <w:basedOn w:val="1"/>
    <w:uiPriority w:val="0"/>
    <w:pPr>
      <w:jc w:val="left"/>
    </w:pPr>
    <w:rPr>
      <w:b/>
    </w:rPr>
  </w:style>
  <w:style w:type="paragraph" w:customStyle="1" w:styleId="69">
    <w:name w:val="二级标题"/>
    <w:basedOn w:val="1"/>
    <w:uiPriority w:val="0"/>
    <w:pPr>
      <w:jc w:val="left"/>
    </w:pPr>
    <w:rPr>
      <w:b/>
      <w:sz w:val="28"/>
    </w:rPr>
  </w:style>
  <w:style w:type="paragraph" w:customStyle="1" w:styleId="70">
    <w:name w:val="正文_10"/>
    <w:uiPriority w:val="0"/>
    <w:pPr>
      <w:widowControl w:val="0"/>
      <w:jc w:val="both"/>
    </w:pPr>
    <w:rPr>
      <w:kern w:val="2"/>
      <w:sz w:val="21"/>
      <w:szCs w:val="22"/>
      <w:lang w:val="en-US" w:eastAsia="zh-CN" w:bidi="ar-SA"/>
    </w:rPr>
  </w:style>
  <w:style w:type="paragraph" w:customStyle="1" w:styleId="71">
    <w:name w:val="表内字"/>
    <w:qFormat/>
    <w:uiPriority w:val="0"/>
    <w:pPr>
      <w:widowControl w:val="0"/>
      <w:snapToGrid w:val="0"/>
      <w:jc w:val="center"/>
    </w:pPr>
    <w:rPr>
      <w:color w:val="000000"/>
      <w:kern w:val="2"/>
      <w:sz w:val="21"/>
      <w:szCs w:val="24"/>
      <w:lang w:val="en-US" w:eastAsia="zh-CN" w:bidi="ar-SA"/>
    </w:rPr>
  </w:style>
  <w:style w:type="paragraph" w:customStyle="1" w:styleId="72">
    <w:name w:val="正文_20"/>
    <w:qFormat/>
    <w:uiPriority w:val="0"/>
    <w:pPr>
      <w:widowControl w:val="0"/>
      <w:jc w:val="both"/>
    </w:pPr>
    <w:rPr>
      <w:rFonts w:ascii="Calibri" w:hAnsi="Calibri"/>
      <w:kern w:val="2"/>
      <w:sz w:val="21"/>
      <w:lang w:val="en-US" w:eastAsia="zh-CN" w:bidi="ar-SA"/>
    </w:rPr>
  </w:style>
  <w:style w:type="table" w:customStyle="1" w:styleId="73">
    <w:name w:val="Table Normal"/>
    <w:unhideWhenUsed/>
    <w:qFormat/>
    <w:uiPriority w:val="2"/>
    <w:rPr>
      <w:lang w:val="en-US" w:eastAsia="zh-CN" w:bidi="ar-SA"/>
    </w:rPr>
    <w:tblPr>
      <w:tblStyle w:val="25"/>
      <w:tblCellMar>
        <w:top w:w="0" w:type="dxa"/>
        <w:left w:w="0" w:type="dxa"/>
        <w:bottom w:w="0" w:type="dxa"/>
        <w:right w:w="0" w:type="dxa"/>
      </w:tblCellMar>
    </w:tblPr>
  </w:style>
  <w:style w:type="paragraph" w:customStyle="1" w:styleId="74">
    <w:name w:val="朱张氏正文"/>
    <w:basedOn w:val="1"/>
    <w:qFormat/>
    <w:uiPriority w:val="0"/>
    <w:pPr>
      <w:spacing w:line="360" w:lineRule="auto"/>
      <w:ind w:firstLine="420" w:firstLineChars="200"/>
    </w:pPr>
    <w:rPr>
      <w:rFonts w:ascii="Times New Roman" w:hAnsi="Times New Roman"/>
      <w:sz w:val="24"/>
      <w:szCs w:val="32"/>
    </w:rPr>
  </w:style>
  <w:style w:type="paragraph" w:customStyle="1" w:styleId="75">
    <w:name w:val="Table Text"/>
    <w:basedOn w:val="1"/>
    <w:semiHidden/>
    <w:qFormat/>
    <w:uiPriority w:val="0"/>
    <w:rPr>
      <w:rFonts w:ascii="宋体" w:hAnsi="宋体" w:eastAsia="宋体" w:cs="宋体"/>
      <w:sz w:val="24"/>
      <w:szCs w:val="24"/>
      <w:lang w:val="en-US" w:eastAsia="en-US" w:bidi="ar-SA"/>
    </w:rPr>
  </w:style>
  <w:style w:type="paragraph" w:customStyle="1" w:styleId="76">
    <w:name w:val="表格文本"/>
    <w:basedOn w:val="1"/>
    <w:qFormat/>
    <w:uiPriority w:val="0"/>
    <w:pPr>
      <w:spacing w:line="240" w:lineRule="auto"/>
      <w:ind w:firstLine="0" w:firstLineChars="0"/>
      <w:jc w:val="center"/>
    </w:pPr>
    <w:rPr>
      <w:rFonts w:cs="Times New Roman"/>
      <w:sz w:val="21"/>
      <w:szCs w:val="22"/>
    </w:rPr>
  </w:style>
  <w:style w:type="paragraph" w:customStyle="1" w:styleId="77">
    <w:name w:val="0 正文"/>
    <w:basedOn w:val="1"/>
    <w:qFormat/>
    <w:uiPriority w:val="0"/>
    <w:pPr>
      <w:spacing w:line="440" w:lineRule="exact"/>
      <w:ind w:firstLine="720" w:firstLineChars="200"/>
    </w:pPr>
    <w:rPr>
      <w:rFonts w:cs="Times New Roman"/>
      <w:sz w:val="24"/>
      <w:szCs w:val="28"/>
    </w:rPr>
  </w:style>
  <w:style w:type="paragraph" w:customStyle="1" w:styleId="78">
    <w:name w:val="报告书-正文"/>
    <w:qFormat/>
    <w:uiPriority w:val="0"/>
    <w:pPr>
      <w:spacing w:line="360" w:lineRule="auto"/>
      <w:ind w:firstLine="200" w:firstLineChars="200"/>
      <w:jc w:val="both"/>
    </w:pPr>
    <w:rPr>
      <w:rFonts w:ascii="Calibri" w:hAnsi="Calibri"/>
      <w:bCs/>
      <w:kern w:val="2"/>
      <w:sz w:val="24"/>
      <w:szCs w:val="32"/>
      <w:shd w:val="pct10" w:color="auto" w:fill="FFFFFF"/>
      <w:lang w:val="en-US" w:eastAsia="zh-CN" w:bidi="ar-SA"/>
    </w:rPr>
  </w:style>
  <w:style w:type="paragraph" w:customStyle="1" w:styleId="79">
    <w:name w:val="简单回函地址"/>
    <w:basedOn w:val="1"/>
    <w:qFormat/>
    <w:uiPriority w:val="0"/>
    <w:rPr>
      <w:rFonts w:ascii="宋体" w:hAnsi="宋体"/>
      <w:sz w:val="24"/>
      <w:szCs w:val="32"/>
    </w:rPr>
  </w:style>
  <w:style w:type="character" w:customStyle="1" w:styleId="80">
    <w:name w:val="15"/>
    <w:qFormat/>
    <w:uiPriority w:val="0"/>
    <w:rPr>
      <w:rFonts w:hint="eastAsia" w:ascii="仿宋_GB2312" w:eastAsia="仿宋_GB2312"/>
      <w:color w:val="000000"/>
      <w:sz w:val="24"/>
      <w:szCs w:val="24"/>
    </w:rPr>
  </w:style>
  <w:style w:type="character" w:customStyle="1" w:styleId="81">
    <w:name w:val="font11"/>
    <w:basedOn w:val="27"/>
    <w:qFormat/>
    <w:uiPriority w:val="0"/>
    <w:rPr>
      <w:rFonts w:hint="default" w:ascii="Times New Roman" w:hAnsi="Times New Roman" w:cs="Times New Roman"/>
      <w:color w:val="000000"/>
      <w:sz w:val="21"/>
      <w:szCs w:val="21"/>
      <w:u w:val="none"/>
    </w:rPr>
  </w:style>
  <w:style w:type="paragraph" w:customStyle="1" w:styleId="82">
    <w:name w:val="表格文字"/>
    <w:basedOn w:val="9"/>
    <w:next w:val="1"/>
    <w:qFormat/>
    <w:uiPriority w:val="0"/>
    <w:pPr>
      <w:adjustRightInd w:val="0"/>
      <w:snapToGrid w:val="0"/>
      <w:spacing w:line="400" w:lineRule="exact"/>
      <w:jc w:val="center"/>
    </w:pPr>
    <w:rPr>
      <w:color w:val="000000"/>
      <w:kern w:val="32"/>
      <w:sz w:val="21"/>
      <w:szCs w:val="20"/>
    </w:rPr>
  </w:style>
  <w:style w:type="paragraph" w:customStyle="1" w:styleId="83">
    <w:name w:val="报告正文"/>
    <w:qFormat/>
    <w:uiPriority w:val="0"/>
    <w:pPr>
      <w:spacing w:line="360" w:lineRule="auto"/>
      <w:ind w:firstLine="200" w:firstLineChars="200"/>
    </w:pPr>
    <w:rPr>
      <w:bCs/>
      <w:kern w:val="44"/>
      <w:sz w:val="24"/>
      <w:szCs w:val="44"/>
      <w:lang w:val="en-US" w:eastAsia="zh-CN" w:bidi="ar-SA"/>
    </w:rPr>
  </w:style>
  <w:style w:type="paragraph" w:customStyle="1" w:styleId="84">
    <w:name w:val="a-表内"/>
    <w:qFormat/>
    <w:uiPriority w:val="0"/>
    <w:pPr>
      <w:adjustRightInd w:val="0"/>
      <w:snapToGrid w:val="0"/>
      <w:jc w:val="center"/>
    </w:pPr>
    <w:rPr>
      <w:rFonts w:ascii="Times New Roman" w:hAnsi="Times New Roman" w:eastAsia="宋体" w:cs="Times New Roman"/>
      <w:color w:val="000000"/>
      <w:kern w:val="2"/>
      <w:sz w:val="21"/>
      <w:szCs w:val="21"/>
      <w:lang w:val="en-US" w:eastAsia="zh-CN" w:bidi="ar-SA"/>
    </w:rPr>
  </w:style>
  <w:style w:type="paragraph" w:customStyle="1" w:styleId="85">
    <w:name w:val="样式1"/>
    <w:basedOn w:val="86"/>
    <w:qFormat/>
    <w:uiPriority w:val="0"/>
    <w:pPr>
      <w:spacing w:before="50" w:beforeLines="50"/>
    </w:pPr>
    <w:rPr>
      <w:rFonts w:ascii="Times New Roman" w:hAnsi="Times New Roman" w:eastAsia="宋体"/>
    </w:rPr>
  </w:style>
  <w:style w:type="paragraph" w:customStyle="1" w:styleId="86">
    <w:name w:val="a-文本缩2"/>
    <w:qFormat/>
    <w:uiPriority w:val="0"/>
    <w:pPr>
      <w:widowControl w:val="0"/>
      <w:adjustRightInd w:val="0"/>
      <w:snapToGrid w:val="0"/>
      <w:spacing w:line="360" w:lineRule="auto"/>
      <w:ind w:firstLine="480" w:firstLineChars="200"/>
      <w:jc w:val="both"/>
    </w:pPr>
    <w:rPr>
      <w:rFonts w:ascii="Times New Roman" w:hAnsi="Times New Roman" w:eastAsia="宋体" w:cs="Times New Roman"/>
      <w:kern w:val="2"/>
      <w:sz w:val="24"/>
      <w:szCs w:val="21"/>
      <w:lang w:val="en-US" w:eastAsia="zh-CN" w:bidi="ar-SA"/>
    </w:rPr>
  </w:style>
  <w:style w:type="paragraph" w:customStyle="1" w:styleId="87">
    <w:name w:val="养鸡报告正文"/>
    <w:basedOn w:val="86"/>
    <w:qFormat/>
    <w:uiPriority w:val="0"/>
  </w:style>
  <w:style w:type="paragraph" w:customStyle="1" w:styleId="88">
    <w:name w:val="环评一室报告表头"/>
    <w:basedOn w:val="1"/>
    <w:qFormat/>
    <w:uiPriority w:val="0"/>
    <w:pPr>
      <w:spacing w:line="360" w:lineRule="auto"/>
      <w:jc w:val="center"/>
    </w:pPr>
    <w:rPr>
      <w:rFonts w:ascii="宋体" w:hAnsi="宋体" w:cs="仿宋_GB2312"/>
      <w:b/>
      <w:sz w:val="24"/>
    </w:rPr>
  </w:style>
  <w:style w:type="paragraph" w:customStyle="1" w:styleId="89">
    <w:name w:val="倩表格内文字"/>
    <w:basedOn w:val="1"/>
    <w:qFormat/>
    <w:uiPriority w:val="0"/>
    <w:pPr>
      <w:widowControl/>
      <w:jc w:val="center"/>
    </w:pPr>
    <w:rPr>
      <w:rFonts w:eastAsia="Times New Roman"/>
      <w:kern w:val="0"/>
      <w:szCs w:val="21"/>
    </w:rPr>
  </w:style>
  <w:style w:type="paragraph" w:customStyle="1" w:styleId="90">
    <w:name w:val="倩正文缩进2"/>
    <w:basedOn w:val="1"/>
    <w:qFormat/>
    <w:uiPriority w:val="0"/>
    <w:pPr>
      <w:widowControl w:val="0"/>
      <w:adjustRightInd/>
      <w:snapToGrid/>
      <w:spacing w:line="360" w:lineRule="auto"/>
      <w:ind w:firstLine="480" w:firstLineChars="200"/>
    </w:pPr>
    <w:rPr>
      <w:rFonts w:cs="Times New Roman"/>
    </w:rPr>
  </w:style>
  <w:style w:type="character" w:customStyle="1" w:styleId="91">
    <w:name w:val="font21"/>
    <w:basedOn w:val="27"/>
    <w:qFormat/>
    <w:uiPriority w:val="0"/>
    <w:rPr>
      <w:rFonts w:ascii="宋体" w:hAnsi="宋体" w:eastAsia="宋体" w:cs="宋体"/>
      <w:color w:val="000000"/>
      <w:sz w:val="26"/>
      <w:szCs w:val="26"/>
      <w:u w:val="none"/>
    </w:rPr>
  </w:style>
  <w:style w:type="paragraph" w:customStyle="1" w:styleId="92">
    <w:name w:val="Default1"/>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character" w:customStyle="1" w:styleId="93">
    <w:name w:val="font41"/>
    <w:basedOn w:val="27"/>
    <w:qFormat/>
    <w:uiPriority w:val="0"/>
    <w:rPr>
      <w:rFonts w:ascii="宋体" w:hAnsi="宋体" w:eastAsia="宋体" w:cs="宋体"/>
      <w:color w:val="000000"/>
      <w:sz w:val="26"/>
      <w:szCs w:val="26"/>
      <w:u w:val="none"/>
    </w:rPr>
  </w:style>
  <w:style w:type="paragraph" w:customStyle="1" w:styleId="94">
    <w:name w:val="正文 + 仿宋_GB2312"/>
    <w:basedOn w:val="1"/>
    <w:qFormat/>
    <w:uiPriority w:val="0"/>
    <w:pPr>
      <w:ind w:firstLine="480" w:firstLineChars="200"/>
    </w:pPr>
    <w:rPr>
      <w:rFonts w:ascii="仿宋_GB2312" w:hAnsi="Calibri" w:eastAsia="仿宋_GB2312"/>
      <w:sz w:val="24"/>
      <w:szCs w:val="22"/>
    </w:rPr>
  </w:style>
  <w:style w:type="paragraph" w:customStyle="1" w:styleId="95">
    <w:name w:val="中文报告书样式"/>
    <w:basedOn w:val="1"/>
    <w:uiPriority w:val="0"/>
    <w:pPr>
      <w:adjustRightInd w:val="0"/>
      <w:spacing w:line="480" w:lineRule="atLeast"/>
      <w:ind w:firstLine="482"/>
      <w:textAlignment w:val="baseline"/>
    </w:pPr>
    <w:rPr>
      <w:kern w:val="24"/>
      <w:sz w:val="24"/>
      <w:szCs w:val="20"/>
    </w:rPr>
  </w:style>
  <w:style w:type="paragraph" w:customStyle="1" w:styleId="96">
    <w:name w:val="报告表小段"/>
    <w:basedOn w:val="1"/>
    <w:qFormat/>
    <w:uiPriority w:val="0"/>
    <w:pPr>
      <w:snapToGrid w:val="0"/>
      <w:spacing w:before="120" w:line="360" w:lineRule="auto"/>
      <w:ind w:firstLine="470" w:firstLineChars="196"/>
    </w:pPr>
    <w:rPr>
      <w:rFonts w:ascii="宋体" w:hAnsi="宋体"/>
      <w:bCs/>
      <w:sz w:val="24"/>
      <w:szCs w:val="24"/>
    </w:rPr>
  </w:style>
  <w:style w:type="paragraph" w:customStyle="1" w:styleId="97">
    <w:name w:val="表文字"/>
    <w:basedOn w:val="1"/>
    <w:qFormat/>
    <w:uiPriority w:val="0"/>
    <w:pPr>
      <w:topLinePunct/>
      <w:adjustRightInd w:val="0"/>
      <w:spacing w:line="240" w:lineRule="exact"/>
      <w:textAlignment w:val="baseline"/>
    </w:pPr>
    <w:rPr>
      <w:szCs w:val="21"/>
    </w:rPr>
  </w:style>
  <w:style w:type="paragraph" w:customStyle="1" w:styleId="98">
    <w:name w:val="表格内文字"/>
    <w:basedOn w:val="1"/>
    <w:qFormat/>
    <w:uiPriority w:val="0"/>
    <w:pPr>
      <w:jc w:val="center"/>
    </w:pPr>
    <w:rPr>
      <w:rFonts w:ascii="Times New Roman" w:hAnsi="Times New Roman" w:cs="Times New Roman"/>
      <w:sz w:val="21"/>
      <w:szCs w:val="24"/>
      <w:lang w:val="en-US"/>
    </w:rPr>
  </w:style>
  <w:style w:type="paragraph" w:customStyle="1" w:styleId="99">
    <w:name w:val="正文_6"/>
    <w:qFormat/>
    <w:uiPriority w:val="0"/>
    <w:pPr>
      <w:widowControl w:val="0"/>
      <w:jc w:val="both"/>
    </w:pPr>
    <w:rPr>
      <w:rFonts w:ascii="Calibri" w:hAnsi="Calibri" w:eastAsia="宋体" w:cs="Times New Roman"/>
      <w:kern w:val="2"/>
      <w:sz w:val="21"/>
      <w:lang w:val="en-US" w:eastAsia="zh-CN"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78.png"/><Relationship Id="rId98" Type="http://schemas.openxmlformats.org/officeDocument/2006/relationships/image" Target="media/image77.png"/><Relationship Id="rId97" Type="http://schemas.openxmlformats.org/officeDocument/2006/relationships/image" Target="media/image76.png"/><Relationship Id="rId96" Type="http://schemas.openxmlformats.org/officeDocument/2006/relationships/image" Target="media/image75.png"/><Relationship Id="rId95" Type="http://schemas.openxmlformats.org/officeDocument/2006/relationships/image" Target="media/image74.png"/><Relationship Id="rId94" Type="http://schemas.openxmlformats.org/officeDocument/2006/relationships/image" Target="media/image73.png"/><Relationship Id="rId93" Type="http://schemas.openxmlformats.org/officeDocument/2006/relationships/image" Target="media/image72.png"/><Relationship Id="rId92" Type="http://schemas.openxmlformats.org/officeDocument/2006/relationships/image" Target="media/image71.jpeg"/><Relationship Id="rId91" Type="http://schemas.openxmlformats.org/officeDocument/2006/relationships/image" Target="media/image70.jpeg"/><Relationship Id="rId90" Type="http://schemas.openxmlformats.org/officeDocument/2006/relationships/image" Target="media/image69.jpeg"/><Relationship Id="rId9" Type="http://schemas.openxmlformats.org/officeDocument/2006/relationships/image" Target="media/image1.png"/><Relationship Id="rId89" Type="http://schemas.openxmlformats.org/officeDocument/2006/relationships/image" Target="media/image68.jpeg"/><Relationship Id="rId88" Type="http://schemas.openxmlformats.org/officeDocument/2006/relationships/image" Target="media/image67.jpeg"/><Relationship Id="rId87" Type="http://schemas.openxmlformats.org/officeDocument/2006/relationships/image" Target="media/image66.jpeg"/><Relationship Id="rId86" Type="http://schemas.openxmlformats.org/officeDocument/2006/relationships/image" Target="media/image65.jpeg"/><Relationship Id="rId85" Type="http://schemas.openxmlformats.org/officeDocument/2006/relationships/image" Target="media/image64.png"/><Relationship Id="rId84" Type="http://schemas.openxmlformats.org/officeDocument/2006/relationships/image" Target="media/image63.jpeg"/><Relationship Id="rId83" Type="http://schemas.openxmlformats.org/officeDocument/2006/relationships/image" Target="media/image62.jpeg"/><Relationship Id="rId82" Type="http://schemas.openxmlformats.org/officeDocument/2006/relationships/image" Target="media/image61.jpeg"/><Relationship Id="rId81" Type="http://schemas.openxmlformats.org/officeDocument/2006/relationships/image" Target="media/image60.jpeg"/><Relationship Id="rId80" Type="http://schemas.openxmlformats.org/officeDocument/2006/relationships/image" Target="media/image59.jpeg"/><Relationship Id="rId8" Type="http://schemas.openxmlformats.org/officeDocument/2006/relationships/theme" Target="theme/theme1.xml"/><Relationship Id="rId79" Type="http://schemas.openxmlformats.org/officeDocument/2006/relationships/image" Target="media/image58.png"/><Relationship Id="rId78" Type="http://schemas.openxmlformats.org/officeDocument/2006/relationships/image" Target="media/image57.png"/><Relationship Id="rId77" Type="http://schemas.openxmlformats.org/officeDocument/2006/relationships/image" Target="media/image56.png"/><Relationship Id="rId76" Type="http://schemas.openxmlformats.org/officeDocument/2006/relationships/image" Target="media/image55.png"/><Relationship Id="rId75" Type="http://schemas.openxmlformats.org/officeDocument/2006/relationships/image" Target="media/image54.png"/><Relationship Id="rId74" Type="http://schemas.openxmlformats.org/officeDocument/2006/relationships/image" Target="media/image53.png"/><Relationship Id="rId73" Type="http://schemas.openxmlformats.org/officeDocument/2006/relationships/image" Target="media/image52.png"/><Relationship Id="rId72" Type="http://schemas.openxmlformats.org/officeDocument/2006/relationships/image" Target="media/image51.png"/><Relationship Id="rId71" Type="http://schemas.openxmlformats.org/officeDocument/2006/relationships/image" Target="media/image50.png"/><Relationship Id="rId70" Type="http://schemas.openxmlformats.org/officeDocument/2006/relationships/image" Target="media/image49.png"/><Relationship Id="rId7" Type="http://schemas.openxmlformats.org/officeDocument/2006/relationships/footer" Target="footer3.xml"/><Relationship Id="rId69" Type="http://schemas.openxmlformats.org/officeDocument/2006/relationships/image" Target="media/image48.png"/><Relationship Id="rId68" Type="http://schemas.openxmlformats.org/officeDocument/2006/relationships/image" Target="media/image47.png"/><Relationship Id="rId67" Type="http://schemas.openxmlformats.org/officeDocument/2006/relationships/image" Target="media/image46.png"/><Relationship Id="rId66" Type="http://schemas.openxmlformats.org/officeDocument/2006/relationships/image" Target="media/image45.png"/><Relationship Id="rId65" Type="http://schemas.openxmlformats.org/officeDocument/2006/relationships/image" Target="media/image44.png"/><Relationship Id="rId64" Type="http://schemas.openxmlformats.org/officeDocument/2006/relationships/image" Target="media/image43.png"/><Relationship Id="rId63" Type="http://schemas.openxmlformats.org/officeDocument/2006/relationships/image" Target="media/image42.png"/><Relationship Id="rId62" Type="http://schemas.openxmlformats.org/officeDocument/2006/relationships/image" Target="media/image41.png"/><Relationship Id="rId61" Type="http://schemas.openxmlformats.org/officeDocument/2006/relationships/image" Target="media/image40.png"/><Relationship Id="rId60" Type="http://schemas.openxmlformats.org/officeDocument/2006/relationships/image" Target="media/image39.png"/><Relationship Id="rId6" Type="http://schemas.openxmlformats.org/officeDocument/2006/relationships/footer" Target="footer2.xml"/><Relationship Id="rId59" Type="http://schemas.openxmlformats.org/officeDocument/2006/relationships/image" Target="media/image38.png"/><Relationship Id="rId58" Type="http://schemas.openxmlformats.org/officeDocument/2006/relationships/image" Target="media/image37.png"/><Relationship Id="rId57" Type="http://schemas.openxmlformats.org/officeDocument/2006/relationships/image" Target="media/image36.png"/><Relationship Id="rId56" Type="http://schemas.openxmlformats.org/officeDocument/2006/relationships/image" Target="media/image35.png"/><Relationship Id="rId55" Type="http://schemas.openxmlformats.org/officeDocument/2006/relationships/image" Target="media/image34.png"/><Relationship Id="rId54" Type="http://schemas.openxmlformats.org/officeDocument/2006/relationships/image" Target="media/image33.png"/><Relationship Id="rId53" Type="http://schemas.openxmlformats.org/officeDocument/2006/relationships/image" Target="media/image32.png"/><Relationship Id="rId52" Type="http://schemas.openxmlformats.org/officeDocument/2006/relationships/image" Target="media/image31.png"/><Relationship Id="rId51" Type="http://schemas.openxmlformats.org/officeDocument/2006/relationships/image" Target="media/image30.png"/><Relationship Id="rId50" Type="http://schemas.openxmlformats.org/officeDocument/2006/relationships/image" Target="media/image29.png"/><Relationship Id="rId5" Type="http://schemas.openxmlformats.org/officeDocument/2006/relationships/footer" Target="footer1.xml"/><Relationship Id="rId49" Type="http://schemas.openxmlformats.org/officeDocument/2006/relationships/image" Target="media/image28.png"/><Relationship Id="rId48" Type="http://schemas.openxmlformats.org/officeDocument/2006/relationships/image" Target="media/image27.jpeg"/><Relationship Id="rId47" Type="http://schemas.openxmlformats.org/officeDocument/2006/relationships/image" Target="media/image26.jpeg"/><Relationship Id="rId46" Type="http://schemas.openxmlformats.org/officeDocument/2006/relationships/image" Target="media/image25.jpeg"/><Relationship Id="rId45" Type="http://schemas.openxmlformats.org/officeDocument/2006/relationships/image" Target="media/image24.jpeg"/><Relationship Id="rId44" Type="http://schemas.openxmlformats.org/officeDocument/2006/relationships/image" Target="media/image23.jpeg"/><Relationship Id="rId43" Type="http://schemas.openxmlformats.org/officeDocument/2006/relationships/image" Target="media/image22.jpeg"/><Relationship Id="rId42" Type="http://schemas.openxmlformats.org/officeDocument/2006/relationships/image" Target="media/image21.jpeg"/><Relationship Id="rId41" Type="http://schemas.openxmlformats.org/officeDocument/2006/relationships/image" Target="media/image20.jpeg"/><Relationship Id="rId40" Type="http://schemas.openxmlformats.org/officeDocument/2006/relationships/image" Target="media/image19.png"/><Relationship Id="rId4" Type="http://schemas.openxmlformats.org/officeDocument/2006/relationships/endnotes" Target="endnotes.xml"/><Relationship Id="rId39" Type="http://schemas.openxmlformats.org/officeDocument/2006/relationships/image" Target="media/image18.wmf"/><Relationship Id="rId38" Type="http://schemas.openxmlformats.org/officeDocument/2006/relationships/oleObject" Target="embeddings/oleObject13.bin"/><Relationship Id="rId37" Type="http://schemas.openxmlformats.org/officeDocument/2006/relationships/image" Target="media/image17.wmf"/><Relationship Id="rId36" Type="http://schemas.openxmlformats.org/officeDocument/2006/relationships/oleObject" Target="embeddings/oleObject12.bin"/><Relationship Id="rId35" Type="http://schemas.openxmlformats.org/officeDocument/2006/relationships/image" Target="media/image16.wmf"/><Relationship Id="rId34" Type="http://schemas.openxmlformats.org/officeDocument/2006/relationships/oleObject" Target="embeddings/oleObject11.bin"/><Relationship Id="rId33" Type="http://schemas.openxmlformats.org/officeDocument/2006/relationships/image" Target="media/image15.wmf"/><Relationship Id="rId32" Type="http://schemas.openxmlformats.org/officeDocument/2006/relationships/oleObject" Target="embeddings/oleObject10.bin"/><Relationship Id="rId31" Type="http://schemas.openxmlformats.org/officeDocument/2006/relationships/image" Target="media/image14.wmf"/><Relationship Id="rId30" Type="http://schemas.openxmlformats.org/officeDocument/2006/relationships/oleObject" Target="embeddings/oleObject9.bin"/><Relationship Id="rId3" Type="http://schemas.openxmlformats.org/officeDocument/2006/relationships/footnotes" Target="footnotes.xml"/><Relationship Id="rId29" Type="http://schemas.openxmlformats.org/officeDocument/2006/relationships/image" Target="media/image13.wmf"/><Relationship Id="rId28" Type="http://schemas.openxmlformats.org/officeDocument/2006/relationships/oleObject" Target="embeddings/oleObject8.bin"/><Relationship Id="rId27" Type="http://schemas.openxmlformats.org/officeDocument/2006/relationships/oleObject" Target="embeddings/oleObject7.bin"/><Relationship Id="rId26" Type="http://schemas.openxmlformats.org/officeDocument/2006/relationships/image" Target="media/image12.wmf"/><Relationship Id="rId25" Type="http://schemas.openxmlformats.org/officeDocument/2006/relationships/oleObject" Target="embeddings/oleObject6.bin"/><Relationship Id="rId24" Type="http://schemas.openxmlformats.org/officeDocument/2006/relationships/image" Target="media/image11.wmf"/><Relationship Id="rId23" Type="http://schemas.openxmlformats.org/officeDocument/2006/relationships/oleObject" Target="embeddings/oleObject5.bin"/><Relationship Id="rId22" Type="http://schemas.openxmlformats.org/officeDocument/2006/relationships/image" Target="media/image10.wmf"/><Relationship Id="rId21" Type="http://schemas.openxmlformats.org/officeDocument/2006/relationships/oleObject" Target="embeddings/oleObject4.bin"/><Relationship Id="rId20" Type="http://schemas.openxmlformats.org/officeDocument/2006/relationships/image" Target="media/image9.wmf"/><Relationship Id="rId2" Type="http://schemas.openxmlformats.org/officeDocument/2006/relationships/settings" Target="settings.xml"/><Relationship Id="rId19" Type="http://schemas.openxmlformats.org/officeDocument/2006/relationships/oleObject" Target="embeddings/oleObject3.bin"/><Relationship Id="rId18" Type="http://schemas.openxmlformats.org/officeDocument/2006/relationships/image" Target="media/image8.png"/><Relationship Id="rId17" Type="http://schemas.openxmlformats.org/officeDocument/2006/relationships/image" Target="media/image7.jpeg"/><Relationship Id="rId16" Type="http://schemas.openxmlformats.org/officeDocument/2006/relationships/image" Target="media/image6.png"/><Relationship Id="rId15" Type="http://schemas.openxmlformats.org/officeDocument/2006/relationships/image" Target="media/image5.wmf"/><Relationship Id="rId14" Type="http://schemas.openxmlformats.org/officeDocument/2006/relationships/oleObject" Target="embeddings/oleObject2.bin"/><Relationship Id="rId13" Type="http://schemas.openxmlformats.org/officeDocument/2006/relationships/image" Target="media/image4.wmf"/><Relationship Id="rId12" Type="http://schemas.openxmlformats.org/officeDocument/2006/relationships/oleObject" Target="embeddings/oleObject1.bin"/><Relationship Id="rId110" Type="http://schemas.openxmlformats.org/officeDocument/2006/relationships/fontTable" Target="fontTable.xml"/><Relationship Id="rId11" Type="http://schemas.openxmlformats.org/officeDocument/2006/relationships/image" Target="media/image3.png"/><Relationship Id="rId109" Type="http://schemas.openxmlformats.org/officeDocument/2006/relationships/numbering" Target="numbering.xml"/><Relationship Id="rId108" Type="http://schemas.openxmlformats.org/officeDocument/2006/relationships/customXml" Target="../customXml/item1.xml"/><Relationship Id="rId107" Type="http://schemas.openxmlformats.org/officeDocument/2006/relationships/image" Target="media/image86.png"/><Relationship Id="rId106" Type="http://schemas.openxmlformats.org/officeDocument/2006/relationships/image" Target="media/image85.png"/><Relationship Id="rId105" Type="http://schemas.openxmlformats.org/officeDocument/2006/relationships/image" Target="media/image84.png"/><Relationship Id="rId104" Type="http://schemas.openxmlformats.org/officeDocument/2006/relationships/image" Target="media/image83.png"/><Relationship Id="rId103" Type="http://schemas.openxmlformats.org/officeDocument/2006/relationships/image" Target="media/image82.png"/><Relationship Id="rId102" Type="http://schemas.openxmlformats.org/officeDocument/2006/relationships/image" Target="media/image81.png"/><Relationship Id="rId101" Type="http://schemas.openxmlformats.org/officeDocument/2006/relationships/image" Target="media/image80.png"/><Relationship Id="rId100" Type="http://schemas.openxmlformats.org/officeDocument/2006/relationships/image" Target="media/image79.png"/><Relationship Id="rId10" Type="http://schemas.openxmlformats.org/officeDocument/2006/relationships/image" Target="media/image2.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游ゴシック Light"/>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151</Pages>
  <Words>22619</Words>
  <Characters>23834</Characters>
  <Lines>440</Lines>
  <Paragraphs>123</Paragraphs>
  <TotalTime>17</TotalTime>
  <ScaleCrop>false</ScaleCrop>
  <LinksUpToDate>false</LinksUpToDate>
  <CharactersWithSpaces>23877</CharactersWithSpaces>
  <Application>WPS Office_12.1.0.26895_F1E327BC-269C-435d-A152-05C5408002CA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2020-12-24T01:29:00Z</dcterms:created>
  <dc:creator>lhj</dc:creator>
  <cp:lastModifiedBy>飄零的葉子</cp:lastModifiedBy>
  <cp:lastPrinted>2025-12-11T08:42:33Z</cp:lastPrinted>
  <dcterms:modified xsi:type="dcterms:W3CDTF">2026-06-29T02:35:19Z</dcterms:modified>
  <dc:title>附件2</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2052-12.1.0.26895</vt:lpwstr>
  </property>
  <property fmtid="{D5CDD505-2E9C-101B-9397-08002B2CF9AE}" pid="3" name="ICV">
    <vt:lpwstr>631A1B93596241F399369C4A7FC41033_13</vt:lpwstr>
  </property>
  <property fmtid="{D5CDD505-2E9C-101B-9397-08002B2CF9AE}" pid="4" name="KSOTemplateDocerSaveRecord">
    <vt:lpwstr>eyJoZGlkIjoiZjc0NzEyYjRjMzY5NGJkMmQxYzM2NWRhMDIwMjUzNTciLCJ1c2VySWQiOiI1ODIwMjU4MjcifQ==</vt:lpwstr>
  </property>
</Properties>
</file>